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LCCQJJ20261110</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一、竞价、报名时间、地点</w:t>
      </w:r>
    </w:p>
    <w:p w14:paraId="4AAD7607">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报名</w:t>
      </w:r>
      <w:r>
        <w:rPr>
          <w:rFonts w:hint="eastAsia" w:ascii="宋体" w:hAnsi="宋体" w:cs="宋体"/>
          <w:b/>
          <w:bCs/>
          <w:color w:val="auto"/>
          <w:sz w:val="28"/>
          <w:szCs w:val="28"/>
          <w:highlight w:val="none"/>
          <w:lang w:val="en-US" w:eastAsia="zh-CN"/>
        </w:rPr>
        <w:t>截止</w:t>
      </w:r>
      <w:r>
        <w:rPr>
          <w:rFonts w:hint="eastAsia" w:ascii="宋体" w:hAnsi="宋体" w:eastAsia="宋体" w:cs="宋体"/>
          <w:b/>
          <w:bCs/>
          <w:color w:val="auto"/>
          <w:sz w:val="28"/>
          <w:szCs w:val="28"/>
          <w:highlight w:val="none"/>
          <w:lang w:val="en-US" w:eastAsia="zh-CN"/>
        </w:rPr>
        <w:t>时间：</w:t>
      </w:r>
      <w:r>
        <w:rPr>
          <w:rFonts w:hint="eastAsia" w:ascii="宋体" w:hAnsi="宋体" w:cs="宋体"/>
          <w:b/>
          <w:bCs/>
          <w:color w:val="auto"/>
          <w:sz w:val="28"/>
          <w:szCs w:val="28"/>
          <w:highlight w:val="none"/>
          <w:lang w:val="en-US" w:eastAsia="zh-CN"/>
        </w:rPr>
        <w:t>2026年11月9日10:00</w:t>
      </w:r>
      <w:r>
        <w:rPr>
          <w:rFonts w:hint="eastAsia" w:ascii="宋体" w:hAnsi="宋体" w:eastAsia="宋体" w:cs="宋体"/>
          <w:b/>
          <w:bCs/>
          <w:color w:val="auto"/>
          <w:sz w:val="28"/>
          <w:szCs w:val="28"/>
          <w:highlight w:val="none"/>
          <w:lang w:val="en-US" w:eastAsia="zh-CN"/>
        </w:rPr>
        <w:t>止</w:t>
      </w:r>
      <w:r>
        <w:rPr>
          <w:rFonts w:hint="eastAsia" w:ascii="宋体" w:hAnsi="宋体" w:cs="宋体"/>
          <w:color w:val="auto"/>
          <w:sz w:val="28"/>
          <w:szCs w:val="28"/>
          <w:highlight w:val="none"/>
          <w:lang w:val="en-US" w:eastAsia="zh-CN"/>
        </w:rPr>
        <w:t>。</w:t>
      </w:r>
      <w:bookmarkStart w:id="31" w:name="_GoBack"/>
      <w:bookmarkEnd w:id="31"/>
    </w:p>
    <w:p w14:paraId="133BC31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自由竞价时间:2026年11月10日10:00至限时竞价开始之前</w:t>
      </w:r>
    </w:p>
    <w:p w14:paraId="578918CD">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限时竞价开始时间:2026年11月10日10:05(限时报价周期120秒)</w:t>
      </w:r>
    </w:p>
    <w:p w14:paraId="5A1DB88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0676E91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b w:val="0"/>
          <w:bCs w:val="0"/>
          <w:color w:val="auto"/>
          <w:sz w:val="28"/>
          <w:szCs w:val="28"/>
          <w:lang w:val="en-US" w:eastAsia="zh-CN"/>
        </w:rPr>
        <w:t>连城县林坊镇老卫生院综合楼与连城县林坊镇卫生院医养结合病房楼养老项目合作运营</w:t>
      </w:r>
      <w:r>
        <w:rPr>
          <w:rFonts w:hint="eastAsia" w:ascii="宋体" w:hAnsi="宋体" w:eastAsia="宋体" w:cs="宋体"/>
          <w:b w:val="0"/>
          <w:bCs w:val="0"/>
          <w:color w:val="auto"/>
          <w:sz w:val="28"/>
          <w:szCs w:val="28"/>
          <w:lang w:val="en-US" w:eastAsia="zh-CN"/>
        </w:rPr>
        <w:t>。</w:t>
      </w:r>
    </w:p>
    <w:p w14:paraId="6BC691D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.合作模式</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委托人</w:t>
      </w:r>
      <w:r>
        <w:rPr>
          <w:rFonts w:hint="eastAsia" w:ascii="宋体" w:hAnsi="宋体" w:eastAsia="宋体" w:cs="宋体"/>
          <w:b w:val="0"/>
          <w:bCs w:val="0"/>
          <w:color w:val="auto"/>
          <w:sz w:val="28"/>
          <w:szCs w:val="28"/>
          <w:lang w:val="en-US" w:eastAsia="zh-CN"/>
        </w:rPr>
        <w:t>提供</w:t>
      </w:r>
      <w:r>
        <w:rPr>
          <w:rFonts w:hint="eastAsia" w:ascii="宋体" w:hAnsi="宋体" w:cs="宋体"/>
          <w:b w:val="0"/>
          <w:bCs w:val="0"/>
          <w:color w:val="auto"/>
          <w:sz w:val="28"/>
          <w:szCs w:val="28"/>
          <w:lang w:val="en-US" w:eastAsia="zh-CN"/>
        </w:rPr>
        <w:t>老卫生院综合楼和新卫生院医养结合病房楼</w:t>
      </w:r>
      <w:r>
        <w:rPr>
          <w:rFonts w:hint="eastAsia" w:ascii="宋体" w:hAnsi="宋体" w:eastAsia="宋体" w:cs="宋体"/>
          <w:b w:val="0"/>
          <w:bCs w:val="0"/>
          <w:color w:val="auto"/>
          <w:sz w:val="28"/>
          <w:szCs w:val="28"/>
          <w:lang w:val="en-US" w:eastAsia="zh-CN"/>
        </w:rPr>
        <w:t>两处资产，负责</w:t>
      </w:r>
      <w:r>
        <w:rPr>
          <w:rFonts w:hint="eastAsia" w:ascii="宋体" w:hAnsi="宋体" w:cs="宋体"/>
          <w:b w:val="0"/>
          <w:bCs w:val="0"/>
          <w:color w:val="auto"/>
          <w:sz w:val="28"/>
          <w:szCs w:val="28"/>
          <w:lang w:val="en-US" w:eastAsia="zh-CN"/>
        </w:rPr>
        <w:t>新卫生院医养结合病房楼</w:t>
      </w:r>
      <w:r>
        <w:rPr>
          <w:rFonts w:hint="eastAsia" w:ascii="宋体" w:hAnsi="宋体" w:eastAsia="宋体" w:cs="宋体"/>
          <w:b w:val="0"/>
          <w:bCs w:val="0"/>
          <w:color w:val="auto"/>
          <w:sz w:val="28"/>
          <w:szCs w:val="28"/>
          <w:lang w:val="en-US" w:eastAsia="zh-CN"/>
        </w:rPr>
        <w:t>适老化消防改造，且配置床位和相关养老设备设施（具体床位和养老设备设施以现状移交为准）</w:t>
      </w:r>
      <w:r>
        <w:rPr>
          <w:rFonts w:hint="eastAsia" w:ascii="宋体" w:hAnsi="宋体" w:cs="宋体"/>
          <w:b w:val="0"/>
          <w:bCs w:val="0"/>
          <w:color w:val="auto"/>
          <w:sz w:val="28"/>
          <w:szCs w:val="28"/>
          <w:lang w:val="en-US" w:eastAsia="zh-CN"/>
        </w:rPr>
        <w:t>。竞价人</w:t>
      </w:r>
      <w:r>
        <w:rPr>
          <w:rFonts w:hint="eastAsia" w:ascii="宋体" w:hAnsi="宋体" w:eastAsia="宋体" w:cs="宋体"/>
          <w:b w:val="0"/>
          <w:bCs w:val="0"/>
          <w:color w:val="auto"/>
          <w:sz w:val="28"/>
          <w:szCs w:val="28"/>
          <w:lang w:val="en-US" w:eastAsia="zh-CN"/>
        </w:rPr>
        <w:t>负责对两处资产配置床位及相关养老设备设施等后续投资以及专业运营团队组建和养老项目运营服务。双方按本合同约定分享收益、分担费用</w:t>
      </w:r>
      <w:r>
        <w:rPr>
          <w:rFonts w:hint="eastAsia" w:ascii="宋体" w:hAnsi="宋体" w:cs="宋体"/>
          <w:b w:val="0"/>
          <w:bCs w:val="0"/>
          <w:color w:val="auto"/>
          <w:sz w:val="28"/>
          <w:szCs w:val="28"/>
          <w:lang w:val="en-US" w:eastAsia="zh-CN"/>
        </w:rPr>
        <w:t>。</w:t>
      </w:r>
    </w:p>
    <w:p w14:paraId="3249963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3.合作运营期限：10年</w:t>
      </w:r>
    </w:p>
    <w:p w14:paraId="32855C5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lang w:val="en-US" w:eastAsia="zh-CN"/>
        </w:rPr>
      </w:pPr>
      <w:r>
        <w:rPr>
          <w:rFonts w:hint="eastAsia" w:ascii="宋体" w:hAnsi="宋体" w:cs="宋体"/>
          <w:b w:val="0"/>
          <w:bCs w:val="0"/>
          <w:color w:val="auto"/>
          <w:sz w:val="28"/>
          <w:szCs w:val="28"/>
          <w:lang w:val="en-US" w:eastAsia="zh-CN"/>
        </w:rPr>
        <w:t>4.预算金额（年预估运营收入金额）：1000000元，以实际运营收入为准，最终结算以成交运营提成费率计取。</w:t>
      </w:r>
    </w:p>
    <w:p w14:paraId="241C0C3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5.最低限价（第1至第5年最低运营提成费率）：6%，第6至第10年运营提成费率=第1至第5年成交运营提成费率+2%。</w:t>
      </w:r>
    </w:p>
    <w:p w14:paraId="62C428C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6.竞价保证金：10000元。</w:t>
      </w:r>
    </w:p>
    <w:p w14:paraId="27F2196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7.工作要求（具体按委托人要求及《合作运营合同》执行）：</w:t>
      </w:r>
    </w:p>
    <w:p w14:paraId="3E07497B">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cs="宋体"/>
          <w:b w:val="0"/>
          <w:bCs w:val="0"/>
          <w:color w:val="auto"/>
          <w:kern w:val="2"/>
          <w:sz w:val="28"/>
          <w:szCs w:val="28"/>
          <w:highlight w:val="none"/>
          <w:lang w:val="en-US" w:eastAsia="zh-CN" w:bidi="ar-SA"/>
        </w:rPr>
        <w:t>(1)</w:t>
      </w:r>
      <w:r>
        <w:rPr>
          <w:rFonts w:hint="eastAsia" w:ascii="宋体" w:hAnsi="宋体" w:eastAsia="宋体" w:cs="宋体"/>
          <w:b w:val="0"/>
          <w:bCs w:val="0"/>
          <w:color w:val="auto"/>
          <w:kern w:val="2"/>
          <w:sz w:val="28"/>
          <w:szCs w:val="28"/>
          <w:highlight w:val="none"/>
          <w:lang w:val="en-US" w:eastAsia="zh-CN" w:bidi="ar-SA"/>
        </w:rPr>
        <w:t xml:space="preserve"> </w:t>
      </w:r>
      <w:r>
        <w:rPr>
          <w:rFonts w:hint="eastAsia" w:ascii="宋体" w:hAnsi="宋体" w:cs="宋体"/>
          <w:b w:val="0"/>
          <w:bCs w:val="0"/>
          <w:color w:val="auto"/>
          <w:kern w:val="2"/>
          <w:sz w:val="28"/>
          <w:szCs w:val="28"/>
          <w:highlight w:val="none"/>
          <w:lang w:val="en-US" w:eastAsia="zh-CN" w:bidi="ar-SA"/>
        </w:rPr>
        <w:t>成交人</w:t>
      </w:r>
      <w:r>
        <w:rPr>
          <w:rFonts w:hint="eastAsia" w:ascii="宋体" w:hAnsi="宋体" w:eastAsia="宋体" w:cs="宋体"/>
          <w:b w:val="0"/>
          <w:bCs w:val="0"/>
          <w:color w:val="auto"/>
          <w:kern w:val="2"/>
          <w:sz w:val="28"/>
          <w:szCs w:val="28"/>
          <w:highlight w:val="none"/>
          <w:lang w:val="en-US" w:eastAsia="zh-CN" w:bidi="ar-SA"/>
        </w:rPr>
        <w:t>在签约前已充分了解合作资产的现状、权属、设备设施条件以及周边环境，并自行判断投资的可行性、运营的风险性、收益的不确定性。</w:t>
      </w:r>
      <w:r>
        <w:rPr>
          <w:rFonts w:hint="eastAsia" w:ascii="宋体" w:hAnsi="宋体" w:cs="宋体"/>
          <w:b w:val="0"/>
          <w:bCs w:val="0"/>
          <w:color w:val="auto"/>
          <w:kern w:val="2"/>
          <w:sz w:val="28"/>
          <w:szCs w:val="28"/>
          <w:highlight w:val="none"/>
          <w:lang w:val="en-US" w:eastAsia="zh-CN" w:bidi="ar-SA"/>
        </w:rPr>
        <w:t>委托人</w:t>
      </w:r>
      <w:r>
        <w:rPr>
          <w:rFonts w:hint="eastAsia" w:ascii="宋体" w:hAnsi="宋体" w:eastAsia="宋体" w:cs="宋体"/>
          <w:b w:val="0"/>
          <w:bCs w:val="0"/>
          <w:color w:val="auto"/>
          <w:kern w:val="2"/>
          <w:sz w:val="28"/>
          <w:szCs w:val="28"/>
          <w:highlight w:val="none"/>
          <w:lang w:val="en-US" w:eastAsia="zh-CN" w:bidi="ar-SA"/>
        </w:rPr>
        <w:t>不对合作资产的商业价值、收益前景作出任何保证或者承诺。</w:t>
      </w:r>
    </w:p>
    <w:p w14:paraId="7C1AF9A0">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cs="宋体"/>
          <w:b w:val="0"/>
          <w:bCs w:val="0"/>
          <w:color w:val="auto"/>
          <w:kern w:val="2"/>
          <w:sz w:val="28"/>
          <w:szCs w:val="28"/>
          <w:highlight w:val="none"/>
          <w:lang w:val="en-US" w:eastAsia="zh-CN" w:bidi="ar-SA"/>
        </w:rPr>
        <w:t>（2）</w:t>
      </w:r>
      <w:r>
        <w:rPr>
          <w:rFonts w:hint="eastAsia" w:ascii="宋体" w:hAnsi="宋体" w:eastAsia="宋体" w:cs="宋体"/>
          <w:b w:val="0"/>
          <w:bCs w:val="0"/>
          <w:color w:val="auto"/>
          <w:kern w:val="2"/>
          <w:sz w:val="28"/>
          <w:szCs w:val="28"/>
          <w:highlight w:val="none"/>
          <w:lang w:val="en-US" w:eastAsia="zh-CN" w:bidi="ar-SA"/>
        </w:rPr>
        <w:t>成交后成立一家有限公司(具体以市场登记部门登记为准)，具体负责该项目的运营管理，对外对该项目的运营及结果承担全部法律责任。该公司由</w:t>
      </w:r>
      <w:r>
        <w:rPr>
          <w:rFonts w:hint="eastAsia" w:ascii="宋体" w:hAnsi="宋体" w:cs="宋体"/>
          <w:b w:val="0"/>
          <w:bCs w:val="0"/>
          <w:color w:val="auto"/>
          <w:kern w:val="2"/>
          <w:sz w:val="28"/>
          <w:szCs w:val="28"/>
          <w:highlight w:val="none"/>
          <w:lang w:val="en-US" w:eastAsia="zh-CN" w:bidi="ar-SA"/>
        </w:rPr>
        <w:t>成交人</w:t>
      </w:r>
      <w:r>
        <w:rPr>
          <w:rFonts w:hint="eastAsia" w:ascii="宋体" w:hAnsi="宋体" w:eastAsia="宋体" w:cs="宋体"/>
          <w:b w:val="0"/>
          <w:bCs w:val="0"/>
          <w:color w:val="auto"/>
          <w:kern w:val="2"/>
          <w:sz w:val="28"/>
          <w:szCs w:val="28"/>
          <w:highlight w:val="none"/>
          <w:lang w:val="en-US" w:eastAsia="zh-CN" w:bidi="ar-SA"/>
        </w:rPr>
        <w:t>全资控股，自主经营、自负盈亏，代表</w:t>
      </w:r>
      <w:r>
        <w:rPr>
          <w:rFonts w:hint="eastAsia" w:ascii="宋体" w:hAnsi="宋体" w:cs="宋体"/>
          <w:b w:val="0"/>
          <w:bCs w:val="0"/>
          <w:color w:val="auto"/>
          <w:kern w:val="2"/>
          <w:sz w:val="28"/>
          <w:szCs w:val="28"/>
          <w:highlight w:val="none"/>
          <w:lang w:val="en-US" w:eastAsia="zh-CN" w:bidi="ar-SA"/>
        </w:rPr>
        <w:t>成交人</w:t>
      </w:r>
      <w:r>
        <w:rPr>
          <w:rFonts w:hint="eastAsia" w:ascii="宋体" w:hAnsi="宋体" w:eastAsia="宋体" w:cs="宋体"/>
          <w:b w:val="0"/>
          <w:bCs w:val="0"/>
          <w:color w:val="auto"/>
          <w:kern w:val="2"/>
          <w:sz w:val="28"/>
          <w:szCs w:val="28"/>
          <w:highlight w:val="none"/>
          <w:lang w:val="en-US" w:eastAsia="zh-CN" w:bidi="ar-SA"/>
        </w:rPr>
        <w:t>行使本合同中所有的权利和义务并承担法律责任。</w:t>
      </w:r>
    </w:p>
    <w:p w14:paraId="219FEFB7">
      <w:pPr>
        <w:keepNext w:val="0"/>
        <w:keepLines w:val="0"/>
        <w:pageBreakBefore w:val="0"/>
        <w:widowControl/>
        <w:kinsoku/>
        <w:wordWrap/>
        <w:topLinePunct w:val="0"/>
        <w:bidi w:val="0"/>
        <w:spacing w:line="360" w:lineRule="auto"/>
        <w:ind w:left="0" w:firstLine="480"/>
        <w:jc w:val="left"/>
        <w:rPr>
          <w:rFonts w:hint="eastAsia" w:ascii="宋体" w:hAnsi="宋体" w:cs="宋体"/>
          <w:b w:val="0"/>
          <w:bCs w:val="0"/>
          <w:color w:val="auto"/>
          <w:sz w:val="28"/>
          <w:szCs w:val="28"/>
          <w:lang w:val="en-US" w:eastAsia="zh-CN"/>
        </w:rPr>
      </w:pPr>
      <w:r>
        <w:rPr>
          <w:rFonts w:hint="eastAsia" w:ascii="宋体" w:hAnsi="宋体" w:cs="宋体"/>
          <w:b w:val="0"/>
          <w:bCs w:val="0"/>
          <w:color w:val="auto"/>
          <w:kern w:val="2"/>
          <w:sz w:val="28"/>
          <w:szCs w:val="28"/>
          <w:highlight w:val="none"/>
          <w:lang w:val="en-US" w:eastAsia="zh-CN" w:bidi="ar-SA"/>
        </w:rPr>
        <w:t>（3）</w:t>
      </w:r>
      <w:r>
        <w:rPr>
          <w:rFonts w:hint="eastAsia" w:ascii="宋体" w:hAnsi="宋体" w:cs="宋体"/>
          <w:b w:val="0"/>
          <w:bCs w:val="0"/>
          <w:color w:val="auto"/>
          <w:sz w:val="28"/>
          <w:szCs w:val="28"/>
          <w:lang w:val="en-US" w:eastAsia="zh-CN"/>
        </w:rPr>
        <w:t>委托人</w:t>
      </w:r>
      <w:r>
        <w:rPr>
          <w:rFonts w:hint="eastAsia" w:ascii="宋体" w:hAnsi="宋体" w:eastAsia="宋体" w:cs="宋体"/>
          <w:b w:val="0"/>
          <w:bCs w:val="0"/>
          <w:color w:val="auto"/>
          <w:kern w:val="2"/>
          <w:sz w:val="28"/>
          <w:szCs w:val="28"/>
          <w:highlight w:val="none"/>
          <w:lang w:val="en-US" w:eastAsia="zh-CN" w:bidi="ar-SA"/>
        </w:rPr>
        <w:t>指派人员，对</w:t>
      </w:r>
      <w:r>
        <w:rPr>
          <w:rFonts w:hint="eastAsia" w:ascii="宋体" w:hAnsi="宋体" w:cs="宋体"/>
          <w:b w:val="0"/>
          <w:bCs w:val="0"/>
          <w:color w:val="auto"/>
          <w:kern w:val="2"/>
          <w:sz w:val="28"/>
          <w:szCs w:val="28"/>
          <w:highlight w:val="none"/>
          <w:lang w:val="en-US" w:eastAsia="zh-CN" w:bidi="ar-SA"/>
        </w:rPr>
        <w:t>成交人</w:t>
      </w:r>
      <w:r>
        <w:rPr>
          <w:rFonts w:hint="eastAsia" w:ascii="宋体" w:hAnsi="宋体" w:eastAsia="宋体" w:cs="宋体"/>
          <w:b w:val="0"/>
          <w:bCs w:val="0"/>
          <w:color w:val="auto"/>
          <w:kern w:val="2"/>
          <w:sz w:val="28"/>
          <w:szCs w:val="28"/>
          <w:highlight w:val="none"/>
          <w:lang w:val="en-US" w:eastAsia="zh-CN" w:bidi="ar-SA"/>
        </w:rPr>
        <w:t>的运营服务、财务管理、安全卫生等方面进行监督管理，</w:t>
      </w:r>
      <w:r>
        <w:rPr>
          <w:rFonts w:hint="eastAsia" w:ascii="宋体" w:hAnsi="宋体" w:cs="宋体"/>
          <w:b w:val="0"/>
          <w:bCs w:val="0"/>
          <w:color w:val="auto"/>
          <w:kern w:val="2"/>
          <w:sz w:val="28"/>
          <w:szCs w:val="28"/>
          <w:highlight w:val="none"/>
          <w:lang w:val="en-US" w:eastAsia="zh-CN" w:bidi="ar-SA"/>
        </w:rPr>
        <w:t>成交人</w:t>
      </w:r>
      <w:r>
        <w:rPr>
          <w:rFonts w:hint="eastAsia" w:ascii="宋体" w:hAnsi="宋体" w:eastAsia="宋体" w:cs="宋体"/>
          <w:b w:val="0"/>
          <w:bCs w:val="0"/>
          <w:color w:val="auto"/>
          <w:kern w:val="2"/>
          <w:sz w:val="28"/>
          <w:szCs w:val="28"/>
          <w:highlight w:val="none"/>
          <w:lang w:val="en-US" w:eastAsia="zh-CN" w:bidi="ar-SA"/>
        </w:rPr>
        <w:t>予以接受配合。</w:t>
      </w:r>
      <w:r>
        <w:rPr>
          <w:rFonts w:hint="eastAsia" w:ascii="宋体" w:hAnsi="宋体" w:cs="宋体"/>
          <w:b w:val="0"/>
          <w:bCs w:val="0"/>
          <w:color w:val="auto"/>
          <w:kern w:val="2"/>
          <w:sz w:val="28"/>
          <w:szCs w:val="28"/>
          <w:highlight w:val="none"/>
          <w:lang w:val="en-US" w:eastAsia="zh-CN" w:bidi="ar-SA"/>
        </w:rPr>
        <w:t>成交人</w:t>
      </w:r>
      <w:r>
        <w:rPr>
          <w:rFonts w:hint="eastAsia" w:ascii="宋体" w:hAnsi="宋体" w:eastAsia="宋体" w:cs="宋体"/>
          <w:b w:val="0"/>
          <w:bCs w:val="0"/>
          <w:color w:val="auto"/>
          <w:kern w:val="2"/>
          <w:sz w:val="28"/>
          <w:szCs w:val="28"/>
          <w:highlight w:val="none"/>
          <w:lang w:val="en-US" w:eastAsia="zh-CN" w:bidi="ar-SA"/>
        </w:rPr>
        <w:t>组建专业运营团队并负责养老项目日常运营服务。双方各自承担其指派/聘用人员的费用。</w:t>
      </w:r>
    </w:p>
    <w:p w14:paraId="064DB8EA">
      <w:pPr>
        <w:keepNext w:val="0"/>
        <w:keepLines w:val="0"/>
        <w:pageBreakBefore w:val="0"/>
        <w:widowControl/>
        <w:kinsoku/>
        <w:wordWrap/>
        <w:overflowPunct/>
        <w:topLinePunct w:val="0"/>
        <w:autoSpaceDE/>
        <w:autoSpaceDN/>
        <w:bidi w:val="0"/>
        <w:adjustRightInd/>
        <w:snapToGrid/>
        <w:spacing w:line="520" w:lineRule="exact"/>
        <w:ind w:left="0" w:firstLine="480"/>
        <w:jc w:val="left"/>
        <w:textAlignment w:val="auto"/>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061D40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1.竞价人必须遵守中华人民共和国法律、法规，能够提供本竞价文件所述货物及服务的具有独立法人资格的境内供应商（失信被执行人除外）；</w:t>
      </w:r>
    </w:p>
    <w:p w14:paraId="053A5B9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2.竞价人须具备民政部门出具的养老机构备案证明；</w:t>
      </w:r>
    </w:p>
    <w:p w14:paraId="21FD88A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.本项目不允许挂靠其他公司资格及分包，不接受联合体参与竞价；</w:t>
      </w:r>
    </w:p>
    <w:p w14:paraId="7897E7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5</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服务机构</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6C80DFA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10000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2026年11月9日上午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07AC1E3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2.竞价成交后，成交人必须在成交之日起2个工作日内与本公司签订《竞价结果通知书》，并在签订《竞价结果通知书》2个工作日内向委托人提供《合作运营合同》，由委托人经过相应审批程序后签订。</w:t>
      </w:r>
    </w:p>
    <w:p w14:paraId="22DC6EA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w:t>
      </w:r>
      <w:r>
        <w:rPr>
          <w:rFonts w:hint="eastAsia" w:ascii="宋体" w:hAnsi="宋体" w:cs="宋体"/>
          <w:color w:val="auto"/>
          <w:sz w:val="28"/>
          <w:szCs w:val="28"/>
          <w:highlight w:val="none"/>
          <w:lang w:val="en-US" w:eastAsia="zh-CN"/>
        </w:rPr>
        <w:t>合作运营合同</w:t>
      </w:r>
      <w:r>
        <w:rPr>
          <w:rFonts w:hint="eastAsia" w:ascii="宋体" w:hAnsi="宋体" w:eastAsia="宋体" w:cs="宋体"/>
          <w:color w:val="auto"/>
          <w:sz w:val="28"/>
          <w:szCs w:val="28"/>
          <w:highlight w:val="none"/>
          <w:lang w:val="en-US" w:eastAsia="zh-CN"/>
        </w:rPr>
        <w:t>后10个工作日内一次性无息退回。</w:t>
      </w:r>
    </w:p>
    <w:p w14:paraId="3F0B75D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0821ADE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highlight w:val="none"/>
          <w:lang w:val="en-US" w:eastAsia="zh-CN"/>
        </w:rPr>
        <w:t>中介机构营业执照副本、法定代表人身份证复印件</w:t>
      </w:r>
      <w:r>
        <w:rPr>
          <w:rFonts w:hint="eastAsia" w:ascii="宋体" w:hAnsi="宋体" w:eastAsia="宋体" w:cs="宋体"/>
          <w:color w:val="auto"/>
          <w:sz w:val="28"/>
          <w:szCs w:val="28"/>
          <w:lang w:val="en-US" w:eastAsia="zh-CN"/>
        </w:rPr>
        <w:t>；</w:t>
      </w:r>
    </w:p>
    <w:p w14:paraId="0CC5E9D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（2）竞价人须具备民政部门出具的养老机构备案证明；</w:t>
      </w:r>
    </w:p>
    <w:p w14:paraId="18484FB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（3）签订完整的《承诺书》；</w:t>
      </w:r>
    </w:p>
    <w:p w14:paraId="1FCA3F1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r>
        <w:rPr>
          <w:rFonts w:hint="eastAsia" w:ascii="宋体" w:hAnsi="宋体" w:cs="宋体"/>
          <w:color w:val="auto"/>
          <w:sz w:val="28"/>
          <w:szCs w:val="28"/>
          <w:highlight w:val="none"/>
          <w:lang w:val="en-US" w:eastAsia="zh-CN"/>
        </w:rPr>
        <w:t>。</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532D68D5">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1.本场竞价须三家及以上竞价人在规定时间内参与竞价，如果在规定时间内参与竞价的竞价人不足三家，则按流标处理，竞价人不得有异议。</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val="en-US" w:eastAsia="zh-CN"/>
        </w:rPr>
        <w:t>公开</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cs="宋体"/>
          <w:color w:val="auto"/>
          <w:kern w:val="2"/>
          <w:sz w:val="28"/>
          <w:szCs w:val="28"/>
          <w:highlight w:val="none"/>
          <w:shd w:val="clear"/>
          <w:lang w:val="en-US" w:eastAsia="zh-CN"/>
        </w:rPr>
        <w:t>正</w:t>
      </w:r>
      <w:r>
        <w:rPr>
          <w:rFonts w:hint="eastAsia" w:ascii="宋体" w:hAnsi="宋体" w:eastAsia="宋体" w:cs="宋体"/>
          <w:color w:val="auto"/>
          <w:kern w:val="2"/>
          <w:sz w:val="28"/>
          <w:szCs w:val="28"/>
          <w:highlight w:val="none"/>
          <w:shd w:val="clear"/>
          <w:lang w:eastAsia="zh-CN"/>
        </w:rPr>
        <w:t>向</w:t>
      </w:r>
      <w:r>
        <w:rPr>
          <w:rFonts w:hint="eastAsia" w:ascii="宋体" w:hAnsi="宋体" w:cs="宋体"/>
          <w:color w:val="auto"/>
          <w:kern w:val="2"/>
          <w:sz w:val="28"/>
          <w:szCs w:val="28"/>
          <w:highlight w:val="none"/>
          <w:shd w:val="clear"/>
          <w:lang w:val="en-US" w:eastAsia="zh-CN"/>
        </w:rPr>
        <w:t>多次</w:t>
      </w:r>
      <w:r>
        <w:rPr>
          <w:rFonts w:hint="eastAsia" w:ascii="宋体" w:hAnsi="宋体" w:eastAsia="宋体" w:cs="宋体"/>
          <w:color w:val="auto"/>
          <w:kern w:val="2"/>
          <w:sz w:val="28"/>
          <w:szCs w:val="28"/>
          <w:highlight w:val="none"/>
          <w:shd w:val="clear"/>
          <w:lang w:eastAsia="zh-CN"/>
        </w:rPr>
        <w:t>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提成费率</w:t>
      </w:r>
      <w:r>
        <w:rPr>
          <w:rFonts w:hint="eastAsia" w:ascii="宋体" w:hAnsi="宋体" w:cs="宋体"/>
          <w:b/>
          <w:bCs/>
          <w:color w:val="auto"/>
          <w:kern w:val="2"/>
          <w:sz w:val="28"/>
          <w:szCs w:val="28"/>
          <w:highlight w:val="none"/>
          <w:shd w:val="clear"/>
          <w:lang w:val="en-US" w:eastAsia="zh-CN"/>
        </w:rPr>
        <w:t>高</w:t>
      </w:r>
      <w:r>
        <w:rPr>
          <w:rFonts w:hint="eastAsia" w:ascii="宋体" w:hAnsi="宋体" w:eastAsia="宋体" w:cs="宋体"/>
          <w:b/>
          <w:bCs/>
          <w:color w:val="auto"/>
          <w:kern w:val="2"/>
          <w:sz w:val="28"/>
          <w:szCs w:val="28"/>
          <w:highlight w:val="none"/>
          <w:shd w:val="clear"/>
          <w:lang w:val="en-US" w:eastAsia="zh-CN"/>
        </w:rPr>
        <w:t>者</w:t>
      </w:r>
      <w:r>
        <w:rPr>
          <w:rFonts w:hint="eastAsia" w:ascii="宋体" w:hAnsi="宋体" w:eastAsia="宋体" w:cs="宋体"/>
          <w:b/>
          <w:bCs/>
          <w:color w:val="auto"/>
          <w:kern w:val="2"/>
          <w:sz w:val="28"/>
          <w:szCs w:val="28"/>
          <w:highlight w:val="none"/>
          <w:shd w:val="clear"/>
        </w:rPr>
        <w:t>得</w:t>
      </w:r>
      <w:r>
        <w:rPr>
          <w:rFonts w:hint="eastAsia" w:ascii="宋体" w:hAnsi="宋体" w:eastAsia="宋体" w:cs="宋体"/>
          <w:color w:val="auto"/>
          <w:kern w:val="2"/>
          <w:sz w:val="28"/>
          <w:szCs w:val="28"/>
          <w:highlight w:val="none"/>
          <w:shd w:val="clear"/>
        </w:rPr>
        <w:t>的交易方式。</w:t>
      </w:r>
    </w:p>
    <w:p w14:paraId="274A70CA">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3竞价人以</w:t>
      </w:r>
      <w:r>
        <w:rPr>
          <w:rFonts w:hint="eastAsia" w:ascii="宋体" w:hAnsi="宋体" w:eastAsia="宋体" w:cs="宋体"/>
          <w:b/>
          <w:bCs/>
          <w:color w:val="auto"/>
          <w:kern w:val="2"/>
          <w:sz w:val="28"/>
          <w:szCs w:val="28"/>
          <w:highlight w:val="none"/>
          <w:shd w:val="clear"/>
          <w:lang w:val="en-US" w:eastAsia="zh-CN"/>
        </w:rPr>
        <w:t>提成费率</w:t>
      </w:r>
      <w:r>
        <w:rPr>
          <w:rFonts w:hint="eastAsia" w:ascii="宋体" w:hAnsi="宋体" w:eastAsia="宋体" w:cs="宋体"/>
          <w:color w:val="auto"/>
          <w:sz w:val="28"/>
          <w:szCs w:val="28"/>
          <w:highlight w:val="none"/>
          <w:lang w:val="en-US" w:eastAsia="zh-CN"/>
        </w:rPr>
        <w:t>方式进行报价，竞价人在报</w:t>
      </w:r>
      <w:r>
        <w:rPr>
          <w:rFonts w:hint="eastAsia" w:ascii="宋体" w:hAnsi="宋体" w:cs="宋体"/>
          <w:b w:val="0"/>
          <w:bCs w:val="0"/>
          <w:color w:val="auto"/>
          <w:kern w:val="2"/>
          <w:sz w:val="28"/>
          <w:szCs w:val="28"/>
          <w:highlight w:val="none"/>
          <w:shd w:val="clear"/>
          <w:lang w:val="en-US" w:eastAsia="zh-CN"/>
        </w:rPr>
        <w:t>价</w:t>
      </w:r>
      <w:r>
        <w:rPr>
          <w:rFonts w:hint="eastAsia" w:ascii="宋体" w:hAnsi="宋体" w:eastAsia="宋体" w:cs="宋体"/>
          <w:color w:val="auto"/>
          <w:sz w:val="28"/>
          <w:szCs w:val="28"/>
          <w:highlight w:val="none"/>
          <w:lang w:val="en-US" w:eastAsia="zh-CN"/>
        </w:rPr>
        <w:t>时不得</w:t>
      </w:r>
      <w:r>
        <w:rPr>
          <w:rFonts w:hint="eastAsia" w:ascii="宋体" w:hAnsi="宋体" w:cs="宋体"/>
          <w:color w:val="auto"/>
          <w:sz w:val="28"/>
          <w:szCs w:val="28"/>
          <w:highlight w:val="none"/>
          <w:lang w:val="en-US" w:eastAsia="zh-CN"/>
        </w:rPr>
        <w:t>低</w:t>
      </w:r>
      <w:r>
        <w:rPr>
          <w:rFonts w:hint="eastAsia" w:ascii="宋体" w:hAnsi="宋体" w:eastAsia="宋体" w:cs="宋体"/>
          <w:color w:val="auto"/>
          <w:sz w:val="28"/>
          <w:szCs w:val="28"/>
          <w:highlight w:val="none"/>
          <w:lang w:val="en-US" w:eastAsia="zh-CN"/>
        </w:rPr>
        <w:t>于</w:t>
      </w:r>
      <w:r>
        <w:rPr>
          <w:rFonts w:hint="eastAsia" w:ascii="宋体" w:hAnsi="宋体" w:cs="宋体"/>
          <w:color w:val="auto"/>
          <w:sz w:val="28"/>
          <w:szCs w:val="28"/>
          <w:highlight w:val="none"/>
          <w:lang w:val="en-US" w:eastAsia="zh-CN"/>
        </w:rPr>
        <w:t>6%</w:t>
      </w:r>
      <w:r>
        <w:rPr>
          <w:rFonts w:hint="eastAsia" w:ascii="宋体" w:hAnsi="宋体" w:eastAsia="宋体" w:cs="宋体"/>
          <w:color w:val="auto"/>
          <w:sz w:val="28"/>
          <w:szCs w:val="28"/>
          <w:highlight w:val="none"/>
          <w:lang w:val="en-US" w:eastAsia="zh-CN"/>
        </w:rPr>
        <w:t>，根据有效竞价人报价排名情况，由低到高排序，最</w:t>
      </w:r>
      <w:r>
        <w:rPr>
          <w:rFonts w:hint="eastAsia" w:ascii="宋体" w:hAnsi="宋体" w:cs="宋体"/>
          <w:color w:val="auto"/>
          <w:sz w:val="28"/>
          <w:szCs w:val="28"/>
          <w:highlight w:val="none"/>
          <w:lang w:val="en-US" w:eastAsia="zh-CN"/>
        </w:rPr>
        <w:t>高</w:t>
      </w:r>
      <w:r>
        <w:rPr>
          <w:rFonts w:hint="eastAsia" w:ascii="宋体" w:hAnsi="宋体" w:eastAsia="宋体" w:cs="宋体"/>
          <w:color w:val="auto"/>
          <w:sz w:val="28"/>
          <w:szCs w:val="28"/>
          <w:highlight w:val="none"/>
          <w:lang w:val="en-US" w:eastAsia="zh-CN"/>
        </w:rPr>
        <w:t>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7924D95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shd w:val="clear"/>
          <w:lang w:val="en-US" w:eastAsia="zh-CN"/>
        </w:rPr>
        <w:t>提成费率</w:t>
      </w:r>
      <w:r>
        <w:rPr>
          <w:rFonts w:hint="eastAsia" w:ascii="宋体" w:hAnsi="宋体" w:eastAsia="宋体" w:cs="宋体"/>
          <w:b/>
          <w:bCs/>
          <w:color w:val="auto"/>
          <w:kern w:val="2"/>
          <w:sz w:val="28"/>
          <w:szCs w:val="28"/>
          <w:highlight w:val="none"/>
          <w:u w:val="none"/>
          <w:lang w:val="en-US" w:eastAsia="zh-CN" w:bidi="ar-SA"/>
        </w:rPr>
        <w:t>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w:t>
      </w:r>
      <w:r>
        <w:rPr>
          <w:rFonts w:hint="eastAsia" w:ascii="宋体" w:hAnsi="宋体" w:cs="宋体"/>
          <w:b/>
          <w:bCs/>
          <w:color w:val="auto"/>
          <w:kern w:val="2"/>
          <w:sz w:val="28"/>
          <w:szCs w:val="28"/>
          <w:highlight w:val="none"/>
          <w:shd w:val="clear"/>
          <w:lang w:val="en-US" w:eastAsia="zh-CN"/>
        </w:rPr>
        <w:t>低</w:t>
      </w:r>
      <w:r>
        <w:rPr>
          <w:rFonts w:hint="eastAsia" w:ascii="宋体" w:hAnsi="宋体" w:eastAsia="宋体" w:cs="宋体"/>
          <w:b/>
          <w:bCs/>
          <w:color w:val="auto"/>
          <w:kern w:val="2"/>
          <w:sz w:val="28"/>
          <w:szCs w:val="28"/>
          <w:highlight w:val="none"/>
          <w:shd w:val="clear"/>
          <w:lang w:val="en-US" w:eastAsia="zh-CN"/>
        </w:rPr>
        <w:t>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提成费率</w:t>
      </w:r>
      <w:r>
        <w:rPr>
          <w:rFonts w:hint="eastAsia" w:ascii="宋体" w:hAnsi="宋体" w:cs="宋体"/>
          <w:b/>
          <w:bCs/>
          <w:color w:val="auto"/>
          <w:kern w:val="2"/>
          <w:sz w:val="28"/>
          <w:szCs w:val="28"/>
          <w:highlight w:val="none"/>
          <w:shd w:val="clear"/>
          <w:lang w:val="en-US" w:eastAsia="zh-CN"/>
        </w:rPr>
        <w:t>低</w:t>
      </w:r>
      <w:r>
        <w:rPr>
          <w:rFonts w:hint="eastAsia" w:ascii="宋体" w:hAnsi="宋体" w:eastAsia="宋体" w:cs="宋体"/>
          <w:b/>
          <w:bCs/>
          <w:color w:val="auto"/>
          <w:kern w:val="2"/>
          <w:sz w:val="28"/>
          <w:szCs w:val="28"/>
          <w:highlight w:val="none"/>
          <w:shd w:val="clear"/>
        </w:rPr>
        <w:t>于</w:t>
      </w:r>
      <w:r>
        <w:rPr>
          <w:rFonts w:hint="eastAsia" w:ascii="宋体" w:hAnsi="宋体" w:cs="宋体"/>
          <w:b/>
          <w:bCs/>
          <w:color w:val="auto"/>
          <w:kern w:val="2"/>
          <w:sz w:val="28"/>
          <w:szCs w:val="28"/>
          <w:highlight w:val="none"/>
          <w:shd w:val="clear"/>
          <w:lang w:val="en-US" w:eastAsia="zh-CN"/>
        </w:rPr>
        <w:t>6%</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提成费率最</w:t>
      </w:r>
      <w:r>
        <w:rPr>
          <w:rFonts w:hint="eastAsia" w:ascii="宋体" w:hAnsi="宋体" w:cs="宋体"/>
          <w:b/>
          <w:bCs/>
          <w:color w:val="auto"/>
          <w:kern w:val="2"/>
          <w:sz w:val="28"/>
          <w:szCs w:val="28"/>
          <w:highlight w:val="none"/>
          <w:shd w:val="clear"/>
          <w:lang w:val="en-US" w:eastAsia="zh-CN"/>
        </w:rPr>
        <w:t>高</w:t>
      </w:r>
      <w:r>
        <w:rPr>
          <w:rFonts w:hint="eastAsia" w:ascii="宋体" w:hAnsi="宋体" w:eastAsia="宋体" w:cs="宋体"/>
          <w:b/>
          <w:bCs/>
          <w:color w:val="auto"/>
          <w:kern w:val="2"/>
          <w:sz w:val="28"/>
          <w:szCs w:val="28"/>
          <w:highlight w:val="none"/>
          <w:shd w:val="clear"/>
          <w:lang w:val="en-US" w:eastAsia="zh-CN"/>
        </w:rPr>
        <w:t>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6567F03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w:t>
      </w:r>
      <w:r>
        <w:rPr>
          <w:rFonts w:hint="eastAsia" w:ascii="宋体" w:hAnsi="宋体" w:cs="宋体"/>
          <w:color w:val="auto"/>
          <w:sz w:val="28"/>
          <w:szCs w:val="28"/>
          <w:highlight w:val="none"/>
          <w:lang w:val="en-US" w:eastAsia="zh-CN"/>
        </w:rPr>
        <w:t>低</w:t>
      </w:r>
      <w:r>
        <w:rPr>
          <w:rFonts w:hint="eastAsia" w:ascii="宋体" w:hAnsi="宋体" w:eastAsia="宋体" w:cs="宋体"/>
          <w:color w:val="auto"/>
          <w:sz w:val="28"/>
          <w:szCs w:val="28"/>
          <w:highlight w:val="none"/>
          <w:lang w:val="en-US" w:eastAsia="zh-CN"/>
        </w:rPr>
        <w:t>于最</w:t>
      </w:r>
      <w:r>
        <w:rPr>
          <w:rFonts w:hint="eastAsia" w:ascii="宋体" w:hAnsi="宋体" w:cs="宋体"/>
          <w:color w:val="auto"/>
          <w:sz w:val="28"/>
          <w:szCs w:val="28"/>
          <w:highlight w:val="none"/>
          <w:lang w:val="en-US" w:eastAsia="zh-CN"/>
        </w:rPr>
        <w:t>低</w:t>
      </w:r>
      <w:r>
        <w:rPr>
          <w:rFonts w:hint="eastAsia" w:ascii="宋体" w:hAnsi="宋体" w:eastAsia="宋体" w:cs="宋体"/>
          <w:color w:val="auto"/>
          <w:sz w:val="28"/>
          <w:szCs w:val="28"/>
          <w:highlight w:val="none"/>
          <w:lang w:val="en-US" w:eastAsia="zh-CN"/>
        </w:rPr>
        <w:t>限价进行报价，同时成交人应签署《竞价结果通知书》等相关文件，否则视同为违约。</w:t>
      </w:r>
    </w:p>
    <w:p w14:paraId="713428E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478A402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竞价成交后，成交人应向本公司</w:t>
      </w:r>
      <w:r>
        <w:rPr>
          <w:rFonts w:hint="eastAsia" w:ascii="宋体" w:hAnsi="宋体" w:eastAsia="宋体" w:cs="宋体"/>
          <w:color w:val="auto"/>
          <w:sz w:val="28"/>
          <w:szCs w:val="28"/>
          <w:highlight w:val="none"/>
          <w:lang w:val="en-US" w:eastAsia="zh-CN"/>
        </w:rPr>
        <w:t>一次性支付</w:t>
      </w:r>
      <w:r>
        <w:rPr>
          <w:rFonts w:hint="eastAsia" w:ascii="宋体" w:hAnsi="宋体" w:cs="宋体"/>
          <w:color w:val="auto"/>
          <w:sz w:val="28"/>
          <w:szCs w:val="28"/>
          <w:highlight w:val="none"/>
          <w:lang w:val="en-US" w:eastAsia="zh-CN"/>
        </w:rPr>
        <w:t>3000</w:t>
      </w:r>
      <w:r>
        <w:rPr>
          <w:rFonts w:hint="eastAsia" w:ascii="宋体" w:hAnsi="宋体" w:eastAsia="宋体" w:cs="宋体"/>
          <w:color w:val="auto"/>
          <w:sz w:val="28"/>
          <w:szCs w:val="28"/>
          <w:highlight w:val="none"/>
          <w:lang w:val="en-US" w:eastAsia="zh-CN"/>
        </w:rPr>
        <w:t>元</w:t>
      </w:r>
      <w:r>
        <w:rPr>
          <w:rFonts w:hint="eastAsia" w:ascii="宋体" w:hAnsi="宋体" w:eastAsia="宋体" w:cs="宋体"/>
          <w:color w:val="auto"/>
          <w:sz w:val="28"/>
          <w:szCs w:val="28"/>
          <w:highlight w:val="none"/>
        </w:rPr>
        <w:t>支付交易服务费。</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运营收入与分成</w:t>
      </w:r>
    </w:p>
    <w:p w14:paraId="225809E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具体详见</w:t>
      </w:r>
      <w:r>
        <w:rPr>
          <w:rFonts w:hint="eastAsia" w:ascii="宋体" w:hAnsi="宋体" w:cs="宋体"/>
          <w:color w:val="auto"/>
          <w:sz w:val="28"/>
          <w:szCs w:val="28"/>
          <w:highlight w:val="none"/>
          <w:lang w:val="en-US" w:eastAsia="zh-CN"/>
        </w:rPr>
        <w:t>《合作运营合同》。</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合作运营合同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合作运营合同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5"/>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2026年11月3日</w:t>
      </w:r>
    </w:p>
    <w:p w14:paraId="7039278D">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31E169A1">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2AF4948C">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16EB5645">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7E4456F3">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0D16E0A">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6A7662A6">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2026年11月10日</w:t>
      </w:r>
      <w:r>
        <w:rPr>
          <w:rFonts w:hint="eastAsia" w:ascii="宋体" w:hAnsi="宋体" w:eastAsia="宋体" w:cs="宋体"/>
          <w:color w:val="auto"/>
          <w:sz w:val="28"/>
          <w:szCs w:val="28"/>
          <w:highlight w:val="none"/>
        </w:rPr>
        <w:t>上午举行的 “连城县招标投标交易平台</w:t>
      </w:r>
      <w:r>
        <w:rPr>
          <w:rFonts w:hint="eastAsia" w:ascii="宋体" w:hAnsi="宋体" w:cs="宋体"/>
          <w:color w:val="auto"/>
          <w:sz w:val="28"/>
          <w:szCs w:val="28"/>
          <w:highlight w:val="none"/>
          <w:lang w:val="en-US" w:eastAsia="zh-CN"/>
        </w:rPr>
        <w:t>正</w:t>
      </w:r>
      <w:r>
        <w:rPr>
          <w:rFonts w:hint="eastAsia" w:ascii="宋体" w:hAnsi="宋体" w:eastAsia="宋体" w:cs="宋体"/>
          <w:color w:val="auto"/>
          <w:sz w:val="28"/>
          <w:szCs w:val="28"/>
          <w:highlight w:val="none"/>
        </w:rPr>
        <w:t>向</w:t>
      </w:r>
      <w:r>
        <w:rPr>
          <w:rFonts w:hint="eastAsia" w:ascii="宋体" w:hAnsi="宋体" w:cs="宋体"/>
          <w:color w:val="auto"/>
          <w:sz w:val="28"/>
          <w:szCs w:val="28"/>
          <w:highlight w:val="none"/>
          <w:lang w:val="en-US" w:eastAsia="zh-CN"/>
        </w:rPr>
        <w:t>多</w:t>
      </w:r>
      <w:r>
        <w:rPr>
          <w:rFonts w:hint="eastAsia" w:ascii="宋体" w:hAnsi="宋体" w:eastAsia="宋体" w:cs="宋体"/>
          <w:color w:val="auto"/>
          <w:sz w:val="28"/>
          <w:szCs w:val="28"/>
          <w:highlight w:val="none"/>
        </w:rPr>
        <w:t>次报价”</w:t>
      </w:r>
      <w:r>
        <w:rPr>
          <w:rFonts w:hint="eastAsia" w:ascii="宋体" w:hAnsi="宋体" w:cs="宋体"/>
          <w:color w:val="auto"/>
          <w:sz w:val="28"/>
          <w:szCs w:val="28"/>
          <w:highlight w:val="none"/>
          <w:u w:val="single"/>
          <w:lang w:eastAsia="zh-CN"/>
        </w:rPr>
        <w:t>连城县林坊镇老卫生院综合楼与连城县林坊镇卫生院医养结合病房楼养老项目合作运营</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LCCQJJ20261110</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05E8B74">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18AB9E10">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0827786B">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428C528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390A9ABA">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041EABA">
      <w:pPr>
        <w:rPr>
          <w:rFonts w:hint="default" w:ascii="宋体" w:hAnsi="宋体" w:eastAsia="宋体" w:cs="宋体"/>
          <w:color w:val="auto"/>
          <w:sz w:val="28"/>
          <w:szCs w:val="28"/>
          <w:highlight w:val="none"/>
          <w:lang w:val="en-US" w:eastAsia="zh-CN"/>
        </w:rPr>
      </w:pPr>
      <w:r>
        <w:rPr>
          <w:rFonts w:hint="default" w:ascii="宋体" w:hAnsi="宋体" w:eastAsia="宋体" w:cs="宋体"/>
          <w:color w:val="auto"/>
          <w:sz w:val="28"/>
          <w:szCs w:val="28"/>
          <w:highlight w:val="none"/>
          <w:lang w:val="en-US" w:eastAsia="zh-CN"/>
        </w:rPr>
        <w:br w:type="page"/>
      </w:r>
    </w:p>
    <w:p w14:paraId="403BAC69">
      <w:pPr>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附件：合同</w:t>
      </w:r>
    </w:p>
    <w:p w14:paraId="713E3080">
      <w:pPr>
        <w:pStyle w:val="14"/>
        <w:adjustRightInd w:val="0"/>
        <w:snapToGrid w:val="0"/>
        <w:ind w:firstLine="0" w:firstLineChars="0"/>
        <w:jc w:val="center"/>
        <w:rPr>
          <w:rFonts w:hAnsi="宋体" w:cs="宋体"/>
          <w:b/>
          <w:bCs/>
          <w:color w:val="auto"/>
          <w:sz w:val="21"/>
          <w:szCs w:val="21"/>
          <w:highlight w:val="none"/>
        </w:rPr>
      </w:pPr>
      <w:bookmarkStart w:id="0" w:name="OLE_LINK8"/>
      <w:r>
        <w:rPr>
          <w:rFonts w:hint="eastAsia" w:hAnsi="宋体" w:cs="宋体"/>
          <w:b/>
          <w:bCs/>
          <w:color w:val="auto"/>
          <w:sz w:val="21"/>
          <w:szCs w:val="21"/>
          <w:highlight w:val="none"/>
        </w:rPr>
        <w:t>林坊卫生院养老项目合作运营合同</w:t>
      </w:r>
    </w:p>
    <w:p w14:paraId="02A0A441">
      <w:pPr>
        <w:pStyle w:val="14"/>
        <w:adjustRightInd w:val="0"/>
        <w:snapToGrid w:val="0"/>
        <w:ind w:firstLine="0" w:firstLineChars="0"/>
        <w:rPr>
          <w:rFonts w:hAnsi="宋体" w:cs="宋体"/>
          <w:color w:val="auto"/>
          <w:sz w:val="21"/>
          <w:szCs w:val="21"/>
          <w:highlight w:val="none"/>
        </w:rPr>
      </w:pPr>
    </w:p>
    <w:p w14:paraId="31EF9779">
      <w:pPr>
        <w:pStyle w:val="14"/>
        <w:adjustRightInd w:val="0"/>
        <w:snapToGrid w:val="0"/>
        <w:ind w:firstLine="0" w:firstLineChars="0"/>
        <w:rPr>
          <w:rFonts w:hAnsi="宋体" w:cs="宋体"/>
          <w:color w:val="auto"/>
          <w:sz w:val="21"/>
          <w:szCs w:val="21"/>
          <w:highlight w:val="none"/>
        </w:rPr>
      </w:pPr>
      <w:r>
        <w:rPr>
          <w:rFonts w:hint="eastAsia" w:hAnsi="宋体" w:cs="宋体"/>
          <w:color w:val="auto"/>
          <w:sz w:val="21"/>
          <w:szCs w:val="21"/>
          <w:highlight w:val="none"/>
        </w:rPr>
        <w:t>甲方（采购人</w:t>
      </w:r>
      <w:r>
        <w:rPr>
          <w:rFonts w:hAnsi="宋体" w:cs="宋体"/>
          <w:color w:val="auto"/>
          <w:sz w:val="21"/>
          <w:szCs w:val="21"/>
          <w:highlight w:val="none"/>
        </w:rPr>
        <w:t>/</w:t>
      </w:r>
      <w:r>
        <w:rPr>
          <w:rFonts w:hint="eastAsia" w:hAnsi="宋体" w:cs="宋体"/>
          <w:color w:val="auto"/>
          <w:sz w:val="21"/>
          <w:szCs w:val="21"/>
          <w:highlight w:val="none"/>
        </w:rPr>
        <w:t>资产提供方）：</w:t>
      </w:r>
      <w:r>
        <w:rPr>
          <w:rFonts w:hAnsi="宋体" w:cs="宋体"/>
          <w:color w:val="auto"/>
          <w:sz w:val="21"/>
          <w:szCs w:val="21"/>
          <w:highlight w:val="none"/>
        </w:rPr>
        <w:t xml:space="preserve"> </w:t>
      </w:r>
    </w:p>
    <w:p w14:paraId="095CEBBF">
      <w:pPr>
        <w:pStyle w:val="14"/>
        <w:adjustRightInd w:val="0"/>
        <w:snapToGrid w:val="0"/>
        <w:ind w:firstLine="0" w:firstLineChars="0"/>
        <w:rPr>
          <w:rFonts w:hAnsi="宋体" w:cs="宋体"/>
          <w:color w:val="auto"/>
          <w:sz w:val="21"/>
          <w:szCs w:val="21"/>
          <w:highlight w:val="none"/>
        </w:rPr>
      </w:pPr>
      <w:bookmarkStart w:id="1" w:name="OLE_LINK36"/>
      <w:r>
        <w:rPr>
          <w:rFonts w:hint="eastAsia" w:hAnsi="宋体" w:cs="宋体"/>
          <w:color w:val="auto"/>
          <w:sz w:val="21"/>
          <w:szCs w:val="21"/>
          <w:highlight w:val="none"/>
        </w:rPr>
        <w:t>统一社会信用代码：</w:t>
      </w:r>
    </w:p>
    <w:p w14:paraId="5EDA0407">
      <w:pPr>
        <w:pStyle w:val="14"/>
        <w:adjustRightInd w:val="0"/>
        <w:snapToGrid w:val="0"/>
        <w:ind w:firstLine="0" w:firstLineChars="0"/>
        <w:rPr>
          <w:rFonts w:hAnsi="宋体" w:cs="宋体"/>
          <w:color w:val="auto"/>
          <w:sz w:val="21"/>
          <w:szCs w:val="21"/>
          <w:highlight w:val="none"/>
        </w:rPr>
      </w:pPr>
      <w:r>
        <w:rPr>
          <w:rFonts w:hint="eastAsia" w:hAnsi="宋体" w:cs="宋体"/>
          <w:color w:val="auto"/>
          <w:sz w:val="21"/>
          <w:szCs w:val="21"/>
          <w:highlight w:val="none"/>
        </w:rPr>
        <w:t>住所地：</w:t>
      </w:r>
    </w:p>
    <w:p w14:paraId="51C4C0DF">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法定代表人：</w:t>
      </w:r>
    </w:p>
    <w:p w14:paraId="2C865799">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联系人:</w:t>
      </w:r>
    </w:p>
    <w:p w14:paraId="0A49790C">
      <w:pPr>
        <w:pStyle w:val="14"/>
        <w:adjustRightInd w:val="0"/>
        <w:snapToGrid w:val="0"/>
        <w:ind w:firstLine="0" w:firstLineChars="0"/>
        <w:rPr>
          <w:rFonts w:hint="eastAsia" w:hAnsi="宋体" w:cs="宋体"/>
          <w:color w:val="auto"/>
          <w:sz w:val="21"/>
          <w:szCs w:val="21"/>
          <w:highlight w:val="none"/>
        </w:rPr>
      </w:pPr>
      <w:bookmarkStart w:id="2" w:name="OLE_LINK34"/>
      <w:bookmarkStart w:id="3" w:name="OLE_LINK35"/>
      <w:r>
        <w:rPr>
          <w:rFonts w:hint="eastAsia" w:hAnsi="宋体" w:cs="宋体"/>
          <w:color w:val="auto"/>
          <w:sz w:val="21"/>
          <w:szCs w:val="21"/>
          <w:highlight w:val="none"/>
        </w:rPr>
        <w:t>联系电话（微信</w:t>
      </w:r>
      <w:r>
        <w:rPr>
          <w:rFonts w:hAnsi="宋体" w:cs="宋体"/>
          <w:color w:val="auto"/>
          <w:sz w:val="21"/>
          <w:szCs w:val="21"/>
          <w:highlight w:val="none"/>
        </w:rPr>
        <w:t>）</w:t>
      </w:r>
      <w:r>
        <w:rPr>
          <w:rFonts w:hint="eastAsia" w:hAnsi="宋体" w:cs="宋体"/>
          <w:color w:val="auto"/>
          <w:sz w:val="21"/>
          <w:szCs w:val="21"/>
          <w:highlight w:val="none"/>
        </w:rPr>
        <w:t>：</w:t>
      </w:r>
      <w:r>
        <w:rPr>
          <w:rFonts w:hAnsi="宋体" w:cs="宋体"/>
          <w:color w:val="auto"/>
          <w:sz w:val="21"/>
          <w:szCs w:val="21"/>
          <w:highlight w:val="none"/>
        </w:rPr>
        <w:t xml:space="preserve"> </w:t>
      </w:r>
      <w:r>
        <w:rPr>
          <w:rFonts w:hint="eastAsia" w:hAnsi="宋体" w:cs="宋体"/>
          <w:color w:val="auto"/>
          <w:sz w:val="21"/>
          <w:szCs w:val="21"/>
          <w:highlight w:val="none"/>
        </w:rPr>
        <w:t xml:space="preserve">                    电子邮箱：</w:t>
      </w:r>
    </w:p>
    <w:bookmarkEnd w:id="1"/>
    <w:bookmarkEnd w:id="2"/>
    <w:bookmarkEnd w:id="3"/>
    <w:p w14:paraId="127889C2">
      <w:pPr>
        <w:pStyle w:val="14"/>
        <w:adjustRightInd w:val="0"/>
        <w:snapToGrid w:val="0"/>
        <w:ind w:firstLine="0" w:firstLineChars="0"/>
        <w:rPr>
          <w:rFonts w:hAnsi="宋体" w:cs="宋体"/>
          <w:color w:val="auto"/>
          <w:sz w:val="21"/>
          <w:szCs w:val="21"/>
          <w:highlight w:val="none"/>
        </w:rPr>
      </w:pPr>
    </w:p>
    <w:p w14:paraId="694FE834">
      <w:pPr>
        <w:pStyle w:val="14"/>
        <w:adjustRightInd w:val="0"/>
        <w:snapToGrid w:val="0"/>
        <w:ind w:firstLine="0" w:firstLineChars="0"/>
        <w:rPr>
          <w:rFonts w:hAnsi="宋体" w:cs="宋体"/>
          <w:color w:val="auto"/>
          <w:sz w:val="21"/>
          <w:szCs w:val="21"/>
          <w:highlight w:val="none"/>
        </w:rPr>
      </w:pPr>
      <w:r>
        <w:rPr>
          <w:rFonts w:hint="eastAsia" w:hAnsi="宋体" w:cs="宋体"/>
          <w:color w:val="auto"/>
          <w:sz w:val="21"/>
          <w:szCs w:val="21"/>
          <w:highlight w:val="none"/>
        </w:rPr>
        <w:t>乙方（成交商</w:t>
      </w:r>
      <w:r>
        <w:rPr>
          <w:rFonts w:hAnsi="宋体" w:cs="宋体"/>
          <w:color w:val="auto"/>
          <w:sz w:val="21"/>
          <w:szCs w:val="21"/>
          <w:highlight w:val="none"/>
        </w:rPr>
        <w:t>/</w:t>
      </w:r>
      <w:r>
        <w:rPr>
          <w:rFonts w:hint="eastAsia" w:hAnsi="宋体" w:cs="宋体"/>
          <w:color w:val="auto"/>
          <w:sz w:val="21"/>
          <w:szCs w:val="21"/>
          <w:highlight w:val="none"/>
        </w:rPr>
        <w:t>运营合作方）：</w:t>
      </w:r>
    </w:p>
    <w:p w14:paraId="59F6562B">
      <w:pPr>
        <w:pStyle w:val="14"/>
        <w:adjustRightInd w:val="0"/>
        <w:snapToGrid w:val="0"/>
        <w:ind w:firstLine="0" w:firstLineChars="0"/>
        <w:rPr>
          <w:rFonts w:hAnsi="宋体" w:cs="宋体"/>
          <w:color w:val="auto"/>
          <w:sz w:val="21"/>
          <w:szCs w:val="21"/>
          <w:highlight w:val="none"/>
        </w:rPr>
      </w:pPr>
      <w:r>
        <w:rPr>
          <w:rFonts w:hint="eastAsia" w:hAnsi="宋体" w:cs="宋体"/>
          <w:color w:val="auto"/>
          <w:sz w:val="21"/>
          <w:szCs w:val="21"/>
          <w:highlight w:val="none"/>
        </w:rPr>
        <w:t>统一社会信用代码：</w:t>
      </w:r>
    </w:p>
    <w:p w14:paraId="063C912A">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住所地：</w:t>
      </w:r>
    </w:p>
    <w:p w14:paraId="378D5CF7">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法定代表人：</w:t>
      </w:r>
    </w:p>
    <w:p w14:paraId="16A788A8">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联系人:</w:t>
      </w:r>
    </w:p>
    <w:p w14:paraId="591D7E8E">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联系电话（微信）：                     电子邮箱：</w:t>
      </w:r>
    </w:p>
    <w:p w14:paraId="3EB32AE7">
      <w:pPr>
        <w:pStyle w:val="14"/>
        <w:adjustRightInd w:val="0"/>
        <w:snapToGrid w:val="0"/>
        <w:ind w:firstLine="0" w:firstLineChars="0"/>
        <w:rPr>
          <w:rFonts w:hAnsi="宋体" w:cs="宋体"/>
          <w:color w:val="auto"/>
          <w:sz w:val="21"/>
          <w:szCs w:val="21"/>
          <w:highlight w:val="none"/>
        </w:rPr>
      </w:pPr>
    </w:p>
    <w:p w14:paraId="3FCCC29D">
      <w:pPr>
        <w:pStyle w:val="14"/>
        <w:adjustRightInd w:val="0"/>
        <w:snapToGrid w:val="0"/>
        <w:ind w:firstLine="0" w:firstLineChars="0"/>
        <w:rPr>
          <w:rFonts w:hAnsi="宋体" w:cs="宋体"/>
          <w:color w:val="auto"/>
          <w:sz w:val="21"/>
          <w:szCs w:val="21"/>
          <w:highlight w:val="none"/>
        </w:rPr>
      </w:pPr>
      <w:r>
        <w:rPr>
          <w:rFonts w:hint="eastAsia" w:hAnsi="宋体" w:cs="宋体"/>
          <w:color w:val="auto"/>
          <w:sz w:val="21"/>
          <w:szCs w:val="21"/>
          <w:highlight w:val="none"/>
        </w:rPr>
        <w:t>鉴于：</w:t>
      </w:r>
    </w:p>
    <w:p w14:paraId="28EA8154">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 </w:t>
      </w:r>
      <w:r>
        <w:rPr>
          <w:rFonts w:hint="eastAsia" w:hAnsi="宋体" w:cs="宋体"/>
          <w:color w:val="auto"/>
          <w:sz w:val="21"/>
          <w:szCs w:val="21"/>
          <w:highlight w:val="none"/>
        </w:rPr>
        <w:t>甲方系两处卫生院养老资产的管理与提供方，拟通过合作运营模式引入专业第三方康养服务机构，以保障卫生院养老项目顺利落地投运。</w:t>
      </w:r>
    </w:p>
    <w:p w14:paraId="2718F481">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2. </w:t>
      </w:r>
      <w:r>
        <w:rPr>
          <w:rFonts w:hint="eastAsia" w:hAnsi="宋体" w:cs="宋体"/>
          <w:color w:val="auto"/>
          <w:sz w:val="21"/>
          <w:szCs w:val="21"/>
          <w:highlight w:val="none"/>
        </w:rPr>
        <w:t>乙方系依法设立并有效存续的专业康养服务机构，具备医养结合服务团队、成熟运营体系及本地化养老服务实操经验，愿意按照本合同约定投资并运营上述资产。</w:t>
      </w:r>
    </w:p>
    <w:p w14:paraId="1C8490C2">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根据《中华人民共和国民法典》、《中华人民共和国老年人权益保障法》、《养老机构管理办法》等相关法律法规，甲乙双方本着平等、自愿、公平、诚信的原则，就卫生院养老项目合作运营事宜，经充分友好协商一致订立本合同</w:t>
      </w:r>
    </w:p>
    <w:p w14:paraId="7F144CB8">
      <w:pPr>
        <w:pStyle w:val="14"/>
        <w:adjustRightInd w:val="0"/>
        <w:snapToGrid w:val="0"/>
        <w:ind w:firstLine="422"/>
        <w:rPr>
          <w:rFonts w:hAnsi="宋体" w:cs="宋体"/>
          <w:b/>
          <w:bCs/>
          <w:color w:val="auto"/>
          <w:sz w:val="21"/>
          <w:szCs w:val="21"/>
          <w:highlight w:val="none"/>
        </w:rPr>
      </w:pPr>
      <w:r>
        <w:rPr>
          <w:rFonts w:hint="eastAsia" w:hAnsi="宋体" w:cs="宋体"/>
          <w:b/>
          <w:bCs/>
          <w:color w:val="auto"/>
          <w:sz w:val="21"/>
          <w:szCs w:val="21"/>
          <w:highlight w:val="none"/>
        </w:rPr>
        <w:t>第一条</w:t>
      </w:r>
      <w:r>
        <w:rPr>
          <w:rFonts w:hAnsi="宋体" w:cs="宋体"/>
          <w:b/>
          <w:bCs/>
          <w:color w:val="auto"/>
          <w:sz w:val="21"/>
          <w:szCs w:val="21"/>
          <w:highlight w:val="none"/>
        </w:rPr>
        <w:t xml:space="preserve">  </w:t>
      </w:r>
      <w:r>
        <w:rPr>
          <w:rFonts w:hint="eastAsia" w:hAnsi="宋体" w:cs="宋体"/>
          <w:b/>
          <w:bCs/>
          <w:color w:val="auto"/>
          <w:sz w:val="21"/>
          <w:szCs w:val="21"/>
          <w:highlight w:val="none"/>
        </w:rPr>
        <w:t>合作概况</w:t>
      </w:r>
    </w:p>
    <w:p w14:paraId="409C5FFC">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1.1 </w:t>
      </w:r>
      <w:r>
        <w:rPr>
          <w:rFonts w:hint="eastAsia" w:hAnsi="宋体" w:cs="宋体"/>
          <w:color w:val="auto"/>
          <w:sz w:val="21"/>
          <w:szCs w:val="21"/>
          <w:highlight w:val="none"/>
          <w:lang w:eastAsia="zh-CN"/>
        </w:rPr>
        <w:t>第</w:t>
      </w:r>
      <w:r>
        <w:rPr>
          <w:rFonts w:hint="eastAsia" w:hAnsi="宋体" w:cs="宋体"/>
          <w:color w:val="auto"/>
          <w:sz w:val="21"/>
          <w:szCs w:val="21"/>
          <w:highlight w:val="none"/>
          <w:lang w:val="en-US" w:eastAsia="zh-CN"/>
        </w:rPr>
        <w:t>一</w:t>
      </w:r>
      <w:r>
        <w:rPr>
          <w:rFonts w:hint="eastAsia" w:hAnsi="宋体" w:cs="宋体"/>
          <w:color w:val="auto"/>
          <w:sz w:val="21"/>
          <w:szCs w:val="21"/>
          <w:highlight w:val="none"/>
        </w:rPr>
        <w:t>处资产</w:t>
      </w:r>
      <w:r>
        <w:rPr>
          <w:rFonts w:hint="eastAsia" w:hAnsi="宋体" w:cs="宋体"/>
          <w:color w:val="auto"/>
          <w:sz w:val="21"/>
          <w:szCs w:val="21"/>
          <w:highlight w:val="none"/>
          <w:lang w:eastAsia="zh-CN"/>
        </w:rPr>
        <w:t>（</w:t>
      </w:r>
      <w:r>
        <w:rPr>
          <w:rFonts w:hint="eastAsia" w:hAnsi="宋体" w:cs="宋体"/>
          <w:color w:val="auto"/>
          <w:sz w:val="21"/>
          <w:szCs w:val="21"/>
          <w:highlight w:val="none"/>
        </w:rPr>
        <w:t>老卫生院综合楼</w:t>
      </w:r>
      <w:r>
        <w:rPr>
          <w:rFonts w:hint="eastAsia" w:hAnsi="宋体" w:cs="宋体"/>
          <w:color w:val="auto"/>
          <w:sz w:val="21"/>
          <w:szCs w:val="21"/>
          <w:highlight w:val="none"/>
          <w:lang w:eastAsia="zh-CN"/>
        </w:rPr>
        <w:t>）</w:t>
      </w:r>
      <w:r>
        <w:rPr>
          <w:rFonts w:hint="eastAsia" w:hAnsi="宋体" w:cs="宋体"/>
          <w:color w:val="auto"/>
          <w:sz w:val="21"/>
          <w:szCs w:val="21"/>
          <w:highlight w:val="none"/>
        </w:rPr>
        <w:t>：位于连城县</w:t>
      </w:r>
      <w:bookmarkStart w:id="4" w:name="OLE_LINK2"/>
      <w:bookmarkStart w:id="5" w:name="OLE_LINK1"/>
      <w:r>
        <w:rPr>
          <w:rFonts w:hint="eastAsia" w:hAnsi="宋体" w:cs="宋体"/>
          <w:color w:val="auto"/>
          <w:sz w:val="21"/>
          <w:szCs w:val="21"/>
          <w:highlight w:val="none"/>
        </w:rPr>
        <w:t>林坊</w:t>
      </w:r>
      <w:bookmarkEnd w:id="4"/>
      <w:bookmarkEnd w:id="5"/>
      <w:r>
        <w:rPr>
          <w:rFonts w:hint="eastAsia" w:hAnsi="宋体" w:cs="宋体"/>
          <w:color w:val="auto"/>
          <w:sz w:val="21"/>
          <w:szCs w:val="21"/>
          <w:highlight w:val="none"/>
        </w:rPr>
        <w:t>镇大梨村，建筑面积</w:t>
      </w:r>
      <w:r>
        <w:rPr>
          <w:rFonts w:hAnsi="宋体" w:cs="宋体"/>
          <w:color w:val="auto"/>
          <w:sz w:val="21"/>
          <w:szCs w:val="21"/>
          <w:highlight w:val="none"/>
        </w:rPr>
        <w:t>729</w:t>
      </w:r>
      <w:r>
        <w:rPr>
          <w:rFonts w:hint="eastAsia" w:hAnsi="宋体" w:cs="宋体"/>
          <w:color w:val="auto"/>
          <w:sz w:val="21"/>
          <w:szCs w:val="21"/>
          <w:highlight w:val="none"/>
        </w:rPr>
        <w:t>平方米，设计</w:t>
      </w:r>
      <w:r>
        <w:rPr>
          <w:rFonts w:hAnsi="宋体" w:cs="宋体"/>
          <w:color w:val="auto"/>
          <w:sz w:val="21"/>
          <w:szCs w:val="21"/>
          <w:highlight w:val="none"/>
        </w:rPr>
        <w:t>28</w:t>
      </w:r>
      <w:r>
        <w:rPr>
          <w:rFonts w:hint="eastAsia" w:hAnsi="宋体" w:cs="宋体"/>
          <w:color w:val="auto"/>
          <w:sz w:val="21"/>
          <w:szCs w:val="21"/>
          <w:highlight w:val="none"/>
        </w:rPr>
        <w:t>张床位</w:t>
      </w:r>
      <w:r>
        <w:rPr>
          <w:rFonts w:hint="eastAsia" w:hAnsi="宋体" w:cs="宋体"/>
          <w:color w:val="auto"/>
          <w:sz w:val="21"/>
          <w:szCs w:val="21"/>
          <w:highlight w:val="none"/>
          <w:lang w:eastAsia="zh-CN"/>
        </w:rPr>
        <w:t>，</w:t>
      </w:r>
      <w:r>
        <w:rPr>
          <w:rFonts w:hint="eastAsia" w:hAnsi="宋体" w:cs="宋体"/>
          <w:color w:val="auto"/>
          <w:sz w:val="21"/>
          <w:szCs w:val="21"/>
          <w:highlight w:val="none"/>
        </w:rPr>
        <w:t>当前已</w:t>
      </w:r>
      <w:r>
        <w:rPr>
          <w:rFonts w:hint="eastAsia" w:hAnsi="宋体" w:cs="宋体"/>
          <w:color w:val="auto"/>
          <w:sz w:val="21"/>
          <w:szCs w:val="21"/>
          <w:highlight w:val="none"/>
          <w:lang w:val="en-US" w:eastAsia="zh-CN"/>
        </w:rPr>
        <w:t>完成</w:t>
      </w:r>
      <w:r>
        <w:rPr>
          <w:rFonts w:hint="eastAsia" w:hAnsi="宋体" w:cs="宋体"/>
          <w:color w:val="auto"/>
          <w:sz w:val="21"/>
          <w:szCs w:val="21"/>
          <w:highlight w:val="none"/>
        </w:rPr>
        <w:t>配置床位及相关养老设备设施，正在进行试运营。</w:t>
      </w:r>
    </w:p>
    <w:p w14:paraId="454FE07A">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1.2 </w:t>
      </w:r>
      <w:r>
        <w:rPr>
          <w:rFonts w:hint="eastAsia" w:hAnsi="宋体" w:cs="宋体"/>
          <w:color w:val="auto"/>
          <w:sz w:val="21"/>
          <w:szCs w:val="21"/>
          <w:highlight w:val="none"/>
          <w:lang w:eastAsia="zh-CN"/>
        </w:rPr>
        <w:t>第</w:t>
      </w:r>
      <w:r>
        <w:rPr>
          <w:rFonts w:hint="eastAsia" w:hAnsi="宋体" w:cs="宋体"/>
          <w:color w:val="auto"/>
          <w:sz w:val="21"/>
          <w:szCs w:val="21"/>
          <w:highlight w:val="none"/>
          <w:lang w:val="en-US" w:eastAsia="zh-CN"/>
        </w:rPr>
        <w:t>二</w:t>
      </w:r>
      <w:r>
        <w:rPr>
          <w:rFonts w:hint="eastAsia" w:hAnsi="宋体" w:cs="宋体"/>
          <w:color w:val="auto"/>
          <w:sz w:val="21"/>
          <w:szCs w:val="21"/>
          <w:highlight w:val="none"/>
        </w:rPr>
        <w:t>处资产</w:t>
      </w:r>
      <w:r>
        <w:rPr>
          <w:rFonts w:hint="eastAsia" w:hAnsi="宋体" w:cs="宋体"/>
          <w:color w:val="auto"/>
          <w:sz w:val="21"/>
          <w:szCs w:val="21"/>
          <w:highlight w:val="none"/>
          <w:lang w:eastAsia="zh-CN"/>
        </w:rPr>
        <w:t>（</w:t>
      </w:r>
      <w:r>
        <w:rPr>
          <w:rFonts w:hint="eastAsia" w:hAnsi="宋体" w:cs="宋体"/>
          <w:color w:val="auto"/>
          <w:sz w:val="21"/>
          <w:szCs w:val="21"/>
          <w:highlight w:val="none"/>
        </w:rPr>
        <w:t>新卫生院医养结合病房楼</w:t>
      </w:r>
      <w:r>
        <w:rPr>
          <w:rFonts w:hint="eastAsia" w:hAnsi="宋体" w:cs="宋体"/>
          <w:color w:val="auto"/>
          <w:sz w:val="21"/>
          <w:szCs w:val="21"/>
          <w:highlight w:val="none"/>
          <w:lang w:eastAsia="zh-CN"/>
        </w:rPr>
        <w:t>）</w:t>
      </w:r>
      <w:r>
        <w:rPr>
          <w:rFonts w:hint="eastAsia" w:hAnsi="宋体" w:cs="宋体"/>
          <w:color w:val="auto"/>
          <w:sz w:val="21"/>
          <w:szCs w:val="21"/>
          <w:highlight w:val="none"/>
        </w:rPr>
        <w:t>：位于连城县林坊镇林塘村新林路</w:t>
      </w:r>
      <w:r>
        <w:rPr>
          <w:rFonts w:hAnsi="宋体" w:cs="宋体"/>
          <w:color w:val="auto"/>
          <w:sz w:val="21"/>
          <w:szCs w:val="21"/>
          <w:highlight w:val="none"/>
        </w:rPr>
        <w:t>152</w:t>
      </w:r>
      <w:r>
        <w:rPr>
          <w:rFonts w:hint="eastAsia" w:hAnsi="宋体" w:cs="宋体"/>
          <w:color w:val="auto"/>
          <w:sz w:val="21"/>
          <w:szCs w:val="21"/>
          <w:highlight w:val="none"/>
        </w:rPr>
        <w:t>号，建筑面积为</w:t>
      </w:r>
      <w:r>
        <w:rPr>
          <w:rFonts w:hAnsi="宋体" w:cs="宋体"/>
          <w:color w:val="auto"/>
          <w:sz w:val="21"/>
          <w:szCs w:val="21"/>
          <w:highlight w:val="none"/>
        </w:rPr>
        <w:t>2992.23</w:t>
      </w:r>
      <w:r>
        <w:rPr>
          <w:rFonts w:hint="eastAsia" w:hAnsi="宋体" w:cs="宋体"/>
          <w:color w:val="auto"/>
          <w:sz w:val="21"/>
          <w:szCs w:val="21"/>
          <w:highlight w:val="none"/>
        </w:rPr>
        <w:t>平方米，预计设计</w:t>
      </w:r>
      <w:r>
        <w:rPr>
          <w:rFonts w:hAnsi="宋体" w:cs="宋体"/>
          <w:color w:val="auto"/>
          <w:sz w:val="21"/>
          <w:szCs w:val="21"/>
          <w:highlight w:val="none"/>
        </w:rPr>
        <w:t>88</w:t>
      </w:r>
      <w:r>
        <w:rPr>
          <w:rFonts w:hint="eastAsia" w:hAnsi="宋体" w:cs="宋体"/>
          <w:color w:val="auto"/>
          <w:sz w:val="21"/>
          <w:szCs w:val="21"/>
          <w:highlight w:val="none"/>
        </w:rPr>
        <w:t>张床位</w:t>
      </w:r>
      <w:r>
        <w:rPr>
          <w:rFonts w:hint="eastAsia" w:hAnsi="宋体" w:cs="宋体"/>
          <w:color w:val="auto"/>
          <w:sz w:val="21"/>
          <w:szCs w:val="21"/>
          <w:highlight w:val="none"/>
          <w:lang w:eastAsia="zh-CN"/>
        </w:rPr>
        <w:t>。</w:t>
      </w:r>
      <w:r>
        <w:rPr>
          <w:rFonts w:hint="eastAsia" w:hAnsi="宋体" w:cs="宋体"/>
          <w:color w:val="auto"/>
          <w:sz w:val="21"/>
          <w:szCs w:val="21"/>
          <w:highlight w:val="none"/>
        </w:rPr>
        <w:t>目前</w:t>
      </w:r>
      <w:r>
        <w:rPr>
          <w:rFonts w:hint="eastAsia" w:hAnsi="宋体" w:cs="宋体"/>
          <w:color w:val="auto"/>
          <w:sz w:val="21"/>
          <w:szCs w:val="21"/>
          <w:highlight w:val="none"/>
          <w:lang w:eastAsia="zh-CN"/>
        </w:rPr>
        <w:t>，</w:t>
      </w:r>
      <w:r>
        <w:rPr>
          <w:rFonts w:hint="eastAsia" w:hAnsi="宋体" w:cs="宋体"/>
          <w:color w:val="auto"/>
          <w:sz w:val="21"/>
          <w:szCs w:val="21"/>
          <w:highlight w:val="none"/>
        </w:rPr>
        <w:t>该资产已完成基础</w:t>
      </w:r>
      <w:r>
        <w:rPr>
          <w:rFonts w:hint="eastAsia" w:hAnsi="宋体" w:cs="宋体"/>
          <w:color w:val="auto"/>
          <w:sz w:val="21"/>
          <w:szCs w:val="21"/>
          <w:highlight w:val="none"/>
          <w:lang w:eastAsia="zh-CN"/>
        </w:rPr>
        <w:t>装饰</w:t>
      </w:r>
      <w:r>
        <w:rPr>
          <w:rFonts w:hint="eastAsia" w:hAnsi="宋体" w:cs="宋体"/>
          <w:color w:val="auto"/>
          <w:sz w:val="21"/>
          <w:szCs w:val="21"/>
          <w:highlight w:val="none"/>
        </w:rPr>
        <w:t>装修</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尚</w:t>
      </w:r>
      <w:r>
        <w:rPr>
          <w:rFonts w:hint="eastAsia" w:hAnsi="宋体" w:cs="宋体"/>
          <w:color w:val="auto"/>
          <w:sz w:val="21"/>
          <w:szCs w:val="21"/>
          <w:highlight w:val="none"/>
        </w:rPr>
        <w:t>需</w:t>
      </w:r>
      <w:r>
        <w:rPr>
          <w:rFonts w:hint="eastAsia" w:hAnsi="宋体" w:cs="宋体"/>
          <w:color w:val="auto"/>
          <w:sz w:val="21"/>
          <w:szCs w:val="21"/>
          <w:highlight w:val="none"/>
          <w:lang w:val="en-US" w:eastAsia="zh-CN"/>
        </w:rPr>
        <w:t>后续</w:t>
      </w:r>
      <w:r>
        <w:rPr>
          <w:rFonts w:hint="eastAsia" w:hAnsi="宋体" w:cs="宋体"/>
          <w:color w:val="auto"/>
          <w:sz w:val="21"/>
          <w:szCs w:val="21"/>
          <w:highlight w:val="none"/>
        </w:rPr>
        <w:t>进行适老化消防改造并配置床位及相关养老设备设施。</w:t>
      </w:r>
    </w:p>
    <w:p w14:paraId="39C8120E">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1.3 </w:t>
      </w:r>
      <w:r>
        <w:rPr>
          <w:rFonts w:hint="eastAsia" w:hAnsi="宋体" w:cs="宋体"/>
          <w:color w:val="auto"/>
          <w:sz w:val="21"/>
          <w:szCs w:val="21"/>
          <w:highlight w:val="none"/>
          <w:lang w:val="en-US" w:eastAsia="zh-CN"/>
        </w:rPr>
        <w:t>上述</w:t>
      </w:r>
      <w:r>
        <w:rPr>
          <w:rFonts w:hint="eastAsia" w:hAnsi="宋体" w:cs="宋体"/>
          <w:color w:val="auto"/>
          <w:sz w:val="21"/>
          <w:szCs w:val="21"/>
          <w:highlight w:val="none"/>
        </w:rPr>
        <w:t>两处资产（以下简称“合作资产”）</w:t>
      </w:r>
      <w:r>
        <w:rPr>
          <w:rFonts w:hint="eastAsia" w:hAnsi="宋体" w:cs="宋体"/>
          <w:color w:val="auto"/>
          <w:sz w:val="21"/>
          <w:szCs w:val="21"/>
          <w:highlight w:val="none"/>
          <w:lang w:val="en-US" w:eastAsia="zh-CN"/>
        </w:rPr>
        <w:t>包括合同签订时既成资产和合同签订后甲方投资完成资产（对</w:t>
      </w:r>
      <w:r>
        <w:rPr>
          <w:rFonts w:hint="eastAsia" w:hAnsi="宋体" w:cs="宋体"/>
          <w:color w:val="auto"/>
          <w:sz w:val="21"/>
          <w:szCs w:val="21"/>
          <w:highlight w:val="none"/>
          <w:lang w:eastAsia="zh-CN"/>
        </w:rPr>
        <w:t>第</w:t>
      </w:r>
      <w:r>
        <w:rPr>
          <w:rFonts w:hint="eastAsia" w:hAnsi="宋体" w:cs="宋体"/>
          <w:color w:val="auto"/>
          <w:sz w:val="21"/>
          <w:szCs w:val="21"/>
          <w:highlight w:val="none"/>
          <w:lang w:val="en-US" w:eastAsia="zh-CN"/>
        </w:rPr>
        <w:t>二</w:t>
      </w:r>
      <w:r>
        <w:rPr>
          <w:rFonts w:hint="eastAsia" w:hAnsi="宋体" w:cs="宋体"/>
          <w:color w:val="auto"/>
          <w:sz w:val="21"/>
          <w:szCs w:val="21"/>
          <w:highlight w:val="none"/>
        </w:rPr>
        <w:t>处资产</w:t>
      </w:r>
      <w:r>
        <w:rPr>
          <w:rFonts w:hint="eastAsia" w:hAnsi="宋体" w:cs="宋体"/>
          <w:color w:val="auto"/>
          <w:sz w:val="21"/>
          <w:szCs w:val="21"/>
          <w:highlight w:val="none"/>
          <w:lang w:val="en-US" w:eastAsia="zh-CN"/>
        </w:rPr>
        <w:t>进行</w:t>
      </w:r>
      <w:r>
        <w:rPr>
          <w:rFonts w:hint="eastAsia" w:hAnsi="宋体" w:cs="宋体"/>
          <w:color w:val="auto"/>
          <w:sz w:val="21"/>
          <w:szCs w:val="21"/>
          <w:highlight w:val="none"/>
        </w:rPr>
        <w:t>适老化消防改造并配置床位及相关养老设备设施</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预计设计床位合计</w:t>
      </w:r>
      <w:r>
        <w:rPr>
          <w:rFonts w:hAnsi="宋体" w:cs="宋体"/>
          <w:color w:val="auto"/>
          <w:sz w:val="21"/>
          <w:szCs w:val="21"/>
          <w:highlight w:val="none"/>
        </w:rPr>
        <w:t>28</w:t>
      </w:r>
      <w:r>
        <w:rPr>
          <w:rFonts w:hint="eastAsia" w:hAnsi="宋体" w:cs="宋体"/>
          <w:color w:val="auto"/>
          <w:sz w:val="21"/>
          <w:szCs w:val="21"/>
          <w:highlight w:val="none"/>
        </w:rPr>
        <w:t>张＋</w:t>
      </w:r>
      <w:r>
        <w:rPr>
          <w:rFonts w:hAnsi="宋体" w:cs="宋体"/>
          <w:color w:val="auto"/>
          <w:sz w:val="21"/>
          <w:szCs w:val="21"/>
          <w:highlight w:val="none"/>
        </w:rPr>
        <w:t>88</w:t>
      </w:r>
      <w:r>
        <w:rPr>
          <w:rFonts w:hint="eastAsia" w:hAnsi="宋体" w:cs="宋体"/>
          <w:color w:val="auto"/>
          <w:sz w:val="21"/>
          <w:szCs w:val="21"/>
          <w:highlight w:val="none"/>
        </w:rPr>
        <w:t>张</w:t>
      </w:r>
      <w:r>
        <w:rPr>
          <w:rFonts w:hAnsi="宋体" w:cs="宋体"/>
          <w:color w:val="auto"/>
          <w:sz w:val="21"/>
          <w:szCs w:val="21"/>
          <w:highlight w:val="none"/>
        </w:rPr>
        <w:t>=116</w:t>
      </w:r>
      <w:r>
        <w:rPr>
          <w:rFonts w:hint="eastAsia" w:hAnsi="宋体" w:cs="宋体"/>
          <w:color w:val="auto"/>
          <w:sz w:val="21"/>
          <w:szCs w:val="21"/>
          <w:highlight w:val="none"/>
        </w:rPr>
        <w:t>张。</w:t>
      </w:r>
    </w:p>
    <w:p w14:paraId="100EB725">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1.4 </w:t>
      </w:r>
      <w:r>
        <w:rPr>
          <w:rFonts w:hint="eastAsia" w:hAnsi="宋体" w:cs="宋体"/>
          <w:color w:val="auto"/>
          <w:sz w:val="21"/>
          <w:szCs w:val="21"/>
          <w:highlight w:val="none"/>
        </w:rPr>
        <w:t>合作资产的具体范围、现状</w:t>
      </w:r>
      <w:r>
        <w:rPr>
          <w:rFonts w:hint="eastAsia" w:hAnsi="宋体" w:cs="宋体"/>
          <w:color w:val="auto"/>
          <w:sz w:val="21"/>
          <w:szCs w:val="21"/>
          <w:highlight w:val="none"/>
          <w:lang w:val="en-US" w:eastAsia="zh-CN"/>
        </w:rPr>
        <w:t>以及</w:t>
      </w:r>
      <w:r>
        <w:rPr>
          <w:rFonts w:hint="eastAsia" w:hAnsi="宋体" w:cs="宋体"/>
          <w:color w:val="auto"/>
          <w:sz w:val="21"/>
          <w:szCs w:val="21"/>
          <w:highlight w:val="none"/>
        </w:rPr>
        <w:t>交付条件以双方</w:t>
      </w:r>
      <w:r>
        <w:rPr>
          <w:rFonts w:hint="eastAsia" w:hAnsi="宋体" w:cs="宋体"/>
          <w:color w:val="auto"/>
          <w:sz w:val="21"/>
          <w:szCs w:val="21"/>
          <w:highlight w:val="none"/>
          <w:lang w:val="en-US" w:eastAsia="zh-CN"/>
        </w:rPr>
        <w:t>在资产移交时确认</w:t>
      </w:r>
      <w:r>
        <w:rPr>
          <w:rFonts w:hint="eastAsia" w:hAnsi="宋体" w:cs="宋体"/>
          <w:color w:val="auto"/>
          <w:sz w:val="21"/>
          <w:szCs w:val="21"/>
          <w:highlight w:val="none"/>
        </w:rPr>
        <w:t>的《</w:t>
      </w:r>
      <w:bookmarkStart w:id="6" w:name="OLE_LINK9"/>
      <w:bookmarkStart w:id="7" w:name="OLE_LINK10"/>
      <w:r>
        <w:rPr>
          <w:rFonts w:hint="eastAsia" w:hAnsi="宋体" w:cs="宋体"/>
          <w:color w:val="auto"/>
          <w:sz w:val="21"/>
          <w:szCs w:val="21"/>
          <w:highlight w:val="none"/>
        </w:rPr>
        <w:t>资产移交清单</w:t>
      </w:r>
      <w:bookmarkEnd w:id="6"/>
      <w:bookmarkEnd w:id="7"/>
      <w:r>
        <w:rPr>
          <w:rFonts w:hint="eastAsia" w:hAnsi="宋体" w:cs="宋体"/>
          <w:color w:val="auto"/>
          <w:sz w:val="21"/>
          <w:szCs w:val="21"/>
          <w:highlight w:val="none"/>
        </w:rPr>
        <w:t>》为准。【详见附件</w:t>
      </w:r>
      <w:r>
        <w:rPr>
          <w:rFonts w:hint="eastAsia" w:hAnsi="宋体" w:cs="宋体"/>
          <w:b/>
          <w:color w:val="auto"/>
          <w:sz w:val="21"/>
          <w:szCs w:val="21"/>
          <w:highlight w:val="none"/>
        </w:rPr>
        <w:t>1</w:t>
      </w:r>
      <w:r>
        <w:rPr>
          <w:rFonts w:hint="eastAsia" w:hAnsi="宋体" w:cs="宋体"/>
          <w:color w:val="auto"/>
          <w:sz w:val="21"/>
          <w:szCs w:val="21"/>
          <w:highlight w:val="none"/>
        </w:rPr>
        <w:t>：《</w:t>
      </w:r>
      <w:r>
        <w:rPr>
          <w:rFonts w:hint="eastAsia" w:hAnsi="宋体" w:cs="宋体"/>
          <w:b/>
          <w:bCs/>
          <w:color w:val="auto"/>
          <w:sz w:val="21"/>
          <w:szCs w:val="21"/>
          <w:highlight w:val="none"/>
        </w:rPr>
        <w:t>资产移交清单</w:t>
      </w:r>
      <w:r>
        <w:rPr>
          <w:rFonts w:hint="eastAsia" w:hAnsi="宋体" w:cs="宋体"/>
          <w:color w:val="auto"/>
          <w:sz w:val="21"/>
          <w:szCs w:val="21"/>
          <w:highlight w:val="none"/>
        </w:rPr>
        <w:t>》】</w:t>
      </w:r>
    </w:p>
    <w:p w14:paraId="5720F8E7">
      <w:pPr>
        <w:pStyle w:val="14"/>
        <w:adjustRightInd w:val="0"/>
        <w:snapToGrid w:val="0"/>
        <w:ind w:firstLine="422"/>
        <w:rPr>
          <w:rFonts w:hAnsi="宋体" w:cs="宋体"/>
          <w:color w:val="auto"/>
          <w:sz w:val="21"/>
          <w:szCs w:val="21"/>
          <w:highlight w:val="none"/>
        </w:rPr>
      </w:pPr>
      <w:r>
        <w:rPr>
          <w:rFonts w:hint="eastAsia" w:hAnsi="宋体" w:cs="宋体"/>
          <w:b/>
          <w:bCs/>
          <w:color w:val="auto"/>
          <w:sz w:val="21"/>
          <w:szCs w:val="21"/>
          <w:highlight w:val="none"/>
        </w:rPr>
        <w:t>第二条</w:t>
      </w:r>
      <w:r>
        <w:rPr>
          <w:rFonts w:hAnsi="宋体" w:cs="宋体"/>
          <w:b/>
          <w:bCs/>
          <w:color w:val="auto"/>
          <w:sz w:val="21"/>
          <w:szCs w:val="21"/>
          <w:highlight w:val="none"/>
        </w:rPr>
        <w:t xml:space="preserve">  </w:t>
      </w:r>
      <w:r>
        <w:rPr>
          <w:rFonts w:hint="eastAsia" w:hAnsi="宋体" w:cs="宋体"/>
          <w:b/>
          <w:bCs/>
          <w:color w:val="auto"/>
          <w:sz w:val="21"/>
          <w:szCs w:val="21"/>
          <w:highlight w:val="none"/>
        </w:rPr>
        <w:t>合作模式</w:t>
      </w:r>
    </w:p>
    <w:p w14:paraId="728D98F3">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2.1 </w:t>
      </w:r>
      <w:r>
        <w:rPr>
          <w:rFonts w:hint="eastAsia" w:hAnsi="宋体" w:cs="宋体"/>
          <w:color w:val="auto"/>
          <w:sz w:val="21"/>
          <w:szCs w:val="21"/>
          <w:highlight w:val="none"/>
        </w:rPr>
        <w:t>合作模式：甲方提供上述两处资产，</w:t>
      </w:r>
      <w:r>
        <w:rPr>
          <w:rFonts w:hint="eastAsia" w:hAnsi="宋体" w:cs="宋体"/>
          <w:color w:val="auto"/>
          <w:sz w:val="21"/>
          <w:szCs w:val="21"/>
          <w:highlight w:val="none"/>
          <w:lang w:eastAsia="zh-CN"/>
        </w:rPr>
        <w:t>负责第二处资产</w:t>
      </w:r>
      <w:r>
        <w:rPr>
          <w:rFonts w:hint="eastAsia" w:hAnsi="宋体" w:cs="宋体"/>
          <w:color w:val="auto"/>
          <w:sz w:val="21"/>
          <w:szCs w:val="21"/>
          <w:highlight w:val="none"/>
        </w:rPr>
        <w:t>适老化消防改造</w:t>
      </w:r>
      <w:r>
        <w:rPr>
          <w:rFonts w:hint="eastAsia" w:hAnsi="宋体" w:cs="宋体"/>
          <w:color w:val="auto"/>
          <w:sz w:val="21"/>
          <w:szCs w:val="21"/>
          <w:highlight w:val="none"/>
          <w:lang w:eastAsia="zh-CN"/>
        </w:rPr>
        <w:t>，且</w:t>
      </w:r>
      <w:r>
        <w:rPr>
          <w:rFonts w:hint="eastAsia" w:hAnsi="宋体" w:cs="宋体"/>
          <w:color w:val="auto"/>
          <w:sz w:val="21"/>
          <w:szCs w:val="21"/>
          <w:highlight w:val="none"/>
        </w:rPr>
        <w:t>配置床位</w:t>
      </w:r>
      <w:r>
        <w:rPr>
          <w:rFonts w:hint="eastAsia" w:hAnsi="宋体" w:cs="宋体"/>
          <w:color w:val="auto"/>
          <w:sz w:val="21"/>
          <w:szCs w:val="21"/>
          <w:highlight w:val="none"/>
          <w:lang w:val="en-US" w:eastAsia="zh-CN"/>
        </w:rPr>
        <w:t>和</w:t>
      </w:r>
      <w:r>
        <w:rPr>
          <w:rFonts w:hint="eastAsia" w:hAnsi="宋体" w:cs="宋体"/>
          <w:color w:val="auto"/>
          <w:sz w:val="21"/>
          <w:szCs w:val="21"/>
          <w:highlight w:val="none"/>
        </w:rPr>
        <w:t>相关养老设备设施</w:t>
      </w:r>
      <w:r>
        <w:rPr>
          <w:rFonts w:hint="eastAsia" w:hAnsi="宋体" w:cs="宋体"/>
          <w:color w:val="auto"/>
          <w:sz w:val="21"/>
          <w:szCs w:val="21"/>
          <w:highlight w:val="none"/>
          <w:lang w:eastAsia="zh-CN"/>
        </w:rPr>
        <w:t>（</w:t>
      </w:r>
      <w:r>
        <w:rPr>
          <w:rFonts w:hint="eastAsia" w:hAnsi="宋体" w:cs="宋体"/>
          <w:b/>
          <w:bCs/>
          <w:color w:val="auto"/>
          <w:sz w:val="21"/>
          <w:szCs w:val="21"/>
          <w:highlight w:val="none"/>
          <w:lang w:eastAsia="zh-CN"/>
        </w:rPr>
        <w:t>具体床位</w:t>
      </w:r>
      <w:r>
        <w:rPr>
          <w:rFonts w:hint="eastAsia" w:hAnsi="宋体" w:cs="宋体"/>
          <w:b/>
          <w:bCs/>
          <w:color w:val="auto"/>
          <w:sz w:val="21"/>
          <w:szCs w:val="21"/>
          <w:highlight w:val="none"/>
          <w:lang w:val="en-US" w:eastAsia="zh-CN"/>
        </w:rPr>
        <w:t>和</w:t>
      </w:r>
      <w:r>
        <w:rPr>
          <w:rFonts w:hint="eastAsia" w:hAnsi="宋体" w:cs="宋体"/>
          <w:b/>
          <w:bCs/>
          <w:color w:val="auto"/>
          <w:sz w:val="21"/>
          <w:szCs w:val="21"/>
          <w:highlight w:val="none"/>
          <w:lang w:eastAsia="zh-CN"/>
        </w:rPr>
        <w:t>养老设备设施以现状移交为准</w:t>
      </w:r>
      <w:r>
        <w:rPr>
          <w:rFonts w:hint="eastAsia" w:hAnsi="宋体" w:cs="宋体"/>
          <w:color w:val="auto"/>
          <w:sz w:val="21"/>
          <w:szCs w:val="21"/>
          <w:highlight w:val="none"/>
          <w:lang w:eastAsia="zh-CN"/>
        </w:rPr>
        <w:t>）。</w:t>
      </w:r>
      <w:r>
        <w:rPr>
          <w:rFonts w:hint="eastAsia" w:hAnsi="宋体" w:cs="宋体"/>
          <w:color w:val="auto"/>
          <w:sz w:val="21"/>
          <w:szCs w:val="21"/>
          <w:highlight w:val="none"/>
        </w:rPr>
        <w:t>乙方负责</w:t>
      </w:r>
      <w:r>
        <w:rPr>
          <w:rFonts w:hint="eastAsia" w:hAnsi="宋体" w:cs="宋体"/>
          <w:color w:val="auto"/>
          <w:sz w:val="21"/>
          <w:szCs w:val="21"/>
          <w:highlight w:val="none"/>
          <w:lang w:val="en-US" w:eastAsia="zh-CN"/>
        </w:rPr>
        <w:t>对</w:t>
      </w:r>
      <w:r>
        <w:rPr>
          <w:rFonts w:hint="eastAsia" w:hAnsi="宋体" w:cs="宋体"/>
          <w:color w:val="auto"/>
          <w:sz w:val="21"/>
          <w:szCs w:val="21"/>
          <w:highlight w:val="none"/>
        </w:rPr>
        <w:t>两处资产配置床位及相关养老设备设施</w:t>
      </w:r>
      <w:r>
        <w:rPr>
          <w:rFonts w:hint="eastAsia" w:hAnsi="宋体" w:cs="宋体"/>
          <w:color w:val="auto"/>
          <w:sz w:val="21"/>
          <w:szCs w:val="21"/>
          <w:highlight w:val="none"/>
          <w:lang w:eastAsia="zh-CN"/>
        </w:rPr>
        <w:t>等</w:t>
      </w:r>
      <w:r>
        <w:rPr>
          <w:rFonts w:hint="eastAsia" w:hAnsi="宋体" w:cs="宋体"/>
          <w:color w:val="auto"/>
          <w:sz w:val="21"/>
          <w:szCs w:val="21"/>
          <w:highlight w:val="none"/>
        </w:rPr>
        <w:t>后续投资</w:t>
      </w:r>
      <w:r>
        <w:rPr>
          <w:rFonts w:hint="eastAsia" w:hAnsi="宋体" w:cs="宋体"/>
          <w:color w:val="auto"/>
          <w:sz w:val="21"/>
          <w:szCs w:val="21"/>
          <w:highlight w:val="none"/>
          <w:lang w:val="en-US" w:eastAsia="zh-CN"/>
        </w:rPr>
        <w:t>以及</w:t>
      </w:r>
      <w:r>
        <w:rPr>
          <w:rFonts w:hint="eastAsia" w:hAnsi="宋体" w:cs="宋体"/>
          <w:color w:val="auto"/>
          <w:sz w:val="21"/>
          <w:szCs w:val="21"/>
          <w:highlight w:val="none"/>
        </w:rPr>
        <w:t>专业运营团队组建</w:t>
      </w:r>
      <w:r>
        <w:rPr>
          <w:rFonts w:hint="eastAsia" w:hAnsi="宋体" w:cs="宋体"/>
          <w:color w:val="auto"/>
          <w:sz w:val="21"/>
          <w:szCs w:val="21"/>
          <w:highlight w:val="none"/>
          <w:lang w:val="en-US" w:eastAsia="zh-CN"/>
        </w:rPr>
        <w:t>和</w:t>
      </w:r>
      <w:r>
        <w:rPr>
          <w:rFonts w:hint="eastAsia" w:hAnsi="宋体" w:cs="宋体"/>
          <w:color w:val="auto"/>
          <w:sz w:val="21"/>
          <w:szCs w:val="21"/>
          <w:highlight w:val="none"/>
          <w:lang w:eastAsia="zh-CN"/>
        </w:rPr>
        <w:t>养老项目</w:t>
      </w:r>
      <w:r>
        <w:rPr>
          <w:rFonts w:hint="eastAsia" w:hAnsi="宋体" w:cs="宋体"/>
          <w:color w:val="auto"/>
          <w:sz w:val="21"/>
          <w:szCs w:val="21"/>
          <w:highlight w:val="none"/>
        </w:rPr>
        <w:t>运营服务</w:t>
      </w:r>
      <w:r>
        <w:rPr>
          <w:rFonts w:hint="eastAsia" w:hAnsi="宋体" w:cs="宋体"/>
          <w:color w:val="auto"/>
          <w:sz w:val="21"/>
          <w:szCs w:val="21"/>
          <w:highlight w:val="none"/>
          <w:lang w:eastAsia="zh-CN"/>
        </w:rPr>
        <w:t>。</w:t>
      </w:r>
      <w:r>
        <w:rPr>
          <w:rFonts w:hint="eastAsia" w:hAnsi="宋体" w:cs="宋体"/>
          <w:color w:val="auto"/>
          <w:sz w:val="21"/>
          <w:szCs w:val="21"/>
          <w:highlight w:val="none"/>
        </w:rPr>
        <w:t>双方按本合同约定分享收益、分担费用。</w:t>
      </w:r>
    </w:p>
    <w:p w14:paraId="12F29CD3">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2.2 </w:t>
      </w:r>
      <w:r>
        <w:rPr>
          <w:rFonts w:hint="eastAsia" w:hAnsi="宋体" w:cs="宋体"/>
          <w:color w:val="auto"/>
          <w:sz w:val="21"/>
          <w:szCs w:val="21"/>
          <w:highlight w:val="none"/>
        </w:rPr>
        <w:t>人员安排：甲方</w:t>
      </w:r>
      <w:r>
        <w:rPr>
          <w:rFonts w:hint="eastAsia" w:hAnsi="宋体" w:cs="宋体"/>
          <w:color w:val="auto"/>
          <w:sz w:val="21"/>
          <w:szCs w:val="21"/>
          <w:highlight w:val="none"/>
          <w:lang w:eastAsia="zh-CN"/>
        </w:rPr>
        <w:t>指</w:t>
      </w:r>
      <w:r>
        <w:rPr>
          <w:rFonts w:hint="eastAsia" w:hAnsi="宋体" w:cs="宋体"/>
          <w:color w:val="auto"/>
          <w:sz w:val="21"/>
          <w:szCs w:val="21"/>
          <w:highlight w:val="none"/>
        </w:rPr>
        <w:t>派人员，对乙方的运营服务、财务管理、安全卫生等</w:t>
      </w:r>
      <w:r>
        <w:rPr>
          <w:rFonts w:hint="eastAsia" w:hAnsi="宋体" w:cs="宋体"/>
          <w:color w:val="auto"/>
          <w:sz w:val="21"/>
          <w:szCs w:val="21"/>
          <w:highlight w:val="none"/>
          <w:lang w:eastAsia="zh-CN"/>
        </w:rPr>
        <w:t>方面</w:t>
      </w:r>
      <w:r>
        <w:rPr>
          <w:rFonts w:hint="eastAsia" w:hAnsi="宋体" w:cs="宋体"/>
          <w:color w:val="auto"/>
          <w:sz w:val="21"/>
          <w:szCs w:val="21"/>
          <w:highlight w:val="none"/>
        </w:rPr>
        <w:t>进行监督</w:t>
      </w:r>
      <w:r>
        <w:rPr>
          <w:rFonts w:hint="eastAsia" w:hAnsi="宋体" w:cs="宋体"/>
          <w:color w:val="auto"/>
          <w:sz w:val="21"/>
          <w:szCs w:val="21"/>
          <w:highlight w:val="none"/>
          <w:lang w:eastAsia="zh-CN"/>
        </w:rPr>
        <w:t>管理，乙方予以接受配合</w:t>
      </w:r>
      <w:r>
        <w:rPr>
          <w:rFonts w:hint="eastAsia" w:hAnsi="宋体" w:cs="宋体"/>
          <w:color w:val="auto"/>
          <w:sz w:val="21"/>
          <w:szCs w:val="21"/>
          <w:highlight w:val="none"/>
        </w:rPr>
        <w:t>。乙方组建专业运营团队并负责</w:t>
      </w:r>
      <w:r>
        <w:rPr>
          <w:rFonts w:hint="eastAsia" w:hAnsi="宋体" w:cs="宋体"/>
          <w:color w:val="auto"/>
          <w:sz w:val="21"/>
          <w:szCs w:val="21"/>
          <w:highlight w:val="none"/>
          <w:lang w:eastAsia="zh-CN"/>
        </w:rPr>
        <w:t>养老项目</w:t>
      </w:r>
      <w:r>
        <w:rPr>
          <w:rFonts w:hint="eastAsia" w:hAnsi="宋体" w:cs="宋体"/>
          <w:color w:val="auto"/>
          <w:sz w:val="21"/>
          <w:szCs w:val="21"/>
          <w:highlight w:val="none"/>
        </w:rPr>
        <w:t>日常运营服务。双方各自承担其</w:t>
      </w:r>
      <w:r>
        <w:rPr>
          <w:rFonts w:hint="eastAsia" w:hAnsi="宋体" w:cs="宋体"/>
          <w:color w:val="auto"/>
          <w:sz w:val="21"/>
          <w:szCs w:val="21"/>
          <w:highlight w:val="none"/>
          <w:lang w:eastAsia="zh-CN"/>
        </w:rPr>
        <w:t>指派</w:t>
      </w:r>
      <w:r>
        <w:rPr>
          <w:rFonts w:hAnsi="宋体" w:cs="宋体"/>
          <w:color w:val="auto"/>
          <w:sz w:val="21"/>
          <w:szCs w:val="21"/>
          <w:highlight w:val="none"/>
        </w:rPr>
        <w:t>/</w:t>
      </w:r>
      <w:r>
        <w:rPr>
          <w:rFonts w:hint="eastAsia" w:hAnsi="宋体" w:cs="宋体"/>
          <w:color w:val="auto"/>
          <w:sz w:val="21"/>
          <w:szCs w:val="21"/>
          <w:highlight w:val="none"/>
        </w:rPr>
        <w:t>聘用人员的费用。</w:t>
      </w:r>
    </w:p>
    <w:p w14:paraId="35B9EE3F">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 xml:space="preserve">2.3 </w:t>
      </w:r>
      <w:r>
        <w:rPr>
          <w:rFonts w:hint="eastAsia" w:hAnsi="宋体" w:cs="宋体"/>
          <w:color w:val="auto"/>
          <w:sz w:val="21"/>
          <w:szCs w:val="21"/>
          <w:highlight w:val="none"/>
        </w:rPr>
        <w:t>乙方确认：其在签约前已充分了解合作资产的现状、权属、</w:t>
      </w:r>
      <w:r>
        <w:rPr>
          <w:rFonts w:hint="eastAsia" w:hAnsi="宋体" w:cs="宋体"/>
          <w:color w:val="auto"/>
          <w:sz w:val="21"/>
          <w:szCs w:val="21"/>
          <w:highlight w:val="none"/>
          <w:lang w:eastAsia="zh-CN"/>
        </w:rPr>
        <w:t>设备</w:t>
      </w:r>
      <w:r>
        <w:rPr>
          <w:rFonts w:hint="eastAsia" w:hAnsi="宋体" w:cs="宋体"/>
          <w:color w:val="auto"/>
          <w:sz w:val="21"/>
          <w:szCs w:val="21"/>
          <w:highlight w:val="none"/>
        </w:rPr>
        <w:t>设施条件</w:t>
      </w:r>
      <w:r>
        <w:rPr>
          <w:rFonts w:hint="eastAsia" w:hAnsi="宋体" w:cs="宋体"/>
          <w:color w:val="auto"/>
          <w:sz w:val="21"/>
          <w:szCs w:val="21"/>
          <w:highlight w:val="none"/>
          <w:lang w:eastAsia="zh-CN"/>
        </w:rPr>
        <w:t>以及</w:t>
      </w:r>
      <w:r>
        <w:rPr>
          <w:rFonts w:hint="eastAsia" w:hAnsi="宋体" w:cs="宋体"/>
          <w:color w:val="auto"/>
          <w:sz w:val="21"/>
          <w:szCs w:val="21"/>
          <w:highlight w:val="none"/>
        </w:rPr>
        <w:t>周边环境，并自行判断投资的可行性、运营的风险性、收益的不确定性。甲方不对合作资产的商业价值、收益前景作出任何保证或者承诺。</w:t>
      </w:r>
    </w:p>
    <w:p w14:paraId="69B011ED">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2.</w:t>
      </w:r>
      <w:r>
        <w:rPr>
          <w:rFonts w:hint="eastAsia" w:hAnsi="宋体" w:cs="宋体"/>
          <w:color w:val="auto"/>
          <w:sz w:val="21"/>
          <w:szCs w:val="21"/>
          <w:highlight w:val="none"/>
          <w:lang w:val="en-US" w:eastAsia="zh-CN"/>
        </w:rPr>
        <w:t>4</w:t>
      </w:r>
      <w:r>
        <w:rPr>
          <w:rFonts w:hAnsi="宋体" w:cs="宋体"/>
          <w:color w:val="auto"/>
          <w:sz w:val="21"/>
          <w:szCs w:val="21"/>
          <w:highlight w:val="none"/>
        </w:rPr>
        <w:t xml:space="preserve"> </w:t>
      </w:r>
      <w:r>
        <w:rPr>
          <w:rFonts w:hint="eastAsia" w:hAnsi="宋体" w:cs="宋体"/>
          <w:color w:val="auto"/>
          <w:sz w:val="21"/>
          <w:szCs w:val="21"/>
          <w:highlight w:val="none"/>
        </w:rPr>
        <w:t>乙方确认：其中标</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成交</w:t>
      </w:r>
      <w:r>
        <w:rPr>
          <w:rFonts w:hint="eastAsia" w:hAnsi="宋体" w:cs="宋体"/>
          <w:color w:val="auto"/>
          <w:sz w:val="21"/>
          <w:szCs w:val="21"/>
          <w:highlight w:val="none"/>
          <w:lang w:eastAsia="zh-CN"/>
        </w:rPr>
        <w:t>）</w:t>
      </w:r>
      <w:r>
        <w:rPr>
          <w:rFonts w:hint="eastAsia" w:hAnsi="宋体" w:cs="宋体"/>
          <w:color w:val="auto"/>
          <w:sz w:val="21"/>
          <w:szCs w:val="21"/>
          <w:highlight w:val="none"/>
        </w:rPr>
        <w:t>后成立</w:t>
      </w:r>
      <w:r>
        <w:rPr>
          <w:rFonts w:hint="eastAsia" w:hAnsi="宋体" w:cs="宋体"/>
          <w:color w:val="auto"/>
          <w:sz w:val="21"/>
          <w:szCs w:val="21"/>
          <w:highlight w:val="none"/>
          <w:lang w:val="en-US" w:eastAsia="zh-CN"/>
        </w:rPr>
        <w:t>一家有限</w:t>
      </w:r>
      <w:r>
        <w:rPr>
          <w:rFonts w:hint="eastAsia" w:hAnsi="宋体" w:cs="宋体"/>
          <w:color w:val="auto"/>
          <w:sz w:val="21"/>
          <w:szCs w:val="21"/>
          <w:highlight w:val="none"/>
        </w:rPr>
        <w:t>公司(具体以</w:t>
      </w:r>
      <w:r>
        <w:rPr>
          <w:rFonts w:hint="eastAsia" w:hAnsi="宋体" w:cs="宋体"/>
          <w:color w:val="auto"/>
          <w:sz w:val="21"/>
          <w:szCs w:val="21"/>
          <w:highlight w:val="none"/>
          <w:lang w:val="en-US" w:eastAsia="zh-CN"/>
        </w:rPr>
        <w:t>市场登记</w:t>
      </w:r>
      <w:r>
        <w:rPr>
          <w:rFonts w:hint="eastAsia" w:hAnsi="宋体" w:cs="宋体"/>
          <w:color w:val="auto"/>
          <w:sz w:val="21"/>
          <w:szCs w:val="21"/>
          <w:highlight w:val="none"/>
        </w:rPr>
        <w:t>部门登记为准)，具体负责该项目的运营管理，</w:t>
      </w:r>
      <w:r>
        <w:rPr>
          <w:rFonts w:hint="eastAsia" w:hAnsi="宋体" w:cs="宋体"/>
          <w:color w:val="auto"/>
          <w:sz w:val="21"/>
          <w:szCs w:val="21"/>
          <w:highlight w:val="none"/>
          <w:lang w:val="en-US" w:eastAsia="zh-CN"/>
        </w:rPr>
        <w:t>对外对该</w:t>
      </w:r>
      <w:r>
        <w:rPr>
          <w:rFonts w:hint="eastAsia" w:hAnsi="宋体" w:cs="宋体"/>
          <w:color w:val="auto"/>
          <w:sz w:val="21"/>
          <w:szCs w:val="21"/>
          <w:highlight w:val="none"/>
        </w:rPr>
        <w:t>项目的运营</w:t>
      </w:r>
      <w:r>
        <w:rPr>
          <w:rFonts w:hint="eastAsia" w:hAnsi="宋体" w:cs="宋体"/>
          <w:color w:val="auto"/>
          <w:sz w:val="21"/>
          <w:szCs w:val="21"/>
          <w:highlight w:val="none"/>
          <w:lang w:val="en-US" w:eastAsia="zh-CN"/>
        </w:rPr>
        <w:t>及结果承担全部法律责任。</w:t>
      </w:r>
      <w:r>
        <w:rPr>
          <w:rFonts w:hint="eastAsia" w:hAnsi="宋体" w:cs="宋体"/>
          <w:color w:val="auto"/>
          <w:sz w:val="21"/>
          <w:szCs w:val="21"/>
          <w:highlight w:val="none"/>
        </w:rPr>
        <w:t>该公司由乙方</w:t>
      </w:r>
      <w:r>
        <w:rPr>
          <w:rFonts w:hint="eastAsia" w:hAnsi="宋体" w:cs="宋体"/>
          <w:color w:val="auto"/>
          <w:sz w:val="21"/>
          <w:szCs w:val="21"/>
          <w:highlight w:val="none"/>
          <w:lang w:val="en-US" w:eastAsia="zh-CN"/>
        </w:rPr>
        <w:t>全资</w:t>
      </w:r>
      <w:r>
        <w:rPr>
          <w:rFonts w:hint="eastAsia" w:hAnsi="宋体" w:cs="宋体"/>
          <w:color w:val="auto"/>
          <w:sz w:val="21"/>
          <w:szCs w:val="21"/>
          <w:highlight w:val="none"/>
        </w:rPr>
        <w:t>控股，自主经营、自负盈亏，代表乙方行使本</w:t>
      </w:r>
      <w:r>
        <w:rPr>
          <w:rFonts w:hint="eastAsia" w:hAnsi="宋体" w:cs="宋体"/>
          <w:color w:val="auto"/>
          <w:sz w:val="21"/>
          <w:szCs w:val="21"/>
          <w:highlight w:val="none"/>
          <w:lang w:val="en-US" w:eastAsia="zh-CN"/>
        </w:rPr>
        <w:t>合同</w:t>
      </w:r>
      <w:r>
        <w:rPr>
          <w:rFonts w:hint="eastAsia" w:hAnsi="宋体" w:cs="宋体"/>
          <w:color w:val="auto"/>
          <w:sz w:val="21"/>
          <w:szCs w:val="21"/>
          <w:highlight w:val="none"/>
        </w:rPr>
        <w:t>中所有的权利和义务并承担法律责任。</w:t>
      </w:r>
    </w:p>
    <w:p w14:paraId="7F991D65">
      <w:pPr>
        <w:pStyle w:val="14"/>
        <w:adjustRightInd w:val="0"/>
        <w:snapToGrid w:val="0"/>
        <w:ind w:firstLine="422"/>
        <w:rPr>
          <w:rFonts w:hAnsi="宋体" w:cs="宋体"/>
          <w:color w:val="auto"/>
          <w:sz w:val="21"/>
          <w:szCs w:val="21"/>
          <w:highlight w:val="none"/>
        </w:rPr>
      </w:pPr>
      <w:r>
        <w:rPr>
          <w:rFonts w:hint="eastAsia" w:hAnsi="宋体" w:cs="宋体"/>
          <w:b/>
          <w:bCs/>
          <w:color w:val="auto"/>
          <w:sz w:val="21"/>
          <w:szCs w:val="21"/>
          <w:highlight w:val="none"/>
        </w:rPr>
        <w:t>第三条</w:t>
      </w:r>
      <w:r>
        <w:rPr>
          <w:rFonts w:hAnsi="宋体" w:cs="宋体"/>
          <w:b/>
          <w:bCs/>
          <w:color w:val="auto"/>
          <w:sz w:val="21"/>
          <w:szCs w:val="21"/>
          <w:highlight w:val="none"/>
        </w:rPr>
        <w:t xml:space="preserve">  </w:t>
      </w:r>
      <w:r>
        <w:rPr>
          <w:rFonts w:hint="eastAsia" w:hAnsi="宋体" w:cs="宋体"/>
          <w:b/>
          <w:bCs/>
          <w:color w:val="auto"/>
          <w:sz w:val="21"/>
          <w:szCs w:val="21"/>
          <w:highlight w:val="none"/>
        </w:rPr>
        <w:t>合作期限</w:t>
      </w:r>
    </w:p>
    <w:p w14:paraId="6E3632C7">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 xml:space="preserve">3.1 </w:t>
      </w:r>
      <w:r>
        <w:rPr>
          <w:rFonts w:hint="eastAsia" w:hAnsi="宋体" w:cs="宋体"/>
          <w:color w:val="auto"/>
          <w:sz w:val="21"/>
          <w:szCs w:val="21"/>
          <w:highlight w:val="none"/>
        </w:rPr>
        <w:t>合作期限为</w:t>
      </w:r>
      <w:r>
        <w:rPr>
          <w:rFonts w:hAnsi="宋体" w:cs="宋体"/>
          <w:color w:val="auto"/>
          <w:sz w:val="21"/>
          <w:szCs w:val="21"/>
          <w:highlight w:val="none"/>
        </w:rPr>
        <w:t>10</w:t>
      </w:r>
      <w:r>
        <w:rPr>
          <w:rFonts w:hint="eastAsia" w:hAnsi="宋体" w:cs="宋体"/>
          <w:color w:val="auto"/>
          <w:sz w:val="21"/>
          <w:szCs w:val="21"/>
          <w:highlight w:val="none"/>
        </w:rPr>
        <w:t>年，</w:t>
      </w:r>
      <w:r>
        <w:rPr>
          <w:rFonts w:hint="eastAsia" w:hAnsi="宋体" w:cs="宋体"/>
          <w:color w:val="auto"/>
          <w:sz w:val="21"/>
          <w:szCs w:val="21"/>
          <w:highlight w:val="none"/>
          <w:u w:val="single"/>
        </w:rPr>
        <w:t>自</w:t>
      </w:r>
      <w:r>
        <w:rPr>
          <w:rFonts w:hAnsi="宋体" w:cs="宋体"/>
          <w:color w:val="auto"/>
          <w:sz w:val="21"/>
          <w:szCs w:val="21"/>
          <w:highlight w:val="none"/>
          <w:u w:val="single"/>
        </w:rPr>
        <w:t xml:space="preserve">     </w:t>
      </w:r>
      <w:r>
        <w:rPr>
          <w:rFonts w:hint="eastAsia" w:hAnsi="宋体" w:cs="宋体"/>
          <w:color w:val="auto"/>
          <w:sz w:val="21"/>
          <w:szCs w:val="21"/>
          <w:highlight w:val="none"/>
          <w:u w:val="single"/>
        </w:rPr>
        <w:t>年</w:t>
      </w:r>
      <w:r>
        <w:rPr>
          <w:rFonts w:hAnsi="宋体" w:cs="宋体"/>
          <w:color w:val="auto"/>
          <w:sz w:val="21"/>
          <w:szCs w:val="21"/>
          <w:highlight w:val="none"/>
          <w:u w:val="single"/>
        </w:rPr>
        <w:t xml:space="preserve">   </w:t>
      </w:r>
      <w:r>
        <w:rPr>
          <w:rFonts w:hint="eastAsia" w:hAnsi="宋体" w:cs="宋体"/>
          <w:color w:val="auto"/>
          <w:sz w:val="21"/>
          <w:szCs w:val="21"/>
          <w:highlight w:val="none"/>
          <w:u w:val="single"/>
        </w:rPr>
        <w:t>月</w:t>
      </w:r>
      <w:r>
        <w:rPr>
          <w:rFonts w:hAnsi="宋体" w:cs="宋体"/>
          <w:color w:val="auto"/>
          <w:sz w:val="21"/>
          <w:szCs w:val="21"/>
          <w:highlight w:val="none"/>
          <w:u w:val="single"/>
        </w:rPr>
        <w:t xml:space="preserve">   </w:t>
      </w:r>
      <w:r>
        <w:rPr>
          <w:rFonts w:hint="eastAsia" w:hAnsi="宋体" w:cs="宋体"/>
          <w:color w:val="auto"/>
          <w:sz w:val="21"/>
          <w:szCs w:val="21"/>
          <w:highlight w:val="none"/>
          <w:u w:val="single"/>
        </w:rPr>
        <w:t>日起至</w:t>
      </w:r>
      <w:r>
        <w:rPr>
          <w:rFonts w:hAnsi="宋体" w:cs="宋体"/>
          <w:color w:val="auto"/>
          <w:sz w:val="21"/>
          <w:szCs w:val="21"/>
          <w:highlight w:val="none"/>
          <w:u w:val="single"/>
        </w:rPr>
        <w:t xml:space="preserve">     </w:t>
      </w:r>
      <w:r>
        <w:rPr>
          <w:rFonts w:hint="eastAsia" w:hAnsi="宋体" w:cs="宋体"/>
          <w:color w:val="auto"/>
          <w:sz w:val="21"/>
          <w:szCs w:val="21"/>
          <w:highlight w:val="none"/>
          <w:u w:val="single"/>
        </w:rPr>
        <w:t>年</w:t>
      </w:r>
      <w:r>
        <w:rPr>
          <w:rFonts w:hAnsi="宋体" w:cs="宋体"/>
          <w:color w:val="auto"/>
          <w:sz w:val="21"/>
          <w:szCs w:val="21"/>
          <w:highlight w:val="none"/>
          <w:u w:val="single"/>
        </w:rPr>
        <w:t xml:space="preserve">   </w:t>
      </w:r>
      <w:r>
        <w:rPr>
          <w:rFonts w:hint="eastAsia" w:hAnsi="宋体" w:cs="宋体"/>
          <w:color w:val="auto"/>
          <w:sz w:val="21"/>
          <w:szCs w:val="21"/>
          <w:highlight w:val="none"/>
          <w:u w:val="single"/>
        </w:rPr>
        <w:t>月</w:t>
      </w:r>
      <w:r>
        <w:rPr>
          <w:rFonts w:hAnsi="宋体" w:cs="宋体"/>
          <w:color w:val="auto"/>
          <w:sz w:val="21"/>
          <w:szCs w:val="21"/>
          <w:highlight w:val="none"/>
          <w:u w:val="single"/>
        </w:rPr>
        <w:t xml:space="preserve">   </w:t>
      </w:r>
      <w:r>
        <w:rPr>
          <w:rFonts w:hint="eastAsia" w:hAnsi="宋体" w:cs="宋体"/>
          <w:color w:val="auto"/>
          <w:sz w:val="21"/>
          <w:szCs w:val="21"/>
          <w:highlight w:val="none"/>
          <w:u w:val="single"/>
        </w:rPr>
        <w:t>日止</w:t>
      </w:r>
      <w:r>
        <w:rPr>
          <w:rFonts w:hint="eastAsia" w:hAnsi="宋体" w:cs="宋体"/>
          <w:color w:val="auto"/>
          <w:sz w:val="21"/>
          <w:szCs w:val="21"/>
          <w:highlight w:val="none"/>
        </w:rPr>
        <w:t>。</w:t>
      </w:r>
    </w:p>
    <w:p w14:paraId="0C15DD3F">
      <w:pPr>
        <w:pStyle w:val="14"/>
        <w:adjustRightInd w:val="0"/>
        <w:snapToGrid w:val="0"/>
        <w:ind w:firstLine="420"/>
        <w:rPr>
          <w:rFonts w:hint="eastAsia" w:hAnsi="宋体" w:eastAsia="宋体" w:cs="宋体"/>
          <w:color w:val="auto"/>
          <w:sz w:val="21"/>
          <w:szCs w:val="21"/>
          <w:highlight w:val="none"/>
          <w:lang w:val="en-US" w:eastAsia="zh-CN"/>
        </w:rPr>
      </w:pPr>
      <w:r>
        <w:rPr>
          <w:rFonts w:hAnsi="宋体" w:cs="宋体"/>
          <w:color w:val="auto"/>
          <w:sz w:val="21"/>
          <w:szCs w:val="21"/>
          <w:highlight w:val="none"/>
        </w:rPr>
        <w:t xml:space="preserve">3.2 </w:t>
      </w:r>
      <w:r>
        <w:rPr>
          <w:rFonts w:hint="eastAsia" w:hAnsi="宋体" w:cs="宋体"/>
          <w:color w:val="auto"/>
          <w:sz w:val="21"/>
          <w:szCs w:val="21"/>
          <w:highlight w:val="none"/>
          <w:lang w:val="en-US" w:eastAsia="zh-CN"/>
        </w:rPr>
        <w:t>合作分成</w:t>
      </w:r>
      <w:r>
        <w:rPr>
          <w:rFonts w:hint="eastAsia" w:hAnsi="宋体" w:cs="宋体"/>
          <w:color w:val="auto"/>
          <w:sz w:val="21"/>
          <w:szCs w:val="21"/>
          <w:highlight w:val="none"/>
        </w:rPr>
        <w:t>起算日</w:t>
      </w:r>
      <w:r>
        <w:rPr>
          <w:rFonts w:hint="eastAsia" w:hAnsi="宋体" w:cs="宋体"/>
          <w:color w:val="auto"/>
          <w:sz w:val="21"/>
          <w:szCs w:val="21"/>
          <w:highlight w:val="none"/>
          <w:lang w:val="en-US" w:eastAsia="zh-CN"/>
        </w:rPr>
        <w:t>即</w:t>
      </w:r>
      <w:r>
        <w:rPr>
          <w:rFonts w:hint="eastAsia" w:hAnsi="宋体" w:cs="宋体"/>
          <w:color w:val="auto"/>
          <w:sz w:val="21"/>
          <w:szCs w:val="21"/>
          <w:highlight w:val="none"/>
        </w:rPr>
        <w:t>合作资产</w:t>
      </w:r>
      <w:r>
        <w:rPr>
          <w:rFonts w:hint="eastAsia" w:hAnsi="宋体" w:cs="宋体"/>
          <w:color w:val="auto"/>
          <w:sz w:val="21"/>
          <w:szCs w:val="21"/>
          <w:highlight w:val="none"/>
          <w:lang w:val="en-US" w:eastAsia="zh-CN"/>
        </w:rPr>
        <w:t>首次移交日</w:t>
      </w:r>
      <w:r>
        <w:rPr>
          <w:rFonts w:hint="eastAsia" w:hAnsi="宋体" w:cs="宋体"/>
          <w:color w:val="auto"/>
          <w:sz w:val="21"/>
          <w:szCs w:val="21"/>
          <w:highlight w:val="none"/>
          <w:lang w:eastAsia="zh-CN"/>
        </w:rPr>
        <w:t>，</w:t>
      </w:r>
      <w:r>
        <w:rPr>
          <w:rFonts w:hint="eastAsia" w:hAnsi="宋体" w:cs="宋体"/>
          <w:color w:val="auto"/>
          <w:sz w:val="21"/>
          <w:szCs w:val="21"/>
          <w:highlight w:val="none"/>
        </w:rPr>
        <w:t>以</w:t>
      </w:r>
      <w:r>
        <w:rPr>
          <w:rFonts w:hint="eastAsia" w:hAnsi="宋体" w:cs="宋体"/>
          <w:color w:val="auto"/>
          <w:sz w:val="21"/>
          <w:szCs w:val="21"/>
          <w:highlight w:val="none"/>
          <w:lang w:eastAsia="zh-CN"/>
        </w:rPr>
        <w:t>《</w:t>
      </w:r>
      <w:r>
        <w:rPr>
          <w:rFonts w:hint="eastAsia" w:hAnsi="宋体" w:cs="宋体"/>
          <w:color w:val="auto"/>
          <w:sz w:val="21"/>
          <w:szCs w:val="21"/>
          <w:highlight w:val="none"/>
        </w:rPr>
        <w:t>资产移交清单</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载明的</w:t>
      </w:r>
      <w:r>
        <w:rPr>
          <w:rFonts w:hint="eastAsia" w:hAnsi="宋体" w:cs="宋体"/>
          <w:color w:val="auto"/>
          <w:sz w:val="21"/>
          <w:szCs w:val="21"/>
          <w:highlight w:val="none"/>
        </w:rPr>
        <w:t>资产</w:t>
      </w:r>
      <w:r>
        <w:rPr>
          <w:rFonts w:hint="eastAsia" w:hAnsi="宋体" w:cs="宋体"/>
          <w:color w:val="auto"/>
          <w:sz w:val="21"/>
          <w:szCs w:val="21"/>
          <w:highlight w:val="none"/>
          <w:lang w:val="en-US" w:eastAsia="zh-CN"/>
        </w:rPr>
        <w:t>首次移交</w:t>
      </w:r>
      <w:r>
        <w:rPr>
          <w:rFonts w:hint="eastAsia" w:hAnsi="宋体" w:cs="宋体"/>
          <w:color w:val="auto"/>
          <w:sz w:val="21"/>
          <w:szCs w:val="21"/>
          <w:highlight w:val="none"/>
        </w:rPr>
        <w:t>日为准。</w:t>
      </w:r>
      <w:r>
        <w:rPr>
          <w:rFonts w:hint="eastAsia" w:hAnsi="宋体" w:cs="宋体"/>
          <w:color w:val="auto"/>
          <w:sz w:val="21"/>
          <w:szCs w:val="21"/>
          <w:highlight w:val="none"/>
          <w:lang w:val="en-US" w:eastAsia="zh-CN"/>
        </w:rPr>
        <w:t>合作</w:t>
      </w:r>
      <w:r>
        <w:rPr>
          <w:rFonts w:hint="eastAsia" w:hAnsi="宋体" w:cs="宋体"/>
          <w:color w:val="auto"/>
          <w:sz w:val="21"/>
          <w:szCs w:val="21"/>
          <w:highlight w:val="none"/>
        </w:rPr>
        <w:t>考核</w:t>
      </w:r>
      <w:r>
        <w:rPr>
          <w:rFonts w:hint="eastAsia" w:hAnsi="宋体" w:cs="宋体"/>
          <w:color w:val="auto"/>
          <w:sz w:val="21"/>
          <w:szCs w:val="21"/>
          <w:highlight w:val="none"/>
          <w:lang w:val="en-US" w:eastAsia="zh-CN"/>
        </w:rPr>
        <w:t>日期自合同签订并</w:t>
      </w:r>
      <w:r>
        <w:rPr>
          <w:rFonts w:hint="eastAsia" w:hAnsi="宋体" w:cs="宋体"/>
          <w:color w:val="auto"/>
          <w:sz w:val="21"/>
          <w:szCs w:val="21"/>
          <w:highlight w:val="none"/>
        </w:rPr>
        <w:t>资产移交</w:t>
      </w:r>
      <w:r>
        <w:rPr>
          <w:rFonts w:hint="eastAsia" w:hAnsi="宋体" w:cs="宋体"/>
          <w:color w:val="auto"/>
          <w:sz w:val="21"/>
          <w:szCs w:val="21"/>
          <w:highlight w:val="none"/>
          <w:lang w:val="en-US" w:eastAsia="zh-CN"/>
        </w:rPr>
        <w:t>后起算。</w:t>
      </w:r>
    </w:p>
    <w:p w14:paraId="714B9888">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3.</w:t>
      </w:r>
      <w:r>
        <w:rPr>
          <w:rFonts w:hint="eastAsia" w:hAnsi="宋体" w:cs="宋体"/>
          <w:color w:val="auto"/>
          <w:sz w:val="21"/>
          <w:szCs w:val="21"/>
          <w:highlight w:val="none"/>
          <w:lang w:val="en-US" w:eastAsia="zh-CN"/>
        </w:rPr>
        <w:t>3</w:t>
      </w:r>
      <w:r>
        <w:rPr>
          <w:rFonts w:hAnsi="宋体" w:cs="宋体"/>
          <w:color w:val="auto"/>
          <w:sz w:val="21"/>
          <w:szCs w:val="21"/>
          <w:highlight w:val="none"/>
        </w:rPr>
        <w:t xml:space="preserve"> </w:t>
      </w:r>
      <w:r>
        <w:rPr>
          <w:rFonts w:hint="eastAsia" w:hAnsi="宋体" w:cs="宋体"/>
          <w:color w:val="auto"/>
          <w:sz w:val="21"/>
          <w:szCs w:val="21"/>
          <w:highlight w:val="none"/>
        </w:rPr>
        <w:t>合作期限届满前，如双方均有意继续合作，应于期限届满前三个月内协商续约事宜，并另行签订书面合同。未签订书面合同的，本合同于期限届满之日终止。</w:t>
      </w:r>
    </w:p>
    <w:p w14:paraId="616794C8">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3.</w:t>
      </w:r>
      <w:r>
        <w:rPr>
          <w:rFonts w:hint="eastAsia" w:hAnsi="宋体" w:cs="宋体"/>
          <w:color w:val="auto"/>
          <w:sz w:val="21"/>
          <w:szCs w:val="21"/>
          <w:highlight w:val="none"/>
          <w:lang w:val="en-US" w:eastAsia="zh-CN"/>
        </w:rPr>
        <w:t>4</w:t>
      </w:r>
      <w:r>
        <w:rPr>
          <w:rFonts w:hAnsi="宋体" w:cs="宋体"/>
          <w:color w:val="auto"/>
          <w:sz w:val="21"/>
          <w:szCs w:val="21"/>
          <w:highlight w:val="none"/>
        </w:rPr>
        <w:t xml:space="preserve"> </w:t>
      </w:r>
      <w:r>
        <w:rPr>
          <w:rFonts w:hint="eastAsia" w:hAnsi="宋体" w:cs="宋体"/>
          <w:color w:val="auto"/>
          <w:sz w:val="21"/>
          <w:szCs w:val="21"/>
          <w:highlight w:val="none"/>
        </w:rPr>
        <w:t>合作期限届满或者本合同提前解除的，乙方应按本合同约定办理资产返还及交接手续。</w:t>
      </w:r>
    </w:p>
    <w:p w14:paraId="59DA83F6">
      <w:pPr>
        <w:pStyle w:val="14"/>
        <w:adjustRightInd w:val="0"/>
        <w:snapToGrid w:val="0"/>
        <w:ind w:firstLine="422"/>
        <w:rPr>
          <w:rFonts w:hAnsi="宋体" w:cs="宋体"/>
          <w:color w:val="auto"/>
          <w:sz w:val="21"/>
          <w:szCs w:val="21"/>
          <w:highlight w:val="none"/>
        </w:rPr>
      </w:pPr>
      <w:r>
        <w:rPr>
          <w:rFonts w:hint="eastAsia" w:hAnsi="宋体" w:cs="宋体"/>
          <w:b/>
          <w:bCs/>
          <w:color w:val="auto"/>
          <w:sz w:val="21"/>
          <w:szCs w:val="21"/>
          <w:highlight w:val="none"/>
        </w:rPr>
        <w:t>第四条</w:t>
      </w:r>
      <w:r>
        <w:rPr>
          <w:rFonts w:hAnsi="宋体" w:cs="宋体"/>
          <w:b/>
          <w:bCs/>
          <w:color w:val="auto"/>
          <w:sz w:val="21"/>
          <w:szCs w:val="21"/>
          <w:highlight w:val="none"/>
        </w:rPr>
        <w:t xml:space="preserve">  </w:t>
      </w:r>
      <w:r>
        <w:rPr>
          <w:rFonts w:hint="eastAsia" w:hAnsi="宋体" w:cs="宋体"/>
          <w:b/>
          <w:bCs/>
          <w:color w:val="auto"/>
          <w:sz w:val="21"/>
          <w:szCs w:val="21"/>
          <w:highlight w:val="none"/>
        </w:rPr>
        <w:t>资产交付与</w:t>
      </w:r>
      <w:r>
        <w:rPr>
          <w:rFonts w:hint="eastAsia" w:hAnsi="宋体" w:cs="宋体"/>
          <w:b/>
          <w:bCs/>
          <w:color w:val="auto"/>
          <w:sz w:val="21"/>
          <w:szCs w:val="21"/>
          <w:highlight w:val="none"/>
          <w:lang w:val="en-US" w:eastAsia="zh-CN"/>
        </w:rPr>
        <w:t>后续</w:t>
      </w:r>
      <w:r>
        <w:rPr>
          <w:rFonts w:hint="eastAsia" w:hAnsi="宋体" w:cs="宋体"/>
          <w:b/>
          <w:bCs/>
          <w:color w:val="auto"/>
          <w:sz w:val="21"/>
          <w:szCs w:val="21"/>
          <w:highlight w:val="none"/>
        </w:rPr>
        <w:t>投资改造</w:t>
      </w:r>
    </w:p>
    <w:p w14:paraId="475980CE">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 xml:space="preserve">4.1 </w:t>
      </w:r>
      <w:r>
        <w:rPr>
          <w:rFonts w:hint="eastAsia" w:hAnsi="宋体" w:cs="宋体"/>
          <w:color w:val="auto"/>
          <w:sz w:val="21"/>
          <w:szCs w:val="21"/>
          <w:highlight w:val="none"/>
          <w:lang w:val="en-US" w:eastAsia="zh-CN"/>
        </w:rPr>
        <w:t>合作</w:t>
      </w:r>
      <w:r>
        <w:rPr>
          <w:rFonts w:hint="eastAsia" w:hAnsi="宋体" w:cs="宋体"/>
          <w:color w:val="auto"/>
          <w:sz w:val="21"/>
          <w:szCs w:val="21"/>
          <w:highlight w:val="none"/>
        </w:rPr>
        <w:t>资产交付：甲方按</w:t>
      </w:r>
      <w:r>
        <w:rPr>
          <w:rFonts w:hint="eastAsia" w:hAnsi="宋体" w:cs="宋体"/>
          <w:color w:val="auto"/>
          <w:sz w:val="21"/>
          <w:szCs w:val="21"/>
          <w:highlight w:val="none"/>
          <w:lang w:val="en-US" w:eastAsia="zh-CN"/>
        </w:rPr>
        <w:t>资产</w:t>
      </w:r>
      <w:r>
        <w:rPr>
          <w:rFonts w:hint="eastAsia" w:hAnsi="宋体" w:cs="宋体"/>
          <w:color w:val="auto"/>
          <w:sz w:val="21"/>
          <w:szCs w:val="21"/>
          <w:highlight w:val="none"/>
        </w:rPr>
        <w:t>现状向乙方交付合作资产，双方共同对合作资产</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包含附随的</w:t>
      </w:r>
      <w:r>
        <w:rPr>
          <w:rFonts w:hint="eastAsia" w:hAnsi="宋体" w:cs="宋体"/>
          <w:color w:val="auto"/>
          <w:sz w:val="21"/>
          <w:szCs w:val="21"/>
          <w:highlight w:val="none"/>
        </w:rPr>
        <w:t>水电读数、钥匙等</w:t>
      </w:r>
      <w:r>
        <w:rPr>
          <w:rFonts w:hint="eastAsia" w:hAnsi="宋体" w:cs="宋体"/>
          <w:color w:val="auto"/>
          <w:sz w:val="21"/>
          <w:szCs w:val="21"/>
          <w:highlight w:val="none"/>
          <w:lang w:eastAsia="zh-CN"/>
        </w:rPr>
        <w:t>）</w:t>
      </w:r>
      <w:r>
        <w:rPr>
          <w:rFonts w:hint="eastAsia" w:hAnsi="宋体" w:cs="宋体"/>
          <w:color w:val="auto"/>
          <w:sz w:val="21"/>
          <w:szCs w:val="21"/>
          <w:highlight w:val="none"/>
        </w:rPr>
        <w:t>进行逐项清点</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核实、确认</w:t>
      </w:r>
      <w:r>
        <w:rPr>
          <w:rFonts w:hint="eastAsia" w:hAnsi="宋体" w:cs="宋体"/>
          <w:color w:val="auto"/>
          <w:sz w:val="21"/>
          <w:szCs w:val="21"/>
          <w:highlight w:val="none"/>
          <w:lang w:eastAsia="zh-CN"/>
        </w:rPr>
        <w:t>，</w:t>
      </w:r>
      <w:r>
        <w:rPr>
          <w:rFonts w:hint="eastAsia" w:hAnsi="宋体" w:cs="宋体"/>
          <w:color w:val="auto"/>
          <w:sz w:val="21"/>
          <w:szCs w:val="21"/>
          <w:highlight w:val="none"/>
        </w:rPr>
        <w:t>共同</w:t>
      </w:r>
      <w:r>
        <w:rPr>
          <w:rFonts w:hint="eastAsia" w:hAnsi="宋体" w:cs="宋体"/>
          <w:color w:val="auto"/>
          <w:sz w:val="21"/>
          <w:szCs w:val="21"/>
          <w:highlight w:val="none"/>
          <w:lang w:val="en-US" w:eastAsia="zh-CN"/>
        </w:rPr>
        <w:t>现场签署</w:t>
      </w:r>
      <w:r>
        <w:rPr>
          <w:rFonts w:hint="eastAsia" w:hAnsi="宋体" w:cs="宋体"/>
          <w:color w:val="auto"/>
          <w:sz w:val="21"/>
          <w:szCs w:val="21"/>
          <w:highlight w:val="none"/>
        </w:rPr>
        <w:t>《资产移交</w:t>
      </w:r>
      <w:r>
        <w:rPr>
          <w:rFonts w:hint="eastAsia" w:hAnsi="宋体" w:cs="宋体"/>
          <w:color w:val="auto"/>
          <w:sz w:val="21"/>
          <w:szCs w:val="21"/>
          <w:highlight w:val="none"/>
          <w:lang w:val="en-US" w:eastAsia="zh-CN"/>
        </w:rPr>
        <w:t>清单</w:t>
      </w:r>
      <w:r>
        <w:rPr>
          <w:rFonts w:hint="eastAsia" w:hAnsi="宋体" w:cs="宋体"/>
          <w:color w:val="auto"/>
          <w:sz w:val="21"/>
          <w:szCs w:val="21"/>
          <w:highlight w:val="none"/>
        </w:rPr>
        <w:t>》</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一式二份</w:t>
      </w:r>
      <w:r>
        <w:rPr>
          <w:rFonts w:hint="eastAsia" w:hAnsi="宋体" w:cs="宋体"/>
          <w:color w:val="auto"/>
          <w:sz w:val="21"/>
          <w:szCs w:val="21"/>
          <w:highlight w:val="none"/>
          <w:lang w:eastAsia="zh-CN"/>
        </w:rPr>
        <w:t>）</w:t>
      </w:r>
      <w:r>
        <w:rPr>
          <w:rFonts w:hint="eastAsia" w:hAnsi="宋体" w:cs="宋体"/>
          <w:color w:val="auto"/>
          <w:sz w:val="21"/>
          <w:szCs w:val="21"/>
          <w:highlight w:val="none"/>
        </w:rPr>
        <w:t>。自《资产移交</w:t>
      </w:r>
      <w:r>
        <w:rPr>
          <w:rFonts w:hint="eastAsia" w:hAnsi="宋体" w:cs="宋体"/>
          <w:color w:val="auto"/>
          <w:sz w:val="21"/>
          <w:szCs w:val="21"/>
          <w:highlight w:val="none"/>
          <w:lang w:val="en-US" w:eastAsia="zh-CN"/>
        </w:rPr>
        <w:t>清单</w:t>
      </w:r>
      <w:r>
        <w:rPr>
          <w:rFonts w:hint="eastAsia" w:hAnsi="宋体" w:cs="宋体"/>
          <w:color w:val="auto"/>
          <w:sz w:val="21"/>
          <w:szCs w:val="21"/>
          <w:highlight w:val="none"/>
        </w:rPr>
        <w:t>》签署之日起，合作资产的日常管理责任转移至乙方。</w:t>
      </w:r>
    </w:p>
    <w:p w14:paraId="654B8128">
      <w:pPr>
        <w:pStyle w:val="14"/>
        <w:adjustRightInd w:val="0"/>
        <w:snapToGrid w:val="0"/>
        <w:ind w:firstLine="420"/>
        <w:rPr>
          <w:rFonts w:hint="default" w:hAnsi="宋体" w:eastAsia="宋体" w:cs="宋体"/>
          <w:color w:val="auto"/>
          <w:sz w:val="21"/>
          <w:szCs w:val="21"/>
          <w:highlight w:val="none"/>
          <w:lang w:val="en-US" w:eastAsia="zh-CN"/>
        </w:rPr>
      </w:pPr>
      <w:r>
        <w:rPr>
          <w:rFonts w:hAnsi="宋体" w:cs="宋体"/>
          <w:color w:val="auto"/>
          <w:sz w:val="21"/>
          <w:szCs w:val="21"/>
          <w:highlight w:val="none"/>
        </w:rPr>
        <w:t>4.</w:t>
      </w:r>
      <w:r>
        <w:rPr>
          <w:rFonts w:hint="eastAsia" w:hAnsi="宋体" w:cs="宋体"/>
          <w:color w:val="auto"/>
          <w:sz w:val="21"/>
          <w:szCs w:val="21"/>
          <w:highlight w:val="none"/>
          <w:lang w:val="en-US" w:eastAsia="zh-CN"/>
        </w:rPr>
        <w:t>2</w:t>
      </w:r>
      <w:r>
        <w:rPr>
          <w:rFonts w:hAnsi="宋体" w:cs="宋体"/>
          <w:color w:val="auto"/>
          <w:sz w:val="21"/>
          <w:szCs w:val="21"/>
          <w:highlight w:val="none"/>
        </w:rPr>
        <w:t xml:space="preserve"> </w:t>
      </w:r>
      <w:r>
        <w:rPr>
          <w:rFonts w:hint="eastAsia" w:hAnsi="宋体" w:cs="宋体"/>
          <w:color w:val="auto"/>
          <w:sz w:val="21"/>
          <w:szCs w:val="21"/>
          <w:highlight w:val="none"/>
        </w:rPr>
        <w:t>资产交付</w:t>
      </w:r>
      <w:r>
        <w:rPr>
          <w:rFonts w:hint="eastAsia" w:hAnsi="宋体" w:cs="宋体"/>
          <w:color w:val="auto"/>
          <w:sz w:val="21"/>
          <w:szCs w:val="21"/>
          <w:highlight w:val="none"/>
          <w:lang w:val="en-US" w:eastAsia="zh-CN"/>
        </w:rPr>
        <w:t>时间</w:t>
      </w:r>
      <w:r>
        <w:rPr>
          <w:rFonts w:hint="eastAsia" w:hAnsi="宋体" w:cs="宋体"/>
          <w:color w:val="auto"/>
          <w:sz w:val="21"/>
          <w:szCs w:val="21"/>
          <w:highlight w:val="none"/>
        </w:rPr>
        <w:t>：</w:t>
      </w:r>
      <w:r>
        <w:rPr>
          <w:rFonts w:hint="eastAsia" w:hAnsi="宋体" w:cs="宋体"/>
          <w:color w:val="auto"/>
          <w:sz w:val="21"/>
          <w:szCs w:val="21"/>
          <w:highlight w:val="none"/>
          <w:lang w:val="en-US" w:eastAsia="zh-CN"/>
        </w:rPr>
        <w:t>以</w:t>
      </w:r>
      <w:r>
        <w:rPr>
          <w:rFonts w:hint="eastAsia" w:hAnsi="宋体" w:cs="宋体"/>
          <w:color w:val="auto"/>
          <w:sz w:val="21"/>
          <w:szCs w:val="21"/>
          <w:highlight w:val="none"/>
        </w:rPr>
        <w:t>甲方</w:t>
      </w:r>
      <w:r>
        <w:rPr>
          <w:rFonts w:hint="eastAsia" w:hAnsi="宋体" w:cs="宋体"/>
          <w:color w:val="auto"/>
          <w:sz w:val="21"/>
          <w:szCs w:val="21"/>
          <w:highlight w:val="none"/>
          <w:lang w:val="en-US" w:eastAsia="zh-CN"/>
        </w:rPr>
        <w:t>通知为准。乙方按甲方通知的时间准时到场接受移交。合作</w:t>
      </w:r>
      <w:r>
        <w:rPr>
          <w:rFonts w:hint="eastAsia" w:hAnsi="宋体" w:cs="宋体"/>
          <w:color w:val="auto"/>
          <w:sz w:val="21"/>
          <w:szCs w:val="21"/>
          <w:highlight w:val="none"/>
        </w:rPr>
        <w:t>资产交付</w:t>
      </w:r>
      <w:r>
        <w:rPr>
          <w:rFonts w:hint="eastAsia" w:hAnsi="宋体" w:cs="宋体"/>
          <w:color w:val="auto"/>
          <w:sz w:val="21"/>
          <w:szCs w:val="21"/>
          <w:highlight w:val="none"/>
          <w:lang w:val="en-US" w:eastAsia="zh-CN"/>
        </w:rPr>
        <w:t>分次进行，</w:t>
      </w:r>
      <w:r>
        <w:rPr>
          <w:rFonts w:hint="eastAsia" w:hAnsi="宋体" w:cs="宋体"/>
          <w:color w:val="auto"/>
          <w:sz w:val="21"/>
          <w:szCs w:val="21"/>
          <w:highlight w:val="none"/>
          <w:lang w:eastAsia="zh-CN"/>
        </w:rPr>
        <w:t>第</w:t>
      </w:r>
      <w:r>
        <w:rPr>
          <w:rFonts w:hint="eastAsia" w:hAnsi="宋体" w:cs="宋体"/>
          <w:color w:val="auto"/>
          <w:sz w:val="21"/>
          <w:szCs w:val="21"/>
          <w:highlight w:val="none"/>
          <w:lang w:val="en-US" w:eastAsia="zh-CN"/>
        </w:rPr>
        <w:t>一</w:t>
      </w:r>
      <w:r>
        <w:rPr>
          <w:rFonts w:hint="eastAsia" w:hAnsi="宋体" w:cs="宋体"/>
          <w:color w:val="auto"/>
          <w:sz w:val="21"/>
          <w:szCs w:val="21"/>
          <w:highlight w:val="none"/>
        </w:rPr>
        <w:t>处资产</w:t>
      </w:r>
      <w:r>
        <w:rPr>
          <w:rFonts w:hint="eastAsia" w:hAnsi="宋体" w:cs="宋体"/>
          <w:color w:val="auto"/>
          <w:sz w:val="21"/>
          <w:szCs w:val="21"/>
          <w:highlight w:val="none"/>
          <w:lang w:eastAsia="zh-CN"/>
        </w:rPr>
        <w:t>（</w:t>
      </w:r>
      <w:r>
        <w:rPr>
          <w:rFonts w:hint="eastAsia" w:hAnsi="宋体" w:cs="宋体"/>
          <w:color w:val="auto"/>
          <w:sz w:val="21"/>
          <w:szCs w:val="21"/>
          <w:highlight w:val="none"/>
        </w:rPr>
        <w:t>老卫生院综合楼</w:t>
      </w:r>
      <w:r>
        <w:rPr>
          <w:rFonts w:hint="eastAsia" w:hAnsi="宋体" w:cs="宋体"/>
          <w:color w:val="auto"/>
          <w:sz w:val="21"/>
          <w:szCs w:val="21"/>
          <w:highlight w:val="none"/>
          <w:lang w:eastAsia="zh-CN"/>
        </w:rPr>
        <w:t>）</w:t>
      </w:r>
      <w:r>
        <w:rPr>
          <w:rFonts w:hint="eastAsia" w:hAnsi="宋体" w:cs="宋体"/>
          <w:color w:val="auto"/>
          <w:sz w:val="21"/>
          <w:szCs w:val="21"/>
          <w:highlight w:val="none"/>
        </w:rPr>
        <w:t>交付</w:t>
      </w:r>
      <w:r>
        <w:rPr>
          <w:rFonts w:hint="eastAsia" w:hAnsi="宋体" w:cs="宋体"/>
          <w:color w:val="auto"/>
          <w:sz w:val="21"/>
          <w:szCs w:val="21"/>
          <w:highlight w:val="none"/>
          <w:lang w:val="en-US" w:eastAsia="zh-CN"/>
        </w:rPr>
        <w:t>可在合同签订后进行。</w:t>
      </w:r>
    </w:p>
    <w:p w14:paraId="6A2EED71">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4.</w:t>
      </w:r>
      <w:r>
        <w:rPr>
          <w:rFonts w:hint="eastAsia" w:hAnsi="宋体" w:cs="宋体"/>
          <w:color w:val="auto"/>
          <w:sz w:val="21"/>
          <w:szCs w:val="21"/>
          <w:highlight w:val="none"/>
          <w:lang w:val="en-US" w:eastAsia="zh-CN"/>
        </w:rPr>
        <w:t>3</w:t>
      </w:r>
      <w:r>
        <w:rPr>
          <w:rFonts w:hAnsi="宋体" w:cs="宋体"/>
          <w:color w:val="auto"/>
          <w:sz w:val="21"/>
          <w:szCs w:val="21"/>
          <w:highlight w:val="none"/>
        </w:rPr>
        <w:t xml:space="preserve"> </w:t>
      </w:r>
      <w:r>
        <w:rPr>
          <w:rFonts w:hint="eastAsia" w:hAnsi="宋体" w:cs="宋体"/>
          <w:color w:val="auto"/>
          <w:sz w:val="21"/>
          <w:szCs w:val="21"/>
          <w:highlight w:val="none"/>
        </w:rPr>
        <w:t>甲方负责</w:t>
      </w:r>
      <w:r>
        <w:rPr>
          <w:rFonts w:hint="eastAsia" w:hAnsi="宋体" w:cs="宋体"/>
          <w:color w:val="auto"/>
          <w:sz w:val="21"/>
          <w:szCs w:val="21"/>
          <w:highlight w:val="none"/>
          <w:lang w:eastAsia="zh-CN"/>
        </w:rPr>
        <w:t>第</w:t>
      </w:r>
      <w:r>
        <w:rPr>
          <w:rFonts w:hint="eastAsia" w:hAnsi="宋体" w:cs="宋体"/>
          <w:color w:val="auto"/>
          <w:sz w:val="21"/>
          <w:szCs w:val="21"/>
          <w:highlight w:val="none"/>
          <w:lang w:val="en-US" w:eastAsia="zh-CN"/>
        </w:rPr>
        <w:t>二</w:t>
      </w:r>
      <w:r>
        <w:rPr>
          <w:rFonts w:hint="eastAsia" w:hAnsi="宋体" w:cs="宋体"/>
          <w:color w:val="auto"/>
          <w:sz w:val="21"/>
          <w:szCs w:val="21"/>
          <w:highlight w:val="none"/>
        </w:rPr>
        <w:t>处资产适老化消防改造</w:t>
      </w:r>
      <w:r>
        <w:rPr>
          <w:rFonts w:hint="eastAsia" w:hAnsi="宋体" w:cs="宋体"/>
          <w:color w:val="auto"/>
          <w:sz w:val="21"/>
          <w:szCs w:val="21"/>
          <w:highlight w:val="none"/>
          <w:lang w:eastAsia="zh-CN"/>
        </w:rPr>
        <w:t>，且</w:t>
      </w:r>
      <w:r>
        <w:rPr>
          <w:rFonts w:hint="eastAsia" w:hAnsi="宋体" w:cs="宋体"/>
          <w:color w:val="auto"/>
          <w:sz w:val="21"/>
          <w:szCs w:val="21"/>
          <w:highlight w:val="none"/>
        </w:rPr>
        <w:t>配置床位</w:t>
      </w:r>
      <w:r>
        <w:rPr>
          <w:rFonts w:hint="eastAsia" w:hAnsi="宋体" w:cs="宋体"/>
          <w:color w:val="auto"/>
          <w:sz w:val="21"/>
          <w:szCs w:val="21"/>
          <w:highlight w:val="none"/>
          <w:lang w:val="en-US" w:eastAsia="zh-CN"/>
        </w:rPr>
        <w:t>和</w:t>
      </w:r>
      <w:r>
        <w:rPr>
          <w:rFonts w:hint="eastAsia" w:hAnsi="宋体" w:cs="宋体"/>
          <w:color w:val="auto"/>
          <w:sz w:val="21"/>
          <w:szCs w:val="21"/>
          <w:highlight w:val="none"/>
        </w:rPr>
        <w:t>相关养老设备设施</w:t>
      </w:r>
      <w:r>
        <w:rPr>
          <w:rFonts w:hint="eastAsia" w:hAnsi="宋体" w:cs="宋体"/>
          <w:color w:val="auto"/>
          <w:sz w:val="21"/>
          <w:szCs w:val="21"/>
          <w:highlight w:val="none"/>
          <w:lang w:eastAsia="zh-CN"/>
        </w:rPr>
        <w:t>（</w:t>
      </w:r>
      <w:r>
        <w:rPr>
          <w:rFonts w:hint="eastAsia" w:hAnsi="宋体" w:cs="宋体"/>
          <w:b/>
          <w:bCs/>
          <w:color w:val="auto"/>
          <w:sz w:val="21"/>
          <w:szCs w:val="21"/>
          <w:highlight w:val="none"/>
          <w:lang w:eastAsia="zh-CN"/>
        </w:rPr>
        <w:t>具体床位</w:t>
      </w:r>
      <w:r>
        <w:rPr>
          <w:rFonts w:hint="eastAsia" w:hAnsi="宋体" w:cs="宋体"/>
          <w:b/>
          <w:bCs/>
          <w:color w:val="auto"/>
          <w:sz w:val="21"/>
          <w:szCs w:val="21"/>
          <w:highlight w:val="none"/>
          <w:lang w:val="en-US" w:eastAsia="zh-CN"/>
        </w:rPr>
        <w:t>和</w:t>
      </w:r>
      <w:r>
        <w:rPr>
          <w:rFonts w:hint="eastAsia" w:hAnsi="宋体" w:cs="宋体"/>
          <w:b/>
          <w:bCs/>
          <w:color w:val="auto"/>
          <w:sz w:val="21"/>
          <w:szCs w:val="21"/>
          <w:highlight w:val="none"/>
          <w:lang w:eastAsia="zh-CN"/>
        </w:rPr>
        <w:t>养老设备设施以现状移交为准</w:t>
      </w:r>
      <w:r>
        <w:rPr>
          <w:rFonts w:hint="eastAsia" w:hAnsi="宋体" w:cs="宋体"/>
          <w:color w:val="auto"/>
          <w:sz w:val="21"/>
          <w:szCs w:val="21"/>
          <w:highlight w:val="none"/>
          <w:lang w:eastAsia="zh-CN"/>
        </w:rPr>
        <w:t>）</w:t>
      </w:r>
      <w:r>
        <w:rPr>
          <w:rFonts w:hint="eastAsia" w:hAnsi="宋体" w:cs="宋体"/>
          <w:color w:val="auto"/>
          <w:sz w:val="21"/>
          <w:szCs w:val="21"/>
          <w:highlight w:val="none"/>
        </w:rPr>
        <w:t>，</w:t>
      </w:r>
      <w:r>
        <w:rPr>
          <w:rFonts w:hint="eastAsia" w:hAnsi="宋体" w:cs="宋体"/>
          <w:color w:val="auto"/>
          <w:sz w:val="21"/>
          <w:szCs w:val="21"/>
          <w:highlight w:val="none"/>
          <w:lang w:eastAsia="zh-CN"/>
        </w:rPr>
        <w:t>此外</w:t>
      </w:r>
      <w:r>
        <w:rPr>
          <w:rFonts w:hint="eastAsia" w:hAnsi="宋体" w:cs="宋体"/>
          <w:color w:val="auto"/>
          <w:sz w:val="21"/>
          <w:szCs w:val="21"/>
          <w:highlight w:val="none"/>
        </w:rPr>
        <w:t>甲方不再承担</w:t>
      </w:r>
      <w:r>
        <w:rPr>
          <w:rFonts w:hint="eastAsia" w:hAnsi="宋体" w:cs="宋体"/>
          <w:color w:val="auto"/>
          <w:sz w:val="21"/>
          <w:szCs w:val="21"/>
          <w:highlight w:val="none"/>
          <w:lang w:eastAsia="zh-CN"/>
        </w:rPr>
        <w:t>任何</w:t>
      </w:r>
      <w:r>
        <w:rPr>
          <w:rFonts w:hint="eastAsia" w:hAnsi="宋体" w:cs="宋体"/>
          <w:color w:val="auto"/>
          <w:sz w:val="21"/>
          <w:szCs w:val="21"/>
          <w:highlight w:val="none"/>
        </w:rPr>
        <w:t>合作运营费用。</w:t>
      </w:r>
    </w:p>
    <w:p w14:paraId="25A6D1B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4.</w:t>
      </w:r>
      <w:r>
        <w:rPr>
          <w:rFonts w:hint="eastAsia" w:hAnsi="宋体" w:cs="宋体"/>
          <w:color w:val="auto"/>
          <w:sz w:val="21"/>
          <w:szCs w:val="21"/>
          <w:highlight w:val="none"/>
          <w:lang w:val="en-US" w:eastAsia="zh-CN"/>
        </w:rPr>
        <w:t>4</w:t>
      </w:r>
      <w:r>
        <w:rPr>
          <w:rFonts w:hAnsi="宋体" w:cs="宋体"/>
          <w:color w:val="auto"/>
          <w:sz w:val="21"/>
          <w:szCs w:val="21"/>
          <w:highlight w:val="none"/>
        </w:rPr>
        <w:t xml:space="preserve"> </w:t>
      </w:r>
      <w:r>
        <w:rPr>
          <w:rFonts w:hint="eastAsia" w:hAnsi="宋体" w:cs="宋体"/>
          <w:color w:val="auto"/>
          <w:sz w:val="21"/>
          <w:szCs w:val="21"/>
          <w:highlight w:val="none"/>
        </w:rPr>
        <w:t>乙方负责合作资产移交后的配置床位</w:t>
      </w:r>
      <w:r>
        <w:rPr>
          <w:rFonts w:hint="eastAsia" w:hAnsi="宋体" w:cs="宋体"/>
          <w:color w:val="auto"/>
          <w:sz w:val="21"/>
          <w:szCs w:val="21"/>
          <w:highlight w:val="none"/>
          <w:lang w:val="en-US" w:eastAsia="zh-CN"/>
        </w:rPr>
        <w:t>和</w:t>
      </w:r>
      <w:r>
        <w:rPr>
          <w:rFonts w:hint="eastAsia" w:hAnsi="宋体" w:cs="宋体"/>
          <w:color w:val="auto"/>
          <w:sz w:val="21"/>
          <w:szCs w:val="21"/>
          <w:highlight w:val="none"/>
        </w:rPr>
        <w:t>相关养老设备设施</w:t>
      </w:r>
      <w:r>
        <w:rPr>
          <w:rFonts w:hint="eastAsia" w:hAnsi="宋体" w:cs="宋体"/>
          <w:color w:val="auto"/>
          <w:sz w:val="21"/>
          <w:szCs w:val="21"/>
          <w:highlight w:val="none"/>
          <w:lang w:eastAsia="zh-CN"/>
        </w:rPr>
        <w:t>等</w:t>
      </w:r>
      <w:r>
        <w:rPr>
          <w:rFonts w:hint="eastAsia" w:hAnsi="宋体" w:cs="宋体"/>
          <w:color w:val="auto"/>
          <w:sz w:val="21"/>
          <w:szCs w:val="21"/>
          <w:highlight w:val="none"/>
        </w:rPr>
        <w:t>后续投资</w:t>
      </w:r>
      <w:r>
        <w:rPr>
          <w:rFonts w:hint="eastAsia" w:hAnsi="宋体" w:cs="宋体"/>
          <w:color w:val="auto"/>
          <w:sz w:val="21"/>
          <w:szCs w:val="21"/>
          <w:highlight w:val="none"/>
          <w:lang w:val="en-US" w:eastAsia="zh-CN"/>
        </w:rPr>
        <w:t>改造</w:t>
      </w:r>
      <w:r>
        <w:rPr>
          <w:rFonts w:hint="eastAsia" w:hAnsi="宋体" w:cs="宋体"/>
          <w:color w:val="auto"/>
          <w:sz w:val="21"/>
          <w:szCs w:val="21"/>
          <w:highlight w:val="none"/>
        </w:rPr>
        <w:t>。乙方的改造方案须事先书面报甲方审核同意，并依法办理消防、住建等相关部门审批手续后方可施工。改造不得改变房屋主体结构及安全性能，不得损害甲方资产权益。</w:t>
      </w:r>
    </w:p>
    <w:p w14:paraId="5AA37719">
      <w:pPr>
        <w:pStyle w:val="14"/>
        <w:adjustRightInd w:val="0"/>
        <w:snapToGrid w:val="0"/>
        <w:ind w:firstLine="420"/>
        <w:rPr>
          <w:rFonts w:hint="eastAsia" w:hAnsi="宋体" w:cs="宋体"/>
          <w:color w:val="auto"/>
          <w:sz w:val="21"/>
          <w:szCs w:val="21"/>
          <w:highlight w:val="none"/>
          <w:lang w:val="en-US" w:eastAsia="zh-CN"/>
        </w:rPr>
      </w:pPr>
      <w:r>
        <w:rPr>
          <w:rFonts w:hAnsi="宋体" w:cs="宋体"/>
          <w:color w:val="auto"/>
          <w:sz w:val="21"/>
          <w:szCs w:val="21"/>
          <w:highlight w:val="none"/>
        </w:rPr>
        <w:t>4.</w:t>
      </w:r>
      <w:r>
        <w:rPr>
          <w:rFonts w:hint="eastAsia" w:hAnsi="宋体" w:cs="宋体"/>
          <w:color w:val="auto"/>
          <w:sz w:val="21"/>
          <w:szCs w:val="21"/>
          <w:highlight w:val="none"/>
          <w:lang w:val="en-US" w:eastAsia="zh-CN"/>
        </w:rPr>
        <w:t>5</w:t>
      </w:r>
      <w:r>
        <w:rPr>
          <w:rFonts w:hint="eastAsia" w:hAnsi="宋体" w:cs="宋体"/>
          <w:color w:val="auto"/>
          <w:sz w:val="21"/>
          <w:szCs w:val="21"/>
          <w:highlight w:val="none"/>
        </w:rPr>
        <w:t>投资形成的资产归属：</w:t>
      </w:r>
      <w:r>
        <w:rPr>
          <w:rFonts w:hint="eastAsia" w:hAnsi="宋体" w:cs="宋体"/>
          <w:color w:val="auto"/>
          <w:sz w:val="21"/>
          <w:szCs w:val="21"/>
          <w:highlight w:val="none"/>
          <w:lang w:val="en-US" w:eastAsia="zh-CN"/>
        </w:rPr>
        <w:t>甲</w:t>
      </w:r>
      <w:r>
        <w:rPr>
          <w:rFonts w:hint="eastAsia" w:hAnsi="宋体" w:cs="宋体"/>
          <w:color w:val="auto"/>
          <w:sz w:val="21"/>
          <w:szCs w:val="21"/>
          <w:highlight w:val="none"/>
        </w:rPr>
        <w:t>方投资形成的资产归属</w:t>
      </w:r>
      <w:r>
        <w:rPr>
          <w:rFonts w:hint="eastAsia" w:hAnsi="宋体" w:cs="宋体"/>
          <w:color w:val="auto"/>
          <w:sz w:val="21"/>
          <w:szCs w:val="21"/>
          <w:highlight w:val="none"/>
          <w:lang w:val="en-US" w:eastAsia="zh-CN"/>
        </w:rPr>
        <w:t>甲方所有。</w:t>
      </w:r>
      <w:r>
        <w:rPr>
          <w:rFonts w:hint="eastAsia" w:hAnsi="宋体" w:cs="宋体"/>
          <w:color w:val="auto"/>
          <w:sz w:val="21"/>
          <w:szCs w:val="21"/>
          <w:highlight w:val="none"/>
        </w:rPr>
        <w:t>乙方投资形成的</w:t>
      </w:r>
      <w:r>
        <w:rPr>
          <w:rFonts w:hint="eastAsia" w:hAnsi="宋体" w:cs="宋体"/>
          <w:color w:val="auto"/>
          <w:sz w:val="21"/>
          <w:szCs w:val="21"/>
          <w:highlight w:val="none"/>
          <w:lang w:val="en-US" w:eastAsia="zh-CN"/>
        </w:rPr>
        <w:t>资产（</w:t>
      </w:r>
      <w:r>
        <w:rPr>
          <w:rFonts w:hint="eastAsia" w:hAnsi="宋体" w:cs="宋体"/>
          <w:color w:val="auto"/>
          <w:sz w:val="21"/>
          <w:szCs w:val="21"/>
          <w:highlight w:val="none"/>
        </w:rPr>
        <w:t>床位</w:t>
      </w:r>
      <w:r>
        <w:rPr>
          <w:rFonts w:hint="eastAsia" w:hAnsi="宋体" w:cs="宋体"/>
          <w:color w:val="auto"/>
          <w:sz w:val="21"/>
          <w:szCs w:val="21"/>
          <w:highlight w:val="none"/>
          <w:lang w:val="en-US" w:eastAsia="zh-CN"/>
        </w:rPr>
        <w:t>和</w:t>
      </w:r>
      <w:r>
        <w:rPr>
          <w:rFonts w:hint="eastAsia" w:hAnsi="宋体" w:cs="宋体"/>
          <w:color w:val="auto"/>
          <w:sz w:val="21"/>
          <w:szCs w:val="21"/>
          <w:highlight w:val="none"/>
        </w:rPr>
        <w:t>相关养老设备设施</w:t>
      </w:r>
      <w:r>
        <w:rPr>
          <w:rFonts w:hint="eastAsia" w:hAnsi="宋体" w:cs="宋体"/>
          <w:color w:val="auto"/>
          <w:sz w:val="21"/>
          <w:szCs w:val="21"/>
          <w:highlight w:val="none"/>
          <w:lang w:val="en-US" w:eastAsia="zh-CN"/>
        </w:rPr>
        <w:t>等后续投资改造），</w:t>
      </w:r>
      <w:r>
        <w:rPr>
          <w:rFonts w:hint="eastAsia" w:hAnsi="宋体" w:cs="宋体"/>
          <w:color w:val="auto"/>
          <w:sz w:val="21"/>
          <w:szCs w:val="21"/>
          <w:highlight w:val="none"/>
        </w:rPr>
        <w:t>合同终止或者解除时，可移动的</w:t>
      </w:r>
      <w:r>
        <w:rPr>
          <w:rFonts w:hint="eastAsia" w:hAnsi="宋体" w:cs="宋体"/>
          <w:color w:val="auto"/>
          <w:sz w:val="21"/>
          <w:szCs w:val="21"/>
          <w:highlight w:val="none"/>
          <w:lang w:val="en-US" w:eastAsia="zh-CN"/>
        </w:rPr>
        <w:t>资产</w:t>
      </w:r>
      <w:r>
        <w:rPr>
          <w:rFonts w:hint="eastAsia" w:hAnsi="宋体" w:cs="宋体"/>
          <w:color w:val="auto"/>
          <w:sz w:val="21"/>
          <w:szCs w:val="21"/>
          <w:highlight w:val="none"/>
        </w:rPr>
        <w:t>归</w:t>
      </w:r>
      <w:r>
        <w:rPr>
          <w:rFonts w:hint="eastAsia" w:hAnsi="宋体" w:cs="宋体"/>
          <w:color w:val="auto"/>
          <w:sz w:val="21"/>
          <w:szCs w:val="21"/>
          <w:highlight w:val="none"/>
          <w:lang w:val="en-US" w:eastAsia="zh-CN"/>
        </w:rPr>
        <w:t>属</w:t>
      </w:r>
      <w:r>
        <w:rPr>
          <w:rFonts w:hint="eastAsia" w:hAnsi="宋体" w:cs="宋体"/>
          <w:color w:val="auto"/>
          <w:sz w:val="21"/>
          <w:szCs w:val="21"/>
          <w:highlight w:val="none"/>
        </w:rPr>
        <w:t>乙方所有（双方另有书面约定的除外），不可移动的</w:t>
      </w:r>
      <w:r>
        <w:rPr>
          <w:rFonts w:hint="eastAsia" w:hAnsi="宋体" w:cs="宋体"/>
          <w:color w:val="auto"/>
          <w:sz w:val="21"/>
          <w:szCs w:val="21"/>
          <w:highlight w:val="none"/>
          <w:lang w:val="en-US" w:eastAsia="zh-CN"/>
        </w:rPr>
        <w:t>资产</w:t>
      </w:r>
      <w:r>
        <w:rPr>
          <w:rFonts w:hint="eastAsia" w:hAnsi="宋体" w:cs="宋体"/>
          <w:color w:val="auto"/>
          <w:sz w:val="21"/>
          <w:szCs w:val="21"/>
          <w:highlight w:val="none"/>
        </w:rPr>
        <w:t>无偿归</w:t>
      </w:r>
      <w:r>
        <w:rPr>
          <w:rFonts w:hint="eastAsia" w:hAnsi="宋体" w:cs="宋体"/>
          <w:color w:val="auto"/>
          <w:sz w:val="21"/>
          <w:szCs w:val="21"/>
          <w:highlight w:val="none"/>
          <w:lang w:val="en-US" w:eastAsia="zh-CN"/>
        </w:rPr>
        <w:t>属</w:t>
      </w:r>
      <w:r>
        <w:rPr>
          <w:rFonts w:hint="eastAsia" w:hAnsi="宋体" w:cs="宋体"/>
          <w:color w:val="auto"/>
          <w:sz w:val="21"/>
          <w:szCs w:val="21"/>
          <w:highlight w:val="none"/>
        </w:rPr>
        <w:t>甲方所有（双方另有书面约定的除外）。</w:t>
      </w:r>
    </w:p>
    <w:p w14:paraId="2DD7F57B">
      <w:pPr>
        <w:pStyle w:val="14"/>
        <w:adjustRightInd w:val="0"/>
        <w:snapToGrid w:val="0"/>
        <w:ind w:firstLine="422"/>
        <w:rPr>
          <w:rFonts w:hAnsi="宋体" w:cs="宋体"/>
          <w:b/>
          <w:bCs/>
          <w:color w:val="auto"/>
          <w:sz w:val="21"/>
          <w:szCs w:val="21"/>
          <w:highlight w:val="none"/>
        </w:rPr>
      </w:pPr>
      <w:r>
        <w:rPr>
          <w:rFonts w:hint="eastAsia" w:hAnsi="宋体" w:cs="宋体"/>
          <w:b/>
          <w:bCs/>
          <w:color w:val="auto"/>
          <w:sz w:val="21"/>
          <w:szCs w:val="21"/>
          <w:highlight w:val="none"/>
        </w:rPr>
        <w:t>第五条</w:t>
      </w:r>
      <w:r>
        <w:rPr>
          <w:rFonts w:hAnsi="宋体" w:cs="宋体"/>
          <w:b/>
          <w:bCs/>
          <w:color w:val="auto"/>
          <w:sz w:val="21"/>
          <w:szCs w:val="21"/>
          <w:highlight w:val="none"/>
        </w:rPr>
        <w:t xml:space="preserve">  </w:t>
      </w:r>
      <w:r>
        <w:rPr>
          <w:rFonts w:hint="eastAsia" w:hAnsi="宋体" w:cs="宋体"/>
          <w:b/>
          <w:bCs/>
          <w:color w:val="auto"/>
          <w:sz w:val="21"/>
          <w:szCs w:val="21"/>
          <w:highlight w:val="none"/>
        </w:rPr>
        <w:t>运营收入与分成</w:t>
      </w:r>
    </w:p>
    <w:p w14:paraId="152000A8">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5.1 </w:t>
      </w:r>
      <w:r>
        <w:rPr>
          <w:rFonts w:hint="eastAsia" w:hAnsi="宋体" w:cs="宋体"/>
          <w:color w:val="auto"/>
          <w:sz w:val="21"/>
          <w:szCs w:val="21"/>
          <w:highlight w:val="none"/>
        </w:rPr>
        <w:t>运营收入归集：合作资产运营期间产生的全部运营收入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包括但不限于床位费、护理费、餐</w:t>
      </w:r>
      <w:r>
        <w:rPr>
          <w:rFonts w:hint="eastAsia" w:hAnsi="宋体" w:cs="宋体"/>
          <w:color w:val="auto"/>
          <w:sz w:val="21"/>
          <w:szCs w:val="21"/>
          <w:highlight w:val="none"/>
          <w:lang w:val="en-US" w:eastAsia="zh-CN"/>
        </w:rPr>
        <w:t>饮</w:t>
      </w:r>
      <w:r>
        <w:rPr>
          <w:rFonts w:hint="eastAsia" w:hAnsi="宋体" w:cs="宋体"/>
          <w:color w:val="auto"/>
          <w:sz w:val="21"/>
          <w:szCs w:val="21"/>
          <w:highlight w:val="none"/>
        </w:rPr>
        <w:t>费</w:t>
      </w:r>
      <w:r>
        <w:rPr>
          <w:rFonts w:hint="eastAsia" w:hAnsi="宋体" w:cs="宋体"/>
          <w:color w:val="auto"/>
          <w:sz w:val="21"/>
          <w:szCs w:val="21"/>
          <w:highlight w:val="none"/>
          <w:lang w:val="en-US" w:eastAsia="zh-CN"/>
        </w:rPr>
        <w:t>以及</w:t>
      </w:r>
      <w:r>
        <w:rPr>
          <w:rFonts w:hint="eastAsia" w:hAnsi="宋体" w:cs="宋体"/>
          <w:color w:val="auto"/>
          <w:sz w:val="21"/>
          <w:szCs w:val="21"/>
          <w:highlight w:val="none"/>
        </w:rPr>
        <w:t>运营</w:t>
      </w:r>
      <w:r>
        <w:rPr>
          <w:rFonts w:hint="eastAsia" w:hAnsi="宋体" w:cs="宋体"/>
          <w:color w:val="auto"/>
          <w:sz w:val="21"/>
          <w:szCs w:val="21"/>
          <w:highlight w:val="none"/>
          <w:lang w:val="en-US" w:eastAsia="zh-CN"/>
        </w:rPr>
        <w:t>期间</w:t>
      </w:r>
      <w:r>
        <w:rPr>
          <w:rFonts w:hint="eastAsia" w:hAnsi="宋体" w:cs="宋体"/>
          <w:color w:val="auto"/>
          <w:sz w:val="21"/>
          <w:szCs w:val="21"/>
          <w:highlight w:val="none"/>
        </w:rPr>
        <w:t>产生的增值服务费用</w:t>
      </w:r>
      <w:r>
        <w:rPr>
          <w:rFonts w:hint="eastAsia" w:hAnsi="宋体" w:cs="宋体"/>
          <w:color w:val="auto"/>
          <w:sz w:val="21"/>
          <w:szCs w:val="21"/>
          <w:highlight w:val="none"/>
          <w:lang w:eastAsia="zh-CN"/>
        </w:rPr>
        <w:t>（</w:t>
      </w:r>
      <w:r>
        <w:rPr>
          <w:rFonts w:hint="eastAsia" w:hAnsi="宋体" w:cs="宋体"/>
          <w:color w:val="auto"/>
          <w:sz w:val="21"/>
          <w:szCs w:val="21"/>
          <w:highlight w:val="none"/>
        </w:rPr>
        <w:t>例如理发、按摩等费用），均应进入甲方指定账户，乙方不得以任何方式截留、转移或者账外收取。乙方应建立</w:t>
      </w:r>
      <w:r>
        <w:rPr>
          <w:rFonts w:hint="eastAsia" w:hAnsi="宋体" w:cs="宋体"/>
          <w:color w:val="auto"/>
          <w:sz w:val="21"/>
          <w:szCs w:val="21"/>
          <w:highlight w:val="none"/>
          <w:lang w:val="en-US" w:eastAsia="zh-CN"/>
        </w:rPr>
        <w:t>真实、准确、有效、</w:t>
      </w:r>
      <w:r>
        <w:rPr>
          <w:rFonts w:hint="eastAsia" w:hAnsi="宋体" w:cs="宋体"/>
          <w:color w:val="auto"/>
          <w:sz w:val="21"/>
          <w:szCs w:val="21"/>
          <w:highlight w:val="none"/>
        </w:rPr>
        <w:t>完整的运营收入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台账，与甲方账户流水</w:t>
      </w:r>
      <w:r>
        <w:rPr>
          <w:rFonts w:hint="eastAsia" w:hAnsi="宋体" w:cs="宋体"/>
          <w:color w:val="auto"/>
          <w:sz w:val="21"/>
          <w:szCs w:val="21"/>
          <w:highlight w:val="none"/>
          <w:lang w:val="en-US" w:eastAsia="zh-CN"/>
        </w:rPr>
        <w:t>记录</w:t>
      </w:r>
      <w:r>
        <w:rPr>
          <w:rFonts w:hint="eastAsia" w:hAnsi="宋体" w:cs="宋体"/>
          <w:color w:val="auto"/>
          <w:sz w:val="21"/>
          <w:szCs w:val="21"/>
          <w:highlight w:val="none"/>
        </w:rPr>
        <w:t>逐笔对应。</w:t>
      </w:r>
    </w:p>
    <w:p w14:paraId="25061CB2">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5.2 </w:t>
      </w:r>
      <w:r>
        <w:rPr>
          <w:rFonts w:hint="eastAsia" w:hAnsi="宋体" w:cs="宋体"/>
          <w:color w:val="auto"/>
          <w:sz w:val="21"/>
          <w:szCs w:val="21"/>
          <w:highlight w:val="none"/>
        </w:rPr>
        <w:t>运营分成比例：第</w:t>
      </w:r>
      <w:r>
        <w:rPr>
          <w:rFonts w:hAnsi="宋体" w:cs="宋体"/>
          <w:color w:val="auto"/>
          <w:sz w:val="21"/>
          <w:szCs w:val="21"/>
          <w:highlight w:val="none"/>
        </w:rPr>
        <w:t>1</w:t>
      </w:r>
      <w:r>
        <w:rPr>
          <w:rFonts w:hint="eastAsia" w:hAnsi="宋体" w:cs="宋体"/>
          <w:color w:val="auto"/>
          <w:sz w:val="21"/>
          <w:szCs w:val="21"/>
          <w:highlight w:val="none"/>
        </w:rPr>
        <w:t>年至第</w:t>
      </w:r>
      <w:r>
        <w:rPr>
          <w:rFonts w:hAnsi="宋体" w:cs="宋体"/>
          <w:color w:val="auto"/>
          <w:sz w:val="21"/>
          <w:szCs w:val="21"/>
          <w:highlight w:val="none"/>
        </w:rPr>
        <w:t>5</w:t>
      </w:r>
      <w:r>
        <w:rPr>
          <w:rFonts w:hint="eastAsia" w:hAnsi="宋体" w:cs="宋体"/>
          <w:color w:val="auto"/>
          <w:sz w:val="21"/>
          <w:szCs w:val="21"/>
          <w:highlight w:val="none"/>
        </w:rPr>
        <w:t>年甲方分成比例</w:t>
      </w:r>
      <w:r>
        <w:rPr>
          <w:rFonts w:hint="eastAsia" w:hAnsi="宋体" w:cs="宋体"/>
          <w:color w:val="auto"/>
          <w:sz w:val="21"/>
          <w:szCs w:val="21"/>
          <w:highlight w:val="none"/>
          <w:u w:val="single"/>
          <w:lang w:val="en-US" w:eastAsia="zh-CN"/>
        </w:rPr>
        <w:t xml:space="preserve">    </w:t>
      </w:r>
      <w:r>
        <w:rPr>
          <w:rFonts w:hAnsi="宋体" w:cs="宋体"/>
          <w:color w:val="auto"/>
          <w:sz w:val="21"/>
          <w:szCs w:val="21"/>
          <w:highlight w:val="none"/>
        </w:rPr>
        <w:t>%</w:t>
      </w:r>
      <w:r>
        <w:rPr>
          <w:rFonts w:hint="eastAsia" w:hAnsi="宋体" w:cs="宋体"/>
          <w:color w:val="auto"/>
          <w:sz w:val="21"/>
          <w:szCs w:val="21"/>
          <w:highlight w:val="none"/>
        </w:rPr>
        <w:t>、</w:t>
      </w:r>
      <w:r>
        <w:rPr>
          <w:rFonts w:hint="eastAsia" w:hAnsi="宋体" w:cs="宋体"/>
          <w:color w:val="auto"/>
          <w:sz w:val="21"/>
          <w:szCs w:val="21"/>
          <w:highlight w:val="none"/>
          <w:lang w:val="en-US" w:eastAsia="zh-CN"/>
        </w:rPr>
        <w:t>乙</w:t>
      </w:r>
      <w:r>
        <w:rPr>
          <w:rFonts w:hint="eastAsia" w:hAnsi="宋体" w:cs="宋体"/>
          <w:color w:val="auto"/>
          <w:sz w:val="21"/>
          <w:szCs w:val="21"/>
          <w:highlight w:val="none"/>
        </w:rPr>
        <w:t>方分成比例</w:t>
      </w:r>
      <w:r>
        <w:rPr>
          <w:rFonts w:hint="eastAsia" w:hAnsi="宋体" w:cs="宋体"/>
          <w:color w:val="auto"/>
          <w:sz w:val="21"/>
          <w:szCs w:val="21"/>
          <w:highlight w:val="none"/>
          <w:u w:val="single"/>
          <w:lang w:val="en-US" w:eastAsia="zh-CN"/>
        </w:rPr>
        <w:t xml:space="preserve">    </w:t>
      </w:r>
      <w:r>
        <w:rPr>
          <w:rFonts w:hAnsi="宋体" w:cs="宋体"/>
          <w:color w:val="auto"/>
          <w:sz w:val="21"/>
          <w:szCs w:val="21"/>
          <w:highlight w:val="none"/>
        </w:rPr>
        <w:t>%</w:t>
      </w:r>
      <w:r>
        <w:rPr>
          <w:rFonts w:hint="eastAsia" w:hAnsi="宋体" w:cs="宋体"/>
          <w:color w:val="auto"/>
          <w:sz w:val="21"/>
          <w:szCs w:val="21"/>
          <w:highlight w:val="none"/>
          <w:lang w:eastAsia="zh-CN"/>
        </w:rPr>
        <w:t>；</w:t>
      </w:r>
      <w:r>
        <w:rPr>
          <w:rFonts w:hint="eastAsia" w:hAnsi="宋体" w:cs="宋体"/>
          <w:color w:val="auto"/>
          <w:sz w:val="21"/>
          <w:szCs w:val="21"/>
          <w:highlight w:val="none"/>
        </w:rPr>
        <w:t>第</w:t>
      </w:r>
      <w:r>
        <w:rPr>
          <w:rFonts w:hAnsi="宋体" w:cs="宋体"/>
          <w:color w:val="auto"/>
          <w:sz w:val="21"/>
          <w:szCs w:val="21"/>
          <w:highlight w:val="none"/>
        </w:rPr>
        <w:t>6</w:t>
      </w:r>
      <w:r>
        <w:rPr>
          <w:rFonts w:hint="eastAsia" w:hAnsi="宋体" w:cs="宋体"/>
          <w:color w:val="auto"/>
          <w:sz w:val="21"/>
          <w:szCs w:val="21"/>
          <w:highlight w:val="none"/>
        </w:rPr>
        <w:t>年至第</w:t>
      </w:r>
      <w:r>
        <w:rPr>
          <w:rFonts w:hAnsi="宋体" w:cs="宋体"/>
          <w:color w:val="auto"/>
          <w:sz w:val="21"/>
          <w:szCs w:val="21"/>
          <w:highlight w:val="none"/>
        </w:rPr>
        <w:t>10</w:t>
      </w:r>
      <w:r>
        <w:rPr>
          <w:rFonts w:hint="eastAsia" w:hAnsi="宋体" w:cs="宋体"/>
          <w:color w:val="auto"/>
          <w:sz w:val="21"/>
          <w:szCs w:val="21"/>
          <w:highlight w:val="none"/>
        </w:rPr>
        <w:t>年甲方分成比例</w:t>
      </w:r>
      <w:r>
        <w:rPr>
          <w:rFonts w:hint="eastAsia" w:hAnsi="宋体" w:cs="宋体"/>
          <w:color w:val="auto"/>
          <w:sz w:val="21"/>
          <w:szCs w:val="21"/>
          <w:highlight w:val="none"/>
          <w:u w:val="single"/>
          <w:lang w:val="en-US" w:eastAsia="zh-CN"/>
        </w:rPr>
        <w:t xml:space="preserve">    </w:t>
      </w:r>
      <w:r>
        <w:rPr>
          <w:rFonts w:hAnsi="宋体" w:cs="宋体"/>
          <w:color w:val="auto"/>
          <w:sz w:val="21"/>
          <w:szCs w:val="21"/>
          <w:highlight w:val="none"/>
        </w:rPr>
        <w:t>%</w:t>
      </w:r>
      <w:r>
        <w:rPr>
          <w:rFonts w:hint="eastAsia" w:hAnsi="宋体" w:cs="宋体"/>
          <w:color w:val="auto"/>
          <w:sz w:val="21"/>
          <w:szCs w:val="21"/>
          <w:highlight w:val="none"/>
        </w:rPr>
        <w:t>、</w:t>
      </w:r>
      <w:r>
        <w:rPr>
          <w:rFonts w:hint="eastAsia" w:hAnsi="宋体" w:cs="宋体"/>
          <w:color w:val="auto"/>
          <w:sz w:val="21"/>
          <w:szCs w:val="21"/>
          <w:highlight w:val="none"/>
          <w:lang w:val="en-US" w:eastAsia="zh-CN"/>
        </w:rPr>
        <w:t>乙</w:t>
      </w:r>
      <w:r>
        <w:rPr>
          <w:rFonts w:hint="eastAsia" w:hAnsi="宋体" w:cs="宋体"/>
          <w:color w:val="auto"/>
          <w:sz w:val="21"/>
          <w:szCs w:val="21"/>
          <w:highlight w:val="none"/>
        </w:rPr>
        <w:t>方分成比例</w:t>
      </w:r>
      <w:r>
        <w:rPr>
          <w:rFonts w:hint="eastAsia" w:hAnsi="宋体" w:cs="宋体"/>
          <w:color w:val="auto"/>
          <w:sz w:val="21"/>
          <w:szCs w:val="21"/>
          <w:highlight w:val="none"/>
          <w:u w:val="single"/>
          <w:lang w:val="en-US" w:eastAsia="zh-CN"/>
        </w:rPr>
        <w:t xml:space="preserve">    </w:t>
      </w:r>
      <w:r>
        <w:rPr>
          <w:rFonts w:hAnsi="宋体" w:cs="宋体"/>
          <w:color w:val="auto"/>
          <w:sz w:val="21"/>
          <w:szCs w:val="21"/>
          <w:highlight w:val="none"/>
        </w:rPr>
        <w:t>%</w:t>
      </w:r>
      <w:r>
        <w:rPr>
          <w:rFonts w:hint="eastAsia" w:hAnsi="宋体" w:cs="宋体"/>
          <w:color w:val="auto"/>
          <w:sz w:val="21"/>
          <w:szCs w:val="21"/>
          <w:highlight w:val="none"/>
          <w:lang w:eastAsia="zh-CN"/>
        </w:rPr>
        <w:t>，（含税）</w:t>
      </w:r>
      <w:r>
        <w:rPr>
          <w:rFonts w:hint="eastAsia" w:hAnsi="宋体" w:cs="宋体"/>
          <w:color w:val="auto"/>
          <w:sz w:val="21"/>
          <w:szCs w:val="21"/>
          <w:highlight w:val="none"/>
        </w:rPr>
        <w:t>。</w:t>
      </w:r>
    </w:p>
    <w:p w14:paraId="5FB7DF25">
      <w:pPr>
        <w:pStyle w:val="14"/>
        <w:adjustRightInd w:val="0"/>
        <w:snapToGrid w:val="0"/>
        <w:ind w:firstLine="420"/>
        <w:rPr>
          <w:rFonts w:hint="eastAsia" w:hAnsi="宋体" w:eastAsia="宋体" w:cs="宋体"/>
          <w:color w:val="auto"/>
          <w:sz w:val="21"/>
          <w:szCs w:val="21"/>
          <w:highlight w:val="none"/>
          <w:lang w:eastAsia="zh-CN"/>
        </w:rPr>
      </w:pPr>
      <w:r>
        <w:rPr>
          <w:rFonts w:hAnsi="宋体" w:cs="宋体"/>
          <w:color w:val="auto"/>
          <w:sz w:val="21"/>
          <w:szCs w:val="21"/>
          <w:highlight w:val="none"/>
        </w:rPr>
        <w:t xml:space="preserve">5.3 </w:t>
      </w:r>
      <w:r>
        <w:rPr>
          <w:rFonts w:hint="eastAsia" w:hAnsi="宋体" w:cs="宋体"/>
          <w:color w:val="auto"/>
          <w:sz w:val="21"/>
          <w:szCs w:val="21"/>
          <w:highlight w:val="none"/>
        </w:rPr>
        <w:t>运营分成：甲方每月运营分成</w:t>
      </w:r>
      <w:r>
        <w:rPr>
          <w:rFonts w:hint="eastAsia" w:hAnsi="宋体" w:cs="宋体"/>
          <w:color w:val="auto"/>
          <w:sz w:val="21"/>
          <w:szCs w:val="21"/>
          <w:highlight w:val="none"/>
          <w:lang w:val="en-US" w:eastAsia="zh-CN"/>
        </w:rPr>
        <w:t>=</w:t>
      </w:r>
      <w:r>
        <w:rPr>
          <w:rFonts w:hint="eastAsia" w:hAnsi="宋体" w:cs="宋体"/>
          <w:color w:val="auto"/>
          <w:sz w:val="21"/>
          <w:szCs w:val="21"/>
          <w:highlight w:val="none"/>
        </w:rPr>
        <w:t>当月营业额</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税费前</w:t>
      </w:r>
      <w:r>
        <w:rPr>
          <w:rFonts w:hint="eastAsia" w:hAnsi="宋体" w:cs="宋体"/>
          <w:color w:val="auto"/>
          <w:sz w:val="21"/>
          <w:szCs w:val="21"/>
          <w:highlight w:val="none"/>
          <w:lang w:eastAsia="zh-CN"/>
        </w:rPr>
        <w:t>）</w:t>
      </w:r>
      <w:r>
        <w:rPr>
          <w:rFonts w:hint="default" w:ascii="Arial" w:hAnsi="Arial" w:cs="Arial"/>
          <w:color w:val="auto"/>
          <w:sz w:val="21"/>
          <w:szCs w:val="21"/>
          <w:highlight w:val="none"/>
        </w:rPr>
        <w:t>×</w:t>
      </w:r>
      <w:r>
        <w:rPr>
          <w:rFonts w:hint="eastAsia" w:hAnsi="宋体" w:cs="宋体"/>
          <w:color w:val="auto"/>
          <w:sz w:val="21"/>
          <w:szCs w:val="21"/>
          <w:highlight w:val="none"/>
        </w:rPr>
        <w:t>运营分成比例</w:t>
      </w:r>
      <w:r>
        <w:rPr>
          <w:rFonts w:hint="eastAsia" w:hAnsi="宋体" w:cs="宋体"/>
          <w:color w:val="auto"/>
          <w:sz w:val="21"/>
          <w:szCs w:val="21"/>
          <w:highlight w:val="none"/>
          <w:lang w:eastAsia="zh-CN"/>
        </w:rPr>
        <w:t>。</w:t>
      </w:r>
      <w:r>
        <w:rPr>
          <w:rFonts w:hint="eastAsia" w:hAnsi="宋体" w:cs="宋体"/>
          <w:color w:val="auto"/>
          <w:sz w:val="21"/>
          <w:szCs w:val="21"/>
          <w:highlight w:val="none"/>
        </w:rPr>
        <w:t>甲方每月按当月营业额计提约定比例分成后，剩余部分归乙方所有</w:t>
      </w:r>
      <w:r>
        <w:rPr>
          <w:rFonts w:hint="eastAsia" w:hAnsi="宋体" w:cs="宋体"/>
          <w:color w:val="auto"/>
          <w:sz w:val="21"/>
          <w:szCs w:val="21"/>
          <w:highlight w:val="none"/>
          <w:lang w:eastAsia="zh-CN"/>
        </w:rPr>
        <w:t>。</w:t>
      </w:r>
    </w:p>
    <w:p w14:paraId="022B9DF6">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5.</w:t>
      </w:r>
      <w:r>
        <w:rPr>
          <w:rFonts w:hint="eastAsia" w:hAnsi="宋体" w:cs="宋体"/>
          <w:color w:val="auto"/>
          <w:sz w:val="21"/>
          <w:szCs w:val="21"/>
          <w:highlight w:val="none"/>
          <w:lang w:val="en-US" w:eastAsia="zh-CN"/>
        </w:rPr>
        <w:t xml:space="preserve">4 </w:t>
      </w:r>
      <w:r>
        <w:rPr>
          <w:rFonts w:hint="eastAsia" w:hAnsi="宋体" w:cs="宋体"/>
          <w:color w:val="auto"/>
          <w:sz w:val="21"/>
          <w:szCs w:val="21"/>
          <w:highlight w:val="none"/>
        </w:rPr>
        <w:t>结算方式：乙方应于每月</w:t>
      </w:r>
      <w:r>
        <w:rPr>
          <w:rFonts w:hAnsi="宋体" w:cs="宋体"/>
          <w:color w:val="auto"/>
          <w:sz w:val="21"/>
          <w:szCs w:val="21"/>
          <w:highlight w:val="none"/>
        </w:rPr>
        <w:t>____</w:t>
      </w:r>
      <w:r>
        <w:rPr>
          <w:rFonts w:hint="eastAsia" w:hAnsi="宋体" w:cs="宋体"/>
          <w:color w:val="auto"/>
          <w:sz w:val="21"/>
          <w:szCs w:val="21"/>
          <w:highlight w:val="none"/>
        </w:rPr>
        <w:t>日前向甲方提交上</w:t>
      </w:r>
      <w:r>
        <w:rPr>
          <w:rFonts w:hint="eastAsia" w:hAnsi="宋体" w:cs="宋体"/>
          <w:color w:val="auto"/>
          <w:sz w:val="21"/>
          <w:szCs w:val="21"/>
          <w:highlight w:val="none"/>
          <w:lang w:val="en-US" w:eastAsia="zh-CN"/>
        </w:rPr>
        <w:t>一个</w:t>
      </w:r>
      <w:r>
        <w:rPr>
          <w:rFonts w:hint="eastAsia" w:hAnsi="宋体" w:cs="宋体"/>
          <w:color w:val="auto"/>
          <w:sz w:val="21"/>
          <w:szCs w:val="21"/>
          <w:highlight w:val="none"/>
        </w:rPr>
        <w:t>月运营收入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报表</w:t>
      </w:r>
      <w:r>
        <w:rPr>
          <w:rFonts w:hint="eastAsia" w:hAnsi="宋体" w:cs="宋体"/>
          <w:color w:val="auto"/>
          <w:sz w:val="21"/>
          <w:szCs w:val="21"/>
          <w:highlight w:val="none"/>
          <w:lang w:val="en-US" w:eastAsia="zh-CN"/>
        </w:rPr>
        <w:t>和</w:t>
      </w:r>
      <w:r>
        <w:rPr>
          <w:rFonts w:hint="eastAsia" w:hAnsi="宋体" w:cs="宋体"/>
          <w:color w:val="auto"/>
          <w:sz w:val="21"/>
          <w:szCs w:val="21"/>
          <w:highlight w:val="none"/>
        </w:rPr>
        <w:t>分成结算申请</w:t>
      </w:r>
      <w:r>
        <w:rPr>
          <w:rFonts w:hint="eastAsia" w:hAnsi="宋体" w:cs="宋体"/>
          <w:color w:val="auto"/>
          <w:sz w:val="21"/>
          <w:szCs w:val="21"/>
          <w:highlight w:val="none"/>
          <w:lang w:eastAsia="zh-CN"/>
        </w:rPr>
        <w:t>和正式发票</w:t>
      </w:r>
      <w:r>
        <w:rPr>
          <w:rFonts w:hint="eastAsia" w:hAnsi="宋体" w:cs="宋体"/>
          <w:color w:val="auto"/>
          <w:sz w:val="21"/>
          <w:szCs w:val="21"/>
          <w:highlight w:val="none"/>
        </w:rPr>
        <w:t>，甲方审核无误后于</w:t>
      </w:r>
      <w:r>
        <w:rPr>
          <w:rFonts w:hAnsi="宋体" w:cs="宋体"/>
          <w:color w:val="auto"/>
          <w:sz w:val="21"/>
          <w:szCs w:val="21"/>
          <w:highlight w:val="none"/>
        </w:rPr>
        <w:t>____</w:t>
      </w:r>
      <w:r>
        <w:rPr>
          <w:rFonts w:hint="eastAsia" w:hAnsi="宋体" w:cs="宋体"/>
          <w:color w:val="auto"/>
          <w:sz w:val="21"/>
          <w:szCs w:val="21"/>
          <w:highlight w:val="none"/>
        </w:rPr>
        <w:t>个工作日内将乙方应得部分支付至乙方指定账户。双方对运营收入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有争议的，以甲方账户流水</w:t>
      </w:r>
      <w:r>
        <w:rPr>
          <w:rFonts w:hint="eastAsia" w:hAnsi="宋体" w:cs="宋体"/>
          <w:color w:val="auto"/>
          <w:sz w:val="21"/>
          <w:szCs w:val="21"/>
          <w:highlight w:val="none"/>
          <w:lang w:val="en-US" w:eastAsia="zh-CN"/>
        </w:rPr>
        <w:t>记录和</w:t>
      </w:r>
      <w:r>
        <w:rPr>
          <w:rFonts w:hint="eastAsia" w:hAnsi="宋体" w:cs="宋体"/>
          <w:color w:val="auto"/>
          <w:sz w:val="21"/>
          <w:szCs w:val="21"/>
          <w:highlight w:val="none"/>
        </w:rPr>
        <w:t>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台账为准进行核对。</w:t>
      </w:r>
    </w:p>
    <w:p w14:paraId="4DB073B8">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5.</w:t>
      </w:r>
      <w:r>
        <w:rPr>
          <w:rFonts w:hint="eastAsia" w:hAnsi="宋体" w:cs="宋体"/>
          <w:color w:val="auto"/>
          <w:sz w:val="21"/>
          <w:szCs w:val="21"/>
          <w:highlight w:val="none"/>
          <w:lang w:val="en-US" w:eastAsia="zh-CN"/>
        </w:rPr>
        <w:t>5</w:t>
      </w:r>
      <w:r>
        <w:rPr>
          <w:rFonts w:hAnsi="宋体" w:cs="宋体"/>
          <w:color w:val="auto"/>
          <w:sz w:val="21"/>
          <w:szCs w:val="21"/>
          <w:highlight w:val="none"/>
        </w:rPr>
        <w:t xml:space="preserve"> </w:t>
      </w:r>
      <w:r>
        <w:rPr>
          <w:rFonts w:hint="eastAsia" w:hAnsi="宋体" w:cs="宋体"/>
          <w:color w:val="auto"/>
          <w:sz w:val="21"/>
          <w:szCs w:val="21"/>
          <w:highlight w:val="none"/>
        </w:rPr>
        <w:t>运营税费：运营期间产生的运营税费</w:t>
      </w:r>
      <w:r>
        <w:rPr>
          <w:rFonts w:hint="eastAsia" w:hAnsi="宋体" w:cs="宋体"/>
          <w:color w:val="auto"/>
          <w:sz w:val="21"/>
          <w:szCs w:val="21"/>
          <w:highlight w:val="none"/>
          <w:lang w:val="en-US" w:eastAsia="zh-CN"/>
        </w:rPr>
        <w:t>全部</w:t>
      </w:r>
      <w:r>
        <w:rPr>
          <w:rFonts w:hint="eastAsia" w:hAnsi="宋体" w:cs="宋体"/>
          <w:color w:val="auto"/>
          <w:sz w:val="21"/>
          <w:szCs w:val="21"/>
          <w:highlight w:val="none"/>
        </w:rPr>
        <w:t>由乙方承担</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实质上乙方所得</w:t>
      </w:r>
      <w:r>
        <w:rPr>
          <w:rFonts w:hint="eastAsia" w:hAnsi="宋体" w:cs="宋体"/>
          <w:color w:val="auto"/>
          <w:sz w:val="21"/>
          <w:szCs w:val="21"/>
          <w:highlight w:val="none"/>
        </w:rPr>
        <w:t>运营分成</w:t>
      </w:r>
      <w:r>
        <w:rPr>
          <w:rFonts w:hint="eastAsia" w:hAnsi="宋体" w:cs="宋体"/>
          <w:color w:val="auto"/>
          <w:sz w:val="21"/>
          <w:szCs w:val="21"/>
          <w:highlight w:val="none"/>
          <w:lang w:val="en-US" w:eastAsia="zh-CN"/>
        </w:rPr>
        <w:t>中已经包含</w:t>
      </w:r>
      <w:r>
        <w:rPr>
          <w:rFonts w:hint="eastAsia" w:hAnsi="宋体" w:cs="宋体"/>
          <w:color w:val="auto"/>
          <w:sz w:val="21"/>
          <w:szCs w:val="21"/>
          <w:highlight w:val="none"/>
        </w:rPr>
        <w:t>运营税费</w:t>
      </w:r>
      <w:r>
        <w:rPr>
          <w:rFonts w:hint="eastAsia" w:hAnsi="宋体" w:cs="宋体"/>
          <w:color w:val="auto"/>
          <w:sz w:val="21"/>
          <w:szCs w:val="21"/>
          <w:highlight w:val="none"/>
          <w:lang w:eastAsia="zh-CN"/>
        </w:rPr>
        <w:t>）</w:t>
      </w:r>
      <w:r>
        <w:rPr>
          <w:rFonts w:hint="eastAsia" w:hAnsi="宋体" w:cs="宋体"/>
          <w:color w:val="auto"/>
          <w:sz w:val="21"/>
          <w:szCs w:val="21"/>
          <w:highlight w:val="none"/>
        </w:rPr>
        <w:t>。</w:t>
      </w:r>
      <w:r>
        <w:rPr>
          <w:rFonts w:hint="eastAsia" w:hAnsi="宋体" w:cs="宋体"/>
          <w:color w:val="auto"/>
          <w:sz w:val="21"/>
          <w:szCs w:val="21"/>
          <w:highlight w:val="none"/>
          <w:lang w:val="en-US" w:eastAsia="zh-CN"/>
        </w:rPr>
        <w:t>甲</w:t>
      </w:r>
      <w:r>
        <w:rPr>
          <w:rFonts w:hint="eastAsia" w:hAnsi="宋体" w:cs="宋体"/>
          <w:color w:val="auto"/>
          <w:sz w:val="21"/>
          <w:szCs w:val="21"/>
          <w:highlight w:val="none"/>
        </w:rPr>
        <w:t>方</w:t>
      </w:r>
      <w:r>
        <w:rPr>
          <w:rFonts w:hint="eastAsia" w:hAnsi="宋体" w:cs="宋体"/>
          <w:color w:val="auto"/>
          <w:sz w:val="21"/>
          <w:szCs w:val="21"/>
          <w:highlight w:val="none"/>
          <w:lang w:val="en-US" w:eastAsia="zh-CN"/>
        </w:rPr>
        <w:t>对</w:t>
      </w:r>
      <w:r>
        <w:rPr>
          <w:rFonts w:hint="eastAsia" w:hAnsi="宋体" w:cs="宋体"/>
          <w:color w:val="auto"/>
          <w:sz w:val="21"/>
          <w:szCs w:val="21"/>
          <w:highlight w:val="none"/>
        </w:rPr>
        <w:t>其</w:t>
      </w:r>
      <w:r>
        <w:rPr>
          <w:rFonts w:hint="eastAsia" w:hAnsi="宋体" w:cs="宋体"/>
          <w:color w:val="auto"/>
          <w:sz w:val="21"/>
          <w:szCs w:val="21"/>
          <w:highlight w:val="none"/>
          <w:lang w:val="en-US" w:eastAsia="zh-CN"/>
        </w:rPr>
        <w:t>从合作</w:t>
      </w:r>
      <w:r>
        <w:rPr>
          <w:rFonts w:hint="eastAsia" w:hAnsi="宋体" w:cs="宋体"/>
          <w:color w:val="auto"/>
          <w:sz w:val="21"/>
          <w:szCs w:val="21"/>
          <w:highlight w:val="none"/>
        </w:rPr>
        <w:t>运营</w:t>
      </w:r>
      <w:r>
        <w:rPr>
          <w:rFonts w:hint="eastAsia" w:hAnsi="宋体" w:cs="宋体"/>
          <w:color w:val="auto"/>
          <w:sz w:val="21"/>
          <w:szCs w:val="21"/>
          <w:highlight w:val="none"/>
          <w:lang w:val="en-US" w:eastAsia="zh-CN"/>
        </w:rPr>
        <w:t>中所得</w:t>
      </w:r>
      <w:r>
        <w:rPr>
          <w:rFonts w:hint="eastAsia" w:hAnsi="宋体" w:cs="宋体"/>
          <w:color w:val="auto"/>
          <w:sz w:val="21"/>
          <w:szCs w:val="21"/>
          <w:highlight w:val="none"/>
        </w:rPr>
        <w:t>分成承担</w:t>
      </w:r>
      <w:r>
        <w:rPr>
          <w:rFonts w:hint="eastAsia" w:hAnsi="宋体" w:cs="宋体"/>
          <w:color w:val="auto"/>
          <w:sz w:val="21"/>
          <w:szCs w:val="21"/>
          <w:highlight w:val="none"/>
          <w:lang w:val="en-US" w:eastAsia="zh-CN"/>
        </w:rPr>
        <w:t>收入所得</w:t>
      </w:r>
      <w:r>
        <w:rPr>
          <w:rFonts w:hint="eastAsia" w:hAnsi="宋体" w:cs="宋体"/>
          <w:color w:val="auto"/>
          <w:sz w:val="21"/>
          <w:szCs w:val="21"/>
          <w:highlight w:val="none"/>
        </w:rPr>
        <w:t>税费。</w:t>
      </w:r>
    </w:p>
    <w:p w14:paraId="5B303CB8">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5.</w:t>
      </w:r>
      <w:r>
        <w:rPr>
          <w:rFonts w:hint="eastAsia" w:hAnsi="宋体" w:cs="宋体"/>
          <w:color w:val="auto"/>
          <w:sz w:val="21"/>
          <w:szCs w:val="21"/>
          <w:highlight w:val="none"/>
          <w:lang w:val="en-US" w:eastAsia="zh-CN"/>
        </w:rPr>
        <w:t>6</w:t>
      </w:r>
      <w:r>
        <w:rPr>
          <w:rFonts w:hint="eastAsia" w:hAnsi="宋体" w:cs="宋体"/>
          <w:color w:val="auto"/>
          <w:sz w:val="21"/>
          <w:szCs w:val="21"/>
          <w:highlight w:val="none"/>
        </w:rPr>
        <w:t>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定义：运营收入</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营业额</w:t>
      </w:r>
      <w:r>
        <w:rPr>
          <w:rFonts w:hint="eastAsia" w:hAnsi="宋体" w:cs="宋体"/>
          <w:color w:val="auto"/>
          <w:sz w:val="21"/>
          <w:szCs w:val="21"/>
          <w:highlight w:val="none"/>
          <w:lang w:eastAsia="zh-CN"/>
        </w:rPr>
        <w:t>）</w:t>
      </w:r>
      <w:r>
        <w:rPr>
          <w:rFonts w:hint="eastAsia" w:hAnsi="宋体" w:cs="宋体"/>
          <w:color w:val="auto"/>
          <w:sz w:val="21"/>
          <w:szCs w:val="21"/>
          <w:highlight w:val="none"/>
        </w:rPr>
        <w:t>指合作资产运营过程中实际收取的全部款项（含预收款项中当期已实际提供服务对应的部分），不含依法退还的押金及预收款。乙方不得以任何形式转移、隐匿、虚减营业额，否则甲方有权按查实差额的三倍要求乙方补足分成，并有权解除合同。</w:t>
      </w:r>
      <w:r>
        <w:rPr>
          <w:rFonts w:hAnsi="宋体" w:cs="宋体"/>
          <w:color w:val="auto"/>
          <w:sz w:val="21"/>
          <w:szCs w:val="21"/>
          <w:highlight w:val="none"/>
        </w:rPr>
        <w:t xml:space="preserve"> </w:t>
      </w:r>
    </w:p>
    <w:p w14:paraId="6901B14B">
      <w:pPr>
        <w:pStyle w:val="14"/>
        <w:adjustRightInd w:val="0"/>
        <w:snapToGrid w:val="0"/>
        <w:ind w:firstLine="420"/>
        <w:rPr>
          <w:rFonts w:hint="default" w:hAnsi="宋体" w:eastAsia="宋体" w:cs="宋体"/>
          <w:color w:val="auto"/>
          <w:sz w:val="21"/>
          <w:szCs w:val="21"/>
          <w:highlight w:val="none"/>
          <w:lang w:val="en-US" w:eastAsia="zh-CN"/>
        </w:rPr>
      </w:pPr>
      <w:r>
        <w:rPr>
          <w:rFonts w:hAnsi="宋体" w:cs="宋体"/>
          <w:color w:val="auto"/>
          <w:sz w:val="21"/>
          <w:szCs w:val="21"/>
          <w:highlight w:val="none"/>
        </w:rPr>
        <w:t>5.</w:t>
      </w:r>
      <w:r>
        <w:rPr>
          <w:rFonts w:hint="eastAsia" w:hAnsi="宋体" w:cs="宋体"/>
          <w:color w:val="auto"/>
          <w:sz w:val="21"/>
          <w:szCs w:val="21"/>
          <w:highlight w:val="none"/>
          <w:lang w:val="en-US" w:eastAsia="zh-CN"/>
        </w:rPr>
        <w:t>7 政府或者社会性质资金收入：</w:t>
      </w:r>
      <w:r>
        <w:rPr>
          <w:rFonts w:hint="eastAsia" w:hAnsi="宋体" w:cs="宋体"/>
          <w:color w:val="auto"/>
          <w:sz w:val="21"/>
          <w:szCs w:val="21"/>
          <w:highlight w:val="none"/>
        </w:rPr>
        <w:t>运营期间</w:t>
      </w:r>
      <w:r>
        <w:rPr>
          <w:rFonts w:hint="eastAsia" w:hAnsi="宋体" w:cs="宋体"/>
          <w:color w:val="auto"/>
          <w:sz w:val="21"/>
          <w:szCs w:val="21"/>
          <w:highlight w:val="none"/>
          <w:lang w:val="en-US" w:eastAsia="zh-CN"/>
        </w:rPr>
        <w:t>获得</w:t>
      </w:r>
      <w:r>
        <w:rPr>
          <w:rFonts w:hint="eastAsia" w:hAnsi="宋体" w:cs="宋体"/>
          <w:color w:val="auto"/>
          <w:sz w:val="21"/>
          <w:szCs w:val="21"/>
          <w:highlight w:val="none"/>
        </w:rPr>
        <w:t>的</w:t>
      </w:r>
      <w:r>
        <w:rPr>
          <w:rFonts w:hint="eastAsia" w:hAnsi="宋体" w:cs="宋体"/>
          <w:color w:val="auto"/>
          <w:sz w:val="21"/>
          <w:szCs w:val="21"/>
          <w:highlight w:val="none"/>
          <w:lang w:val="en-US" w:eastAsia="zh-CN"/>
        </w:rPr>
        <w:t>政府性质资金或者社会捐赠性质资金收入，双方依法协商确定分成。如果按照法律规定或者捐赠者意愿不得由双方分成，则归属养老项目机构（卫生院）所有。</w:t>
      </w:r>
    </w:p>
    <w:p w14:paraId="0531552D">
      <w:pPr>
        <w:pStyle w:val="14"/>
        <w:adjustRightInd w:val="0"/>
        <w:snapToGrid w:val="0"/>
        <w:ind w:firstLine="422"/>
        <w:rPr>
          <w:rFonts w:hAnsi="宋体" w:cs="宋体"/>
          <w:color w:val="auto"/>
          <w:sz w:val="21"/>
          <w:szCs w:val="21"/>
          <w:highlight w:val="none"/>
        </w:rPr>
      </w:pPr>
      <w:r>
        <w:rPr>
          <w:rFonts w:hint="eastAsia" w:hAnsi="宋体" w:cs="宋体"/>
          <w:b/>
          <w:bCs/>
          <w:color w:val="auto"/>
          <w:sz w:val="21"/>
          <w:szCs w:val="21"/>
          <w:highlight w:val="none"/>
        </w:rPr>
        <w:t>第六条</w:t>
      </w:r>
      <w:r>
        <w:rPr>
          <w:rFonts w:hAnsi="宋体" w:cs="宋体"/>
          <w:b/>
          <w:bCs/>
          <w:color w:val="auto"/>
          <w:sz w:val="21"/>
          <w:szCs w:val="21"/>
          <w:highlight w:val="none"/>
        </w:rPr>
        <w:t xml:space="preserve">  </w:t>
      </w:r>
      <w:r>
        <w:rPr>
          <w:rFonts w:hint="eastAsia" w:hAnsi="宋体" w:cs="宋体"/>
          <w:b/>
          <w:bCs/>
          <w:color w:val="auto"/>
          <w:sz w:val="21"/>
          <w:szCs w:val="21"/>
          <w:highlight w:val="none"/>
          <w:lang w:val="en-US" w:eastAsia="zh-CN"/>
        </w:rPr>
        <w:t>运营</w:t>
      </w:r>
      <w:r>
        <w:rPr>
          <w:rFonts w:hint="eastAsia" w:hAnsi="宋体" w:cs="宋体"/>
          <w:b/>
          <w:bCs/>
          <w:color w:val="auto"/>
          <w:sz w:val="21"/>
          <w:szCs w:val="21"/>
          <w:highlight w:val="none"/>
        </w:rPr>
        <w:t>费用承担</w:t>
      </w:r>
    </w:p>
    <w:p w14:paraId="05627DEC">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6.1 </w:t>
      </w:r>
      <w:r>
        <w:rPr>
          <w:rFonts w:hint="eastAsia" w:hAnsi="宋体" w:cs="宋体"/>
          <w:color w:val="auto"/>
          <w:sz w:val="21"/>
          <w:szCs w:val="21"/>
          <w:highlight w:val="none"/>
        </w:rPr>
        <w:t>甲方承担：合作资产交付前的</w:t>
      </w:r>
      <w:r>
        <w:rPr>
          <w:rFonts w:hint="eastAsia" w:hAnsi="宋体" w:cs="宋体"/>
          <w:color w:val="auto"/>
          <w:sz w:val="21"/>
          <w:szCs w:val="21"/>
          <w:highlight w:val="none"/>
          <w:lang w:val="en-US" w:eastAsia="zh-CN"/>
        </w:rPr>
        <w:t>投资</w:t>
      </w:r>
      <w:r>
        <w:rPr>
          <w:rFonts w:hint="eastAsia" w:hAnsi="宋体" w:cs="宋体"/>
          <w:color w:val="auto"/>
          <w:sz w:val="21"/>
          <w:szCs w:val="21"/>
          <w:highlight w:val="none"/>
        </w:rPr>
        <w:t>费用</w:t>
      </w:r>
      <w:r>
        <w:rPr>
          <w:rFonts w:hint="eastAsia" w:hAnsi="宋体" w:cs="宋体"/>
          <w:color w:val="auto"/>
          <w:sz w:val="21"/>
          <w:szCs w:val="21"/>
          <w:highlight w:val="none"/>
          <w:lang w:eastAsia="zh-CN"/>
        </w:rPr>
        <w:t>，</w:t>
      </w:r>
      <w:r>
        <w:rPr>
          <w:rFonts w:hint="eastAsia" w:hAnsi="宋体" w:cs="宋体"/>
          <w:color w:val="auto"/>
          <w:sz w:val="21"/>
          <w:szCs w:val="21"/>
          <w:highlight w:val="none"/>
        </w:rPr>
        <w:t>甲方</w:t>
      </w:r>
      <w:r>
        <w:rPr>
          <w:rFonts w:hint="eastAsia" w:hAnsi="宋体" w:cs="宋体"/>
          <w:color w:val="auto"/>
          <w:sz w:val="21"/>
          <w:szCs w:val="21"/>
          <w:highlight w:val="none"/>
          <w:lang w:val="en-US" w:eastAsia="zh-CN"/>
        </w:rPr>
        <w:t>指</w:t>
      </w:r>
      <w:r>
        <w:rPr>
          <w:rFonts w:hint="eastAsia" w:hAnsi="宋体" w:cs="宋体"/>
          <w:color w:val="auto"/>
          <w:sz w:val="21"/>
          <w:szCs w:val="21"/>
          <w:highlight w:val="none"/>
        </w:rPr>
        <w:t>派人员的费用</w:t>
      </w:r>
      <w:r>
        <w:rPr>
          <w:rFonts w:hint="eastAsia" w:hAnsi="宋体" w:cs="宋体"/>
          <w:color w:val="auto"/>
          <w:sz w:val="21"/>
          <w:szCs w:val="21"/>
          <w:highlight w:val="none"/>
          <w:lang w:eastAsia="zh-CN"/>
        </w:rPr>
        <w:t>，</w:t>
      </w:r>
      <w:r>
        <w:rPr>
          <w:rFonts w:hint="eastAsia" w:hAnsi="宋体" w:cs="宋体"/>
          <w:color w:val="auto"/>
          <w:sz w:val="21"/>
          <w:szCs w:val="21"/>
          <w:highlight w:val="none"/>
        </w:rPr>
        <w:t>合作资产本身依法应由产权人承担的税费（如有）。</w:t>
      </w:r>
    </w:p>
    <w:p w14:paraId="0D2183E9">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6.2 </w:t>
      </w:r>
      <w:r>
        <w:rPr>
          <w:rFonts w:hint="eastAsia" w:hAnsi="宋体" w:cs="宋体"/>
          <w:color w:val="auto"/>
          <w:sz w:val="21"/>
          <w:szCs w:val="21"/>
          <w:highlight w:val="none"/>
        </w:rPr>
        <w:t>乙方承担：合作资产移交后的全部日常运营费用，包括但不限于：专业运营团队人员薪酬、床位及养老设备设施配置费用、餐饮成本、水电燃气费、物业费、耗材费、日常经营物品添置采购费与改造费、</w:t>
      </w:r>
      <w:r>
        <w:rPr>
          <w:rFonts w:hint="eastAsia" w:hAnsi="宋体" w:cs="宋体"/>
          <w:color w:val="auto"/>
          <w:sz w:val="21"/>
          <w:szCs w:val="21"/>
          <w:highlight w:val="none"/>
          <w:lang w:val="en-US" w:eastAsia="zh-CN"/>
        </w:rPr>
        <w:t>资产维护费、</w:t>
      </w:r>
      <w:r>
        <w:rPr>
          <w:rFonts w:hint="eastAsia" w:hAnsi="宋体" w:cs="宋体"/>
          <w:color w:val="auto"/>
          <w:sz w:val="21"/>
          <w:szCs w:val="21"/>
          <w:highlight w:val="none"/>
        </w:rPr>
        <w:t>保险费、税费等。甲方不再承担合作资产移交后的任何运营费用。</w:t>
      </w:r>
    </w:p>
    <w:p w14:paraId="71E4354A">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6.3</w:t>
      </w:r>
      <w:r>
        <w:rPr>
          <w:rFonts w:hint="eastAsia" w:hAnsi="宋体" w:cs="宋体"/>
          <w:color w:val="auto"/>
          <w:sz w:val="21"/>
          <w:szCs w:val="21"/>
          <w:highlight w:val="none"/>
        </w:rPr>
        <w:t>运营维</w:t>
      </w:r>
      <w:r>
        <w:rPr>
          <w:rFonts w:hint="eastAsia" w:hAnsi="宋体" w:cs="宋体"/>
          <w:color w:val="auto"/>
          <w:sz w:val="21"/>
          <w:szCs w:val="21"/>
          <w:highlight w:val="none"/>
          <w:lang w:val="en-US" w:eastAsia="zh-CN"/>
        </w:rPr>
        <w:t>护（维修）</w:t>
      </w:r>
      <w:r>
        <w:rPr>
          <w:rFonts w:hint="eastAsia" w:hAnsi="宋体" w:cs="宋体"/>
          <w:color w:val="auto"/>
          <w:sz w:val="21"/>
          <w:szCs w:val="21"/>
          <w:highlight w:val="none"/>
        </w:rPr>
        <w:t>：合作资产主体结构及甲方交付的原有设备设施因自然老化或者非乙方原因发生重大维修的，由</w:t>
      </w:r>
      <w:r>
        <w:rPr>
          <w:rFonts w:hint="eastAsia" w:hAnsi="宋体" w:cs="宋体"/>
          <w:color w:val="auto"/>
          <w:sz w:val="21"/>
          <w:szCs w:val="21"/>
          <w:highlight w:val="none"/>
          <w:lang w:eastAsia="zh-CN"/>
        </w:rPr>
        <w:t>乙</w:t>
      </w:r>
      <w:r>
        <w:rPr>
          <w:rFonts w:hint="eastAsia" w:hAnsi="宋体" w:cs="宋体"/>
          <w:color w:val="auto"/>
          <w:sz w:val="21"/>
          <w:szCs w:val="21"/>
          <w:highlight w:val="none"/>
        </w:rPr>
        <w:t>方负责并承担费用；因乙方使用不当或者乙方改造施工导致的维修，由乙方负责并承担费用。合作资产日常零星维</w:t>
      </w:r>
      <w:r>
        <w:rPr>
          <w:rFonts w:hint="eastAsia" w:hAnsi="宋体" w:cs="宋体"/>
          <w:color w:val="auto"/>
          <w:sz w:val="21"/>
          <w:szCs w:val="21"/>
          <w:highlight w:val="none"/>
          <w:lang w:val="en-US" w:eastAsia="zh-CN"/>
        </w:rPr>
        <w:t>护费用</w:t>
      </w:r>
      <w:r>
        <w:rPr>
          <w:rFonts w:hint="eastAsia" w:hAnsi="宋体" w:cs="宋体"/>
          <w:color w:val="auto"/>
          <w:sz w:val="21"/>
          <w:szCs w:val="21"/>
          <w:highlight w:val="none"/>
        </w:rPr>
        <w:t>由乙方负责</w:t>
      </w:r>
      <w:r>
        <w:rPr>
          <w:rFonts w:hint="eastAsia" w:hAnsi="宋体" w:cs="宋体"/>
          <w:color w:val="auto"/>
          <w:sz w:val="21"/>
          <w:szCs w:val="21"/>
          <w:highlight w:val="none"/>
          <w:lang w:eastAsia="zh-CN"/>
        </w:rPr>
        <w:t>。</w:t>
      </w:r>
      <w:r>
        <w:rPr>
          <w:rFonts w:hint="eastAsia" w:hAnsi="宋体" w:cs="宋体"/>
          <w:color w:val="auto"/>
          <w:sz w:val="21"/>
          <w:szCs w:val="21"/>
          <w:highlight w:val="none"/>
        </w:rPr>
        <w:t>双方对维修责任有争议的，应共同委托第三方机构鉴定后确定。</w:t>
      </w:r>
    </w:p>
    <w:p w14:paraId="3142014A">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6.</w:t>
      </w:r>
      <w:r>
        <w:rPr>
          <w:rFonts w:hint="eastAsia" w:hAnsi="宋体" w:cs="宋体"/>
          <w:color w:val="auto"/>
          <w:sz w:val="21"/>
          <w:szCs w:val="21"/>
          <w:highlight w:val="none"/>
          <w:lang w:val="en-US" w:eastAsia="zh-CN"/>
        </w:rPr>
        <w:t>4</w:t>
      </w:r>
      <w:r>
        <w:rPr>
          <w:rFonts w:hAnsi="宋体" w:cs="宋体"/>
          <w:color w:val="auto"/>
          <w:sz w:val="21"/>
          <w:szCs w:val="21"/>
          <w:highlight w:val="none"/>
        </w:rPr>
        <w:t xml:space="preserve"> </w:t>
      </w:r>
      <w:r>
        <w:rPr>
          <w:rFonts w:hint="eastAsia" w:hAnsi="宋体" w:cs="宋体"/>
          <w:color w:val="auto"/>
          <w:sz w:val="21"/>
          <w:szCs w:val="21"/>
          <w:highlight w:val="none"/>
        </w:rPr>
        <w:t>费用凭证：乙方应妥善保管运营费用凭证，甲方有权查阅与运营相关的财务账目及凭证，乙方应予配合。</w:t>
      </w:r>
    </w:p>
    <w:p w14:paraId="3F6CB600">
      <w:pPr>
        <w:pStyle w:val="14"/>
        <w:adjustRightInd w:val="0"/>
        <w:snapToGrid w:val="0"/>
        <w:ind w:firstLine="422"/>
        <w:rPr>
          <w:rFonts w:hAnsi="宋体" w:cs="宋体"/>
          <w:b/>
          <w:bCs/>
          <w:color w:val="auto"/>
          <w:sz w:val="21"/>
          <w:szCs w:val="21"/>
          <w:highlight w:val="none"/>
        </w:rPr>
      </w:pPr>
      <w:r>
        <w:rPr>
          <w:rFonts w:hint="eastAsia" w:hAnsi="宋体" w:cs="宋体"/>
          <w:b/>
          <w:bCs/>
          <w:color w:val="auto"/>
          <w:sz w:val="21"/>
          <w:szCs w:val="21"/>
          <w:highlight w:val="none"/>
        </w:rPr>
        <w:t>第七条</w:t>
      </w:r>
      <w:r>
        <w:rPr>
          <w:rFonts w:hAnsi="宋体" w:cs="宋体"/>
          <w:b/>
          <w:bCs/>
          <w:color w:val="auto"/>
          <w:sz w:val="21"/>
          <w:szCs w:val="21"/>
          <w:highlight w:val="none"/>
        </w:rPr>
        <w:t xml:space="preserve">  </w:t>
      </w:r>
      <w:r>
        <w:rPr>
          <w:rFonts w:hint="eastAsia" w:hAnsi="宋体" w:cs="宋体"/>
          <w:b/>
          <w:bCs/>
          <w:color w:val="auto"/>
          <w:sz w:val="21"/>
          <w:szCs w:val="21"/>
          <w:highlight w:val="none"/>
        </w:rPr>
        <w:t>运营服务要求</w:t>
      </w:r>
    </w:p>
    <w:p w14:paraId="33B7AE85">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7.1 </w:t>
      </w:r>
      <w:r>
        <w:rPr>
          <w:rFonts w:hint="eastAsia" w:hAnsi="宋体" w:cs="宋体"/>
          <w:color w:val="auto"/>
          <w:sz w:val="21"/>
          <w:szCs w:val="21"/>
          <w:highlight w:val="none"/>
        </w:rPr>
        <w:t>服务标准：乙方应按照国家和地方养老服务相关标准规范提供医养结合服务，保障入住老年人的合法权益，不得歧视、虐待、遗弃老年人。</w:t>
      </w:r>
    </w:p>
    <w:p w14:paraId="0842DD5D">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7.2 </w:t>
      </w:r>
      <w:r>
        <w:rPr>
          <w:rFonts w:hint="eastAsia" w:hAnsi="宋体" w:cs="宋体"/>
          <w:color w:val="auto"/>
          <w:sz w:val="21"/>
          <w:szCs w:val="21"/>
          <w:highlight w:val="none"/>
        </w:rPr>
        <w:t>人员配备：乙方应配备与床位规模、服务内容相适应的管理人员、护理人员、医护人员及其他服务人员，相关人员应持有法律法规要求的资格证书，并依法签订劳动合同、缴纳社会保险。</w:t>
      </w:r>
    </w:p>
    <w:p w14:paraId="216C5645">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7.3 </w:t>
      </w:r>
      <w:r>
        <w:rPr>
          <w:rFonts w:hint="eastAsia" w:hAnsi="宋体" w:cs="宋体"/>
          <w:color w:val="auto"/>
          <w:sz w:val="21"/>
          <w:szCs w:val="21"/>
          <w:highlight w:val="none"/>
        </w:rPr>
        <w:t>收费管理：乙方应公示收费项目及标准，明码标价，不得违规收费、强制服务收费或者收取未予标明的费用。</w:t>
      </w:r>
    </w:p>
    <w:p w14:paraId="3ADB3C14">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7.4 </w:t>
      </w:r>
      <w:r>
        <w:rPr>
          <w:rFonts w:hint="eastAsia" w:hAnsi="宋体" w:cs="宋体"/>
          <w:color w:val="auto"/>
          <w:sz w:val="21"/>
          <w:szCs w:val="21"/>
          <w:highlight w:val="none"/>
        </w:rPr>
        <w:t>医疗与养老衔接：乙方应依托甲方卫生院医疗资源，建立健全医养结合服务机制，落实老年人健康管理、疾病诊治、康复护理、安宁疗护等服务。</w:t>
      </w:r>
    </w:p>
    <w:p w14:paraId="0830B2FC">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7.5 </w:t>
      </w:r>
      <w:r>
        <w:rPr>
          <w:rFonts w:hint="eastAsia" w:hAnsi="宋体" w:cs="宋体"/>
          <w:color w:val="auto"/>
          <w:sz w:val="21"/>
          <w:szCs w:val="21"/>
          <w:highlight w:val="none"/>
        </w:rPr>
        <w:t>信息报送：乙方应按甲方要求向甲方以及按民政、卫健等部门要求向民政、卫健等部门报送运营数据、服务信息及统计数据，不得瞒报、漏报、迟报。</w:t>
      </w:r>
    </w:p>
    <w:p w14:paraId="5A962249">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 xml:space="preserve">7.6 </w:t>
      </w:r>
      <w:r>
        <w:rPr>
          <w:rFonts w:hint="eastAsia" w:hAnsi="宋体" w:cs="宋体"/>
          <w:color w:val="auto"/>
          <w:sz w:val="21"/>
          <w:szCs w:val="21"/>
          <w:highlight w:val="none"/>
        </w:rPr>
        <w:t>配合监管：乙方应接受甲方及民政、卫健、消防、市场监管等部门的监督检查，对检查发现的问题限期整改。</w:t>
      </w:r>
    </w:p>
    <w:p w14:paraId="596205AB">
      <w:pPr>
        <w:pStyle w:val="14"/>
        <w:adjustRightInd w:val="0"/>
        <w:snapToGrid w:val="0"/>
        <w:ind w:firstLine="422"/>
        <w:rPr>
          <w:rFonts w:hAnsi="宋体" w:cs="宋体"/>
          <w:color w:val="auto"/>
          <w:sz w:val="21"/>
          <w:szCs w:val="21"/>
          <w:highlight w:val="none"/>
        </w:rPr>
      </w:pPr>
      <w:r>
        <w:rPr>
          <w:rFonts w:hint="eastAsia" w:hAnsi="宋体" w:cs="宋体"/>
          <w:b/>
          <w:bCs/>
          <w:color w:val="auto"/>
          <w:sz w:val="21"/>
          <w:szCs w:val="21"/>
          <w:highlight w:val="none"/>
        </w:rPr>
        <w:t>第八条</w:t>
      </w:r>
      <w:r>
        <w:rPr>
          <w:rFonts w:hAnsi="宋体" w:cs="宋体"/>
          <w:b/>
          <w:bCs/>
          <w:color w:val="auto"/>
          <w:sz w:val="21"/>
          <w:szCs w:val="21"/>
          <w:highlight w:val="none"/>
        </w:rPr>
        <w:t xml:space="preserve">  </w:t>
      </w:r>
      <w:r>
        <w:rPr>
          <w:rFonts w:hint="eastAsia" w:hAnsi="宋体" w:cs="宋体"/>
          <w:b/>
          <w:bCs/>
          <w:color w:val="auto"/>
          <w:sz w:val="21"/>
          <w:szCs w:val="21"/>
          <w:highlight w:val="none"/>
        </w:rPr>
        <w:t>安全与保险</w:t>
      </w:r>
    </w:p>
    <w:p w14:paraId="2E164FC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8.1 </w:t>
      </w:r>
      <w:r>
        <w:rPr>
          <w:rFonts w:hint="eastAsia" w:hAnsi="宋体" w:cs="宋体"/>
          <w:color w:val="auto"/>
          <w:sz w:val="21"/>
          <w:szCs w:val="21"/>
          <w:highlight w:val="none"/>
        </w:rPr>
        <w:t>安全责任：项目运维安全由乙方承担。乙方应建立健全消防安全、食品安全、医疗安全、护理安全、设备设施安全等管理制度和应急预案，定期开展安全检查和演练。</w:t>
      </w:r>
    </w:p>
    <w:p w14:paraId="1A173C0C">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8.2 </w:t>
      </w:r>
      <w:r>
        <w:rPr>
          <w:rFonts w:hint="eastAsia" w:hAnsi="宋体" w:cs="宋体"/>
          <w:color w:val="auto"/>
          <w:sz w:val="21"/>
          <w:szCs w:val="21"/>
          <w:highlight w:val="none"/>
        </w:rPr>
        <w:t>公众责任保险：乙方应每年购买公众责任保险（保险金额不低于人民币</w:t>
      </w:r>
      <w:r>
        <w:rPr>
          <w:rFonts w:hAnsi="宋体" w:cs="宋体"/>
          <w:color w:val="auto"/>
          <w:sz w:val="21"/>
          <w:szCs w:val="21"/>
          <w:highlight w:val="none"/>
        </w:rPr>
        <w:t>______</w:t>
      </w:r>
      <w:r>
        <w:rPr>
          <w:rFonts w:hint="eastAsia" w:hAnsi="宋体" w:cs="宋体"/>
          <w:color w:val="auto"/>
          <w:sz w:val="21"/>
          <w:szCs w:val="21"/>
          <w:highlight w:val="none"/>
        </w:rPr>
        <w:t>万元），并将甲方列为附加被保险人。保险凭证复印件应于每年度保险生效后</w:t>
      </w:r>
      <w:r>
        <w:rPr>
          <w:rFonts w:hAnsi="宋体" w:cs="宋体"/>
          <w:color w:val="auto"/>
          <w:sz w:val="21"/>
          <w:szCs w:val="21"/>
          <w:highlight w:val="none"/>
        </w:rPr>
        <w:t>____</w:t>
      </w:r>
      <w:r>
        <w:rPr>
          <w:rFonts w:hint="eastAsia" w:hAnsi="宋体" w:cs="宋体"/>
          <w:color w:val="auto"/>
          <w:sz w:val="21"/>
          <w:szCs w:val="21"/>
          <w:highlight w:val="none"/>
        </w:rPr>
        <w:t>日内提交甲方备案。发生意外伤害事件的，由乙方与保险公司负责处理并承担相应责任；保险赔付不足部分由乙方承担。</w:t>
      </w:r>
    </w:p>
    <w:p w14:paraId="6A22625E">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8.3 </w:t>
      </w:r>
      <w:r>
        <w:rPr>
          <w:rFonts w:hint="eastAsia" w:hAnsi="宋体" w:cs="宋体"/>
          <w:color w:val="auto"/>
          <w:sz w:val="21"/>
          <w:szCs w:val="21"/>
          <w:highlight w:val="none"/>
        </w:rPr>
        <w:t>事故报告：发生安全事故、意外伤害事件或者其他重大突发事件的，乙方应立即采取救助措施，并在一小时内口头、二十四小时内书面向甲方报告，不得瞒报、谎报、迟报。</w:t>
      </w:r>
    </w:p>
    <w:p w14:paraId="51B7036A">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8.4 </w:t>
      </w:r>
      <w:r>
        <w:rPr>
          <w:rFonts w:hint="eastAsia" w:hAnsi="宋体" w:cs="宋体"/>
          <w:color w:val="auto"/>
          <w:sz w:val="21"/>
          <w:szCs w:val="21"/>
          <w:highlight w:val="none"/>
        </w:rPr>
        <w:t>责任承担：因乙方运营管理原因造成入住老年人、第三人或者甲方人身、财产损害的，由乙方承担全部赔偿责任；甲方因此对外承担责任的，有权向乙方全额追偿。</w:t>
      </w:r>
    </w:p>
    <w:p w14:paraId="1D3D096B">
      <w:pPr>
        <w:pStyle w:val="14"/>
        <w:adjustRightInd w:val="0"/>
        <w:snapToGrid w:val="0"/>
        <w:ind w:firstLine="422"/>
        <w:rPr>
          <w:rFonts w:hAnsi="宋体" w:cs="宋体"/>
          <w:b/>
          <w:color w:val="auto"/>
          <w:sz w:val="21"/>
          <w:szCs w:val="21"/>
          <w:highlight w:val="none"/>
        </w:rPr>
      </w:pPr>
      <w:r>
        <w:rPr>
          <w:rFonts w:hint="eastAsia" w:hAnsi="宋体" w:cs="宋体"/>
          <w:b/>
          <w:color w:val="auto"/>
          <w:sz w:val="21"/>
          <w:szCs w:val="21"/>
          <w:highlight w:val="none"/>
        </w:rPr>
        <w:t>第九条</w:t>
      </w:r>
      <w:r>
        <w:rPr>
          <w:rFonts w:hAnsi="宋体" w:cs="宋体"/>
          <w:b/>
          <w:color w:val="auto"/>
          <w:sz w:val="21"/>
          <w:szCs w:val="21"/>
          <w:highlight w:val="none"/>
        </w:rPr>
        <w:t xml:space="preserve"> </w:t>
      </w:r>
      <w:r>
        <w:rPr>
          <w:rFonts w:hint="eastAsia" w:hAnsi="宋体" w:cs="宋体"/>
          <w:b/>
          <w:color w:val="auto"/>
          <w:sz w:val="21"/>
          <w:szCs w:val="21"/>
          <w:highlight w:val="none"/>
        </w:rPr>
        <w:t xml:space="preserve"> 考核与退出机制</w:t>
      </w:r>
    </w:p>
    <w:p w14:paraId="5999B4D8">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 xml:space="preserve">9.1 </w:t>
      </w:r>
      <w:r>
        <w:rPr>
          <w:rFonts w:hint="eastAsia" w:hAnsi="宋体" w:cs="宋体"/>
          <w:color w:val="auto"/>
          <w:sz w:val="21"/>
          <w:szCs w:val="21"/>
          <w:highlight w:val="none"/>
          <w:lang w:eastAsia="zh-CN"/>
        </w:rPr>
        <w:t>年</w:t>
      </w:r>
      <w:r>
        <w:rPr>
          <w:rFonts w:hint="eastAsia" w:hAnsi="宋体" w:cs="宋体"/>
          <w:color w:val="auto"/>
          <w:sz w:val="21"/>
          <w:szCs w:val="21"/>
          <w:highlight w:val="none"/>
        </w:rPr>
        <w:t>入住率考核：两处资产</w:t>
      </w:r>
      <w:bookmarkStart w:id="8" w:name="OLE_LINK3"/>
      <w:bookmarkStart w:id="9" w:name="OLE_LINK4"/>
      <w:r>
        <w:rPr>
          <w:rFonts w:hint="eastAsia" w:hAnsi="宋体" w:cs="宋体"/>
          <w:color w:val="auto"/>
          <w:sz w:val="21"/>
          <w:szCs w:val="21"/>
          <w:highlight w:val="none"/>
          <w:lang w:eastAsia="zh-CN"/>
        </w:rPr>
        <w:t>年平均</w:t>
      </w:r>
      <w:r>
        <w:rPr>
          <w:rFonts w:hint="eastAsia" w:hAnsi="宋体" w:cs="宋体"/>
          <w:color w:val="auto"/>
          <w:sz w:val="21"/>
          <w:szCs w:val="21"/>
          <w:highlight w:val="none"/>
        </w:rPr>
        <w:t>入住率</w:t>
      </w:r>
      <w:bookmarkEnd w:id="8"/>
      <w:bookmarkEnd w:id="9"/>
      <w:r>
        <w:rPr>
          <w:rFonts w:hint="eastAsia" w:hAnsi="宋体" w:cs="宋体"/>
          <w:color w:val="auto"/>
          <w:sz w:val="21"/>
          <w:szCs w:val="21"/>
          <w:highlight w:val="none"/>
        </w:rPr>
        <w:t>（</w:t>
      </w:r>
      <w:r>
        <w:rPr>
          <w:rFonts w:hint="eastAsia" w:hAnsi="宋体" w:eastAsia="宋体" w:cs="宋体"/>
          <w:color w:val="auto"/>
          <w:sz w:val="21"/>
          <w:szCs w:val="21"/>
          <w:highlight w:val="none"/>
          <w:lang w:val="en-US" w:eastAsia="zh-CN"/>
        </w:rPr>
        <w:t>年度平均入住率 = 年度实际占用总床日数 ÷ 年度核定可用总床日数 × 100%</w:t>
      </w:r>
      <w:r>
        <w:rPr>
          <w:rFonts w:hint="eastAsia" w:hAnsi="宋体" w:cs="宋体"/>
          <w:color w:val="auto"/>
          <w:sz w:val="21"/>
          <w:szCs w:val="21"/>
          <w:highlight w:val="none"/>
        </w:rPr>
        <w:t>）按以下标准考核：第</w:t>
      </w:r>
      <w:r>
        <w:rPr>
          <w:rFonts w:hAnsi="宋体" w:cs="宋体"/>
          <w:color w:val="auto"/>
          <w:sz w:val="21"/>
          <w:szCs w:val="21"/>
          <w:highlight w:val="none"/>
        </w:rPr>
        <w:t>1</w:t>
      </w:r>
      <w:r>
        <w:rPr>
          <w:rFonts w:hint="eastAsia" w:hAnsi="宋体" w:cs="宋体"/>
          <w:color w:val="auto"/>
          <w:sz w:val="21"/>
          <w:szCs w:val="21"/>
          <w:highlight w:val="none"/>
        </w:rPr>
        <w:t>年至第</w:t>
      </w:r>
      <w:r>
        <w:rPr>
          <w:rFonts w:hAnsi="宋体" w:cs="宋体"/>
          <w:color w:val="auto"/>
          <w:sz w:val="21"/>
          <w:szCs w:val="21"/>
          <w:highlight w:val="none"/>
        </w:rPr>
        <w:t>5</w:t>
      </w:r>
      <w:r>
        <w:rPr>
          <w:rFonts w:hint="eastAsia" w:hAnsi="宋体" w:cs="宋体"/>
          <w:color w:val="auto"/>
          <w:sz w:val="21"/>
          <w:szCs w:val="21"/>
          <w:highlight w:val="none"/>
        </w:rPr>
        <w:t>年累计</w:t>
      </w:r>
      <w:r>
        <w:rPr>
          <w:rFonts w:hAnsi="宋体" w:cs="宋体"/>
          <w:color w:val="auto"/>
          <w:sz w:val="21"/>
          <w:szCs w:val="21"/>
          <w:highlight w:val="none"/>
        </w:rPr>
        <w:t>2</w:t>
      </w:r>
      <w:r>
        <w:rPr>
          <w:rFonts w:hint="eastAsia" w:hAnsi="宋体" w:cs="宋体"/>
          <w:color w:val="auto"/>
          <w:sz w:val="21"/>
          <w:szCs w:val="21"/>
          <w:highlight w:val="none"/>
        </w:rPr>
        <w:t>年不达标的</w:t>
      </w:r>
      <w:r>
        <w:rPr>
          <w:rFonts w:hint="eastAsia" w:hAnsi="宋体" w:cs="宋体"/>
          <w:color w:val="auto"/>
          <w:sz w:val="21"/>
          <w:szCs w:val="21"/>
          <w:highlight w:val="none"/>
          <w:lang w:eastAsia="zh-CN"/>
        </w:rPr>
        <w:t>，或者</w:t>
      </w:r>
      <w:r>
        <w:rPr>
          <w:rFonts w:hint="eastAsia" w:hAnsi="宋体" w:cs="宋体"/>
          <w:color w:val="auto"/>
          <w:sz w:val="21"/>
          <w:szCs w:val="21"/>
          <w:highlight w:val="none"/>
        </w:rPr>
        <w:t>第</w:t>
      </w:r>
      <w:r>
        <w:rPr>
          <w:rFonts w:hAnsi="宋体" w:cs="宋体"/>
          <w:color w:val="auto"/>
          <w:sz w:val="21"/>
          <w:szCs w:val="21"/>
          <w:highlight w:val="none"/>
        </w:rPr>
        <w:t>6</w:t>
      </w:r>
      <w:r>
        <w:rPr>
          <w:rFonts w:hint="eastAsia" w:hAnsi="宋体" w:cs="宋体"/>
          <w:color w:val="auto"/>
          <w:sz w:val="21"/>
          <w:szCs w:val="21"/>
          <w:highlight w:val="none"/>
        </w:rPr>
        <w:t>年至第</w:t>
      </w:r>
      <w:r>
        <w:rPr>
          <w:rFonts w:hAnsi="宋体" w:cs="宋体"/>
          <w:color w:val="auto"/>
          <w:sz w:val="21"/>
          <w:szCs w:val="21"/>
          <w:highlight w:val="none"/>
        </w:rPr>
        <w:t>10</w:t>
      </w:r>
      <w:r>
        <w:rPr>
          <w:rFonts w:hint="eastAsia" w:hAnsi="宋体" w:cs="宋体"/>
          <w:color w:val="auto"/>
          <w:sz w:val="21"/>
          <w:szCs w:val="21"/>
          <w:highlight w:val="none"/>
        </w:rPr>
        <w:t>年累计</w:t>
      </w:r>
      <w:r>
        <w:rPr>
          <w:rFonts w:hAnsi="宋体" w:cs="宋体"/>
          <w:color w:val="auto"/>
          <w:sz w:val="21"/>
          <w:szCs w:val="21"/>
          <w:highlight w:val="none"/>
        </w:rPr>
        <w:t>2</w:t>
      </w:r>
      <w:r>
        <w:rPr>
          <w:rFonts w:hint="eastAsia" w:hAnsi="宋体" w:cs="宋体"/>
          <w:color w:val="auto"/>
          <w:sz w:val="21"/>
          <w:szCs w:val="21"/>
          <w:highlight w:val="none"/>
        </w:rPr>
        <w:t>年不达标的，甲方有权解除本合同。入住率的具体指标由双方在《运营考核指标表》中约定，乙方在签约前已确认该指标合理可行。</w:t>
      </w:r>
      <w:bookmarkStart w:id="10" w:name="OLE_LINK7"/>
      <w:bookmarkStart w:id="11" w:name="OLE_LINK13"/>
      <w:r>
        <w:rPr>
          <w:rFonts w:hint="eastAsia" w:hAnsi="宋体" w:cs="宋体"/>
          <w:color w:val="auto"/>
          <w:sz w:val="21"/>
          <w:szCs w:val="21"/>
          <w:highlight w:val="none"/>
        </w:rPr>
        <w:t>【</w:t>
      </w:r>
      <w:bookmarkStart w:id="12" w:name="OLE_LINK28"/>
      <w:bookmarkStart w:id="13" w:name="OLE_LINK29"/>
      <w:r>
        <w:rPr>
          <w:rFonts w:hint="eastAsia" w:hAnsi="宋体" w:cs="宋体"/>
          <w:color w:val="auto"/>
          <w:sz w:val="21"/>
          <w:szCs w:val="21"/>
          <w:highlight w:val="none"/>
        </w:rPr>
        <w:t>详见附件</w:t>
      </w:r>
      <w:r>
        <w:rPr>
          <w:rFonts w:hint="eastAsia" w:hAnsi="宋体" w:cs="宋体"/>
          <w:b/>
          <w:color w:val="auto"/>
          <w:sz w:val="21"/>
          <w:szCs w:val="21"/>
          <w:highlight w:val="none"/>
          <w:lang w:val="en-US" w:eastAsia="zh-CN"/>
        </w:rPr>
        <w:t>2</w:t>
      </w:r>
      <w:r>
        <w:rPr>
          <w:rFonts w:hint="eastAsia" w:hAnsi="宋体" w:cs="宋体"/>
          <w:color w:val="auto"/>
          <w:sz w:val="21"/>
          <w:szCs w:val="21"/>
          <w:highlight w:val="none"/>
        </w:rPr>
        <w:t>：</w:t>
      </w:r>
      <w:bookmarkEnd w:id="12"/>
      <w:bookmarkEnd w:id="13"/>
      <w:r>
        <w:rPr>
          <w:rFonts w:hint="eastAsia" w:hAnsi="宋体" w:cs="宋体"/>
          <w:color w:val="auto"/>
          <w:sz w:val="21"/>
          <w:szCs w:val="21"/>
          <w:highlight w:val="none"/>
        </w:rPr>
        <w:t>《运营考核指标表》</w:t>
      </w:r>
      <w:bookmarkEnd w:id="10"/>
      <w:r>
        <w:rPr>
          <w:rFonts w:hint="eastAsia" w:hAnsi="宋体" w:cs="宋体"/>
          <w:color w:val="auto"/>
          <w:sz w:val="21"/>
          <w:szCs w:val="21"/>
          <w:highlight w:val="none"/>
        </w:rPr>
        <w:t>】</w:t>
      </w:r>
      <w:bookmarkEnd w:id="11"/>
    </w:p>
    <w:p w14:paraId="66E431E7">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9.</w:t>
      </w:r>
      <w:r>
        <w:rPr>
          <w:rFonts w:hint="eastAsia" w:hAnsi="宋体" w:cs="宋体"/>
          <w:color w:val="auto"/>
          <w:sz w:val="21"/>
          <w:szCs w:val="21"/>
          <w:highlight w:val="none"/>
          <w:lang w:val="en-US" w:eastAsia="zh-CN"/>
        </w:rPr>
        <w:t>2</w:t>
      </w:r>
      <w:r>
        <w:rPr>
          <w:rFonts w:hint="eastAsia" w:hAnsi="宋体" w:cs="宋体"/>
          <w:color w:val="auto"/>
          <w:sz w:val="21"/>
          <w:szCs w:val="21"/>
          <w:highlight w:val="none"/>
        </w:rPr>
        <w:t>运营服务考核：甲方每年度对乙方进行运营服务考核，考核内容包括入住率考核、营收考核、服务质量考核、安全管理考核、设备设施维护考核、合同履行考核等方面。具体考核方法以《</w:t>
      </w:r>
      <w:r>
        <w:rPr>
          <w:rFonts w:hint="eastAsia" w:ascii="宋体" w:hAnsi="宋体" w:eastAsia="宋体" w:cs="宋体"/>
          <w:color w:val="auto"/>
          <w:sz w:val="21"/>
          <w:szCs w:val="21"/>
          <w:highlight w:val="none"/>
          <w:lang w:val="en-US" w:eastAsia="zh-CN"/>
        </w:rPr>
        <w:t>运营年度考核表</w:t>
      </w:r>
      <w:r>
        <w:rPr>
          <w:rFonts w:hint="eastAsia" w:hAnsi="宋体" w:cs="宋体"/>
          <w:color w:val="auto"/>
          <w:sz w:val="21"/>
          <w:szCs w:val="21"/>
          <w:highlight w:val="none"/>
        </w:rPr>
        <w:t>》为准。考核年度指合作运营期间的每个完整自然年度，首个考核年度自</w:t>
      </w:r>
      <w:r>
        <w:rPr>
          <w:rFonts w:hint="eastAsia" w:hAnsi="宋体" w:cs="宋体"/>
          <w:color w:val="auto"/>
          <w:sz w:val="21"/>
          <w:szCs w:val="21"/>
          <w:highlight w:val="none"/>
          <w:lang w:val="en-US" w:eastAsia="zh-CN"/>
        </w:rPr>
        <w:t>合同签订并</w:t>
      </w:r>
      <w:r>
        <w:rPr>
          <w:rFonts w:hint="eastAsia" w:hAnsi="宋体" w:cs="宋体"/>
          <w:color w:val="auto"/>
          <w:sz w:val="21"/>
          <w:szCs w:val="21"/>
          <w:highlight w:val="none"/>
        </w:rPr>
        <w:t>资产移交</w:t>
      </w:r>
      <w:r>
        <w:rPr>
          <w:rFonts w:hint="eastAsia" w:hAnsi="宋体" w:cs="宋体"/>
          <w:color w:val="auto"/>
          <w:sz w:val="21"/>
          <w:szCs w:val="21"/>
          <w:highlight w:val="none"/>
          <w:lang w:val="en-US" w:eastAsia="zh-CN"/>
        </w:rPr>
        <w:t>完成后起算12个月。</w:t>
      </w:r>
      <w:r>
        <w:rPr>
          <w:rFonts w:hint="eastAsia" w:hAnsi="宋体" w:cs="宋体"/>
          <w:color w:val="auto"/>
          <w:sz w:val="21"/>
          <w:szCs w:val="21"/>
          <w:highlight w:val="none"/>
        </w:rPr>
        <w:t>【详见附件</w:t>
      </w:r>
      <w:r>
        <w:rPr>
          <w:rFonts w:hint="eastAsia" w:hAnsi="宋体" w:cs="宋体"/>
          <w:b/>
          <w:color w:val="auto"/>
          <w:sz w:val="21"/>
          <w:szCs w:val="21"/>
          <w:highlight w:val="none"/>
          <w:lang w:val="en-US" w:eastAsia="zh-CN"/>
        </w:rPr>
        <w:t>3</w:t>
      </w:r>
      <w:r>
        <w:rPr>
          <w:rFonts w:hint="eastAsia" w:hAnsi="宋体" w:cs="宋体"/>
          <w:color w:val="auto"/>
          <w:sz w:val="21"/>
          <w:szCs w:val="21"/>
          <w:highlight w:val="none"/>
        </w:rPr>
        <w:t>：</w:t>
      </w:r>
      <w:bookmarkStart w:id="14" w:name="OLE_LINK14"/>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运营年度考核表</w:t>
      </w:r>
      <w:r>
        <w:rPr>
          <w:rFonts w:hint="eastAsia" w:hAnsi="宋体" w:cs="宋体"/>
          <w:color w:val="auto"/>
          <w:sz w:val="21"/>
          <w:szCs w:val="21"/>
          <w:highlight w:val="none"/>
        </w:rPr>
        <w:t>》</w:t>
      </w:r>
      <w:bookmarkEnd w:id="14"/>
      <w:r>
        <w:rPr>
          <w:rFonts w:hint="eastAsia" w:hAnsi="宋体" w:cs="宋体"/>
          <w:color w:val="auto"/>
          <w:sz w:val="21"/>
          <w:szCs w:val="21"/>
          <w:highlight w:val="none"/>
        </w:rPr>
        <w:t>】</w:t>
      </w:r>
    </w:p>
    <w:p w14:paraId="1EDA2C34">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9.</w:t>
      </w:r>
      <w:r>
        <w:rPr>
          <w:rFonts w:hint="eastAsia" w:hAnsi="宋体" w:cs="宋体"/>
          <w:color w:val="auto"/>
          <w:sz w:val="21"/>
          <w:szCs w:val="21"/>
          <w:highlight w:val="none"/>
          <w:lang w:val="en-US" w:eastAsia="zh-CN"/>
        </w:rPr>
        <w:t>3</w:t>
      </w:r>
      <w:r>
        <w:rPr>
          <w:rFonts w:hAnsi="宋体" w:cs="宋体"/>
          <w:color w:val="auto"/>
          <w:sz w:val="21"/>
          <w:szCs w:val="21"/>
          <w:highlight w:val="none"/>
        </w:rPr>
        <w:t xml:space="preserve"> </w:t>
      </w:r>
      <w:r>
        <w:rPr>
          <w:rFonts w:hint="eastAsia" w:hAnsi="宋体" w:cs="宋体"/>
          <w:color w:val="auto"/>
          <w:sz w:val="21"/>
          <w:szCs w:val="21"/>
          <w:highlight w:val="none"/>
        </w:rPr>
        <w:t>考核不合格的处理：年度考核低于</w:t>
      </w:r>
      <w:r>
        <w:rPr>
          <w:rFonts w:hAnsi="宋体" w:cs="宋体"/>
          <w:color w:val="auto"/>
          <w:sz w:val="21"/>
          <w:szCs w:val="21"/>
          <w:highlight w:val="none"/>
        </w:rPr>
        <w:t>80</w:t>
      </w:r>
      <w:r>
        <w:rPr>
          <w:rFonts w:hint="eastAsia" w:hAnsi="宋体" w:cs="宋体"/>
          <w:color w:val="auto"/>
          <w:sz w:val="21"/>
          <w:szCs w:val="21"/>
          <w:highlight w:val="none"/>
        </w:rPr>
        <w:t>分的，甲方有权解除合同。乙方对考核结果有异议的，可在收到考核结果后五日内书面申请复核，甲方应在十五日内组织复核并书面答复；复核期间不停止合同履行，但甲方有权暂停支付争议部分分成。</w:t>
      </w:r>
    </w:p>
    <w:p w14:paraId="550A6F11">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9.</w:t>
      </w:r>
      <w:r>
        <w:rPr>
          <w:rFonts w:hint="eastAsia" w:hAnsi="宋体" w:cs="宋体"/>
          <w:color w:val="auto"/>
          <w:sz w:val="21"/>
          <w:szCs w:val="21"/>
          <w:highlight w:val="none"/>
          <w:lang w:val="en-US" w:eastAsia="zh-CN"/>
        </w:rPr>
        <w:t xml:space="preserve">4 </w:t>
      </w:r>
      <w:r>
        <w:rPr>
          <w:rFonts w:hint="eastAsia" w:hAnsi="宋体" w:cs="宋体"/>
          <w:color w:val="auto"/>
          <w:sz w:val="21"/>
          <w:szCs w:val="21"/>
          <w:highlight w:val="none"/>
        </w:rPr>
        <w:t>整改机会：除本合同另有约定外，乙方首次出现单一年度考核低于</w:t>
      </w:r>
      <w:r>
        <w:rPr>
          <w:rFonts w:hAnsi="宋体" w:cs="宋体"/>
          <w:color w:val="auto"/>
          <w:sz w:val="21"/>
          <w:szCs w:val="21"/>
          <w:highlight w:val="none"/>
        </w:rPr>
        <w:t>80</w:t>
      </w:r>
      <w:r>
        <w:rPr>
          <w:rFonts w:hint="eastAsia" w:hAnsi="宋体" w:cs="宋体"/>
          <w:color w:val="auto"/>
          <w:sz w:val="21"/>
          <w:szCs w:val="21"/>
          <w:highlight w:val="none"/>
        </w:rPr>
        <w:t>分但不低于</w:t>
      </w:r>
      <w:r>
        <w:rPr>
          <w:rFonts w:hAnsi="宋体" w:cs="宋体"/>
          <w:color w:val="auto"/>
          <w:sz w:val="21"/>
          <w:szCs w:val="21"/>
          <w:highlight w:val="none"/>
        </w:rPr>
        <w:t>70</w:t>
      </w:r>
      <w:r>
        <w:rPr>
          <w:rFonts w:hint="eastAsia" w:hAnsi="宋体" w:cs="宋体"/>
          <w:color w:val="auto"/>
          <w:sz w:val="21"/>
          <w:szCs w:val="21"/>
          <w:highlight w:val="none"/>
        </w:rPr>
        <w:t>分的，甲方可以给予乙方三个月整改期；整改期限届满经复评仍低于</w:t>
      </w:r>
      <w:r>
        <w:rPr>
          <w:rFonts w:hAnsi="宋体" w:cs="宋体"/>
          <w:color w:val="auto"/>
          <w:sz w:val="21"/>
          <w:szCs w:val="21"/>
          <w:highlight w:val="none"/>
        </w:rPr>
        <w:t>80</w:t>
      </w:r>
      <w:r>
        <w:rPr>
          <w:rFonts w:hint="eastAsia" w:hAnsi="宋体" w:cs="宋体"/>
          <w:color w:val="auto"/>
          <w:sz w:val="21"/>
          <w:szCs w:val="21"/>
          <w:highlight w:val="none"/>
        </w:rPr>
        <w:t>分的，甲方有权解除合同。乙方出现累计两年考核低于</w:t>
      </w:r>
      <w:r>
        <w:rPr>
          <w:rFonts w:hAnsi="宋体" w:cs="宋体"/>
          <w:color w:val="auto"/>
          <w:sz w:val="21"/>
          <w:szCs w:val="21"/>
          <w:highlight w:val="none"/>
        </w:rPr>
        <w:t>80</w:t>
      </w:r>
      <w:r>
        <w:rPr>
          <w:rFonts w:hint="eastAsia" w:hAnsi="宋体" w:cs="宋体"/>
          <w:color w:val="auto"/>
          <w:sz w:val="21"/>
          <w:szCs w:val="21"/>
          <w:highlight w:val="none"/>
        </w:rPr>
        <w:t>分或者单一年度考核低于</w:t>
      </w:r>
      <w:r>
        <w:rPr>
          <w:rFonts w:hAnsi="宋体" w:cs="宋体"/>
          <w:color w:val="auto"/>
          <w:sz w:val="21"/>
          <w:szCs w:val="21"/>
          <w:highlight w:val="none"/>
        </w:rPr>
        <w:t>70</w:t>
      </w:r>
      <w:r>
        <w:rPr>
          <w:rFonts w:hint="eastAsia" w:hAnsi="宋体" w:cs="宋体"/>
          <w:color w:val="auto"/>
          <w:sz w:val="21"/>
          <w:szCs w:val="21"/>
          <w:highlight w:val="none"/>
        </w:rPr>
        <w:t>分的，甲方有权直接解除合同，不给予整改期。</w:t>
      </w:r>
    </w:p>
    <w:p w14:paraId="67DDC0A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9.</w:t>
      </w:r>
      <w:r>
        <w:rPr>
          <w:rFonts w:hint="eastAsia" w:hAnsi="宋体" w:cs="宋体"/>
          <w:color w:val="auto"/>
          <w:sz w:val="21"/>
          <w:szCs w:val="21"/>
          <w:highlight w:val="none"/>
          <w:lang w:val="en-US" w:eastAsia="zh-CN"/>
        </w:rPr>
        <w:t xml:space="preserve">5 </w:t>
      </w:r>
      <w:r>
        <w:rPr>
          <w:rFonts w:hint="eastAsia" w:hAnsi="宋体" w:cs="宋体"/>
          <w:color w:val="auto"/>
          <w:sz w:val="21"/>
          <w:szCs w:val="21"/>
          <w:highlight w:val="none"/>
        </w:rPr>
        <w:t>解除程序：甲方依本条行使解除权的，应书面通知乙方，合同自通知送达之日起解除。</w:t>
      </w:r>
    </w:p>
    <w:p w14:paraId="41AE3437">
      <w:pPr>
        <w:pStyle w:val="14"/>
        <w:adjustRightInd w:val="0"/>
        <w:snapToGrid w:val="0"/>
        <w:ind w:firstLine="422"/>
        <w:rPr>
          <w:rFonts w:hAnsi="宋体" w:cs="宋体"/>
          <w:b/>
          <w:color w:val="auto"/>
          <w:sz w:val="21"/>
          <w:szCs w:val="21"/>
          <w:highlight w:val="none"/>
        </w:rPr>
      </w:pPr>
      <w:r>
        <w:rPr>
          <w:rFonts w:hint="eastAsia" w:hAnsi="宋体" w:cs="宋体"/>
          <w:b/>
          <w:color w:val="auto"/>
          <w:sz w:val="21"/>
          <w:szCs w:val="21"/>
          <w:highlight w:val="none"/>
        </w:rPr>
        <w:t>第十条</w:t>
      </w:r>
      <w:r>
        <w:rPr>
          <w:rFonts w:hAnsi="宋体" w:cs="宋体"/>
          <w:b/>
          <w:color w:val="auto"/>
          <w:sz w:val="21"/>
          <w:szCs w:val="21"/>
          <w:highlight w:val="none"/>
        </w:rPr>
        <w:t xml:space="preserve"> </w:t>
      </w:r>
      <w:r>
        <w:rPr>
          <w:rFonts w:hint="eastAsia" w:hAnsi="宋体" w:cs="宋体"/>
          <w:b/>
          <w:color w:val="auto"/>
          <w:sz w:val="21"/>
          <w:szCs w:val="21"/>
          <w:highlight w:val="none"/>
        </w:rPr>
        <w:t xml:space="preserve"> 履约保证金</w:t>
      </w:r>
    </w:p>
    <w:p w14:paraId="1A040052">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10.1 </w:t>
      </w:r>
      <w:r>
        <w:rPr>
          <w:rFonts w:hint="eastAsia" w:hAnsi="宋体" w:cs="宋体"/>
          <w:color w:val="auto"/>
          <w:sz w:val="21"/>
          <w:szCs w:val="21"/>
          <w:highlight w:val="none"/>
        </w:rPr>
        <w:t>乙方应于本合同签订之日起五日内向甲方交纳履约保证金计人民币</w:t>
      </w:r>
      <w:r>
        <w:rPr>
          <w:rFonts w:hint="eastAsia" w:hAnsi="宋体" w:cs="宋体"/>
          <w:color w:val="auto"/>
          <w:sz w:val="21"/>
          <w:szCs w:val="21"/>
          <w:highlight w:val="none"/>
          <w:u w:val="single"/>
          <w:lang w:eastAsia="zh-CN"/>
        </w:rPr>
        <w:t>壹拾</w:t>
      </w:r>
      <w:r>
        <w:rPr>
          <w:rFonts w:hint="eastAsia" w:hAnsi="宋体" w:cs="宋体"/>
          <w:color w:val="auto"/>
          <w:sz w:val="21"/>
          <w:szCs w:val="21"/>
          <w:highlight w:val="none"/>
        </w:rPr>
        <w:t>万元（￥</w:t>
      </w:r>
      <w:r>
        <w:rPr>
          <w:rFonts w:hint="eastAsia" w:hAnsi="宋体" w:cs="宋体"/>
          <w:b/>
          <w:color w:val="auto"/>
          <w:sz w:val="21"/>
          <w:szCs w:val="21"/>
          <w:highlight w:val="none"/>
          <w:lang w:val="en-US" w:eastAsia="zh-CN"/>
        </w:rPr>
        <w:t>1</w:t>
      </w:r>
      <w:r>
        <w:rPr>
          <w:rFonts w:hAnsi="宋体" w:cs="宋体"/>
          <w:b/>
          <w:color w:val="auto"/>
          <w:sz w:val="21"/>
          <w:szCs w:val="21"/>
          <w:highlight w:val="none"/>
        </w:rPr>
        <w:t>00,000.00</w:t>
      </w:r>
      <w:r>
        <w:rPr>
          <w:rFonts w:hint="eastAsia" w:hAnsi="宋体" w:cs="宋体"/>
          <w:color w:val="auto"/>
          <w:sz w:val="21"/>
          <w:szCs w:val="21"/>
          <w:highlight w:val="none"/>
        </w:rPr>
        <w:t>）整。</w:t>
      </w:r>
    </w:p>
    <w:p w14:paraId="4BEEB0FA">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10.2 </w:t>
      </w:r>
      <w:r>
        <w:rPr>
          <w:rFonts w:hint="eastAsia" w:hAnsi="宋体" w:cs="宋体"/>
          <w:color w:val="auto"/>
          <w:sz w:val="21"/>
          <w:szCs w:val="21"/>
          <w:highlight w:val="none"/>
        </w:rPr>
        <w:t>履约保证金用于担保乙方履行本合同项下义务。乙方发生违约行为给甲方造成损失的，甲方有权直接从</w:t>
      </w:r>
      <w:bookmarkStart w:id="15" w:name="OLE_LINK16"/>
      <w:bookmarkStart w:id="16" w:name="OLE_LINK15"/>
      <w:r>
        <w:rPr>
          <w:rFonts w:hint="eastAsia" w:hAnsi="宋体" w:cs="宋体"/>
          <w:color w:val="auto"/>
          <w:sz w:val="21"/>
          <w:szCs w:val="21"/>
          <w:highlight w:val="none"/>
        </w:rPr>
        <w:t>履约</w:t>
      </w:r>
      <w:bookmarkEnd w:id="15"/>
      <w:bookmarkEnd w:id="16"/>
      <w:r>
        <w:rPr>
          <w:rFonts w:hint="eastAsia" w:hAnsi="宋体" w:cs="宋体"/>
          <w:color w:val="auto"/>
          <w:sz w:val="21"/>
          <w:szCs w:val="21"/>
          <w:highlight w:val="none"/>
        </w:rPr>
        <w:t>保证金中</w:t>
      </w:r>
      <w:bookmarkStart w:id="17" w:name="OLE_LINK21"/>
      <w:bookmarkStart w:id="18" w:name="OLE_LINK20"/>
      <w:r>
        <w:rPr>
          <w:rFonts w:hint="eastAsia" w:hAnsi="宋体" w:cs="宋体"/>
          <w:color w:val="auto"/>
          <w:sz w:val="21"/>
          <w:szCs w:val="21"/>
          <w:highlight w:val="none"/>
        </w:rPr>
        <w:t>扣除相应金额</w:t>
      </w:r>
      <w:bookmarkEnd w:id="17"/>
      <w:bookmarkEnd w:id="18"/>
      <w:r>
        <w:rPr>
          <w:rFonts w:hint="eastAsia" w:hAnsi="宋体" w:cs="宋体"/>
          <w:color w:val="auto"/>
          <w:sz w:val="21"/>
          <w:szCs w:val="21"/>
          <w:highlight w:val="none"/>
        </w:rPr>
        <w:t>，乙方应在扣除后十日内补足履约保证金。</w:t>
      </w:r>
    </w:p>
    <w:p w14:paraId="2D0DC183">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10.3 </w:t>
      </w:r>
      <w:r>
        <w:rPr>
          <w:rFonts w:hint="eastAsia" w:hAnsi="宋体" w:cs="宋体"/>
          <w:color w:val="auto"/>
          <w:sz w:val="21"/>
          <w:szCs w:val="21"/>
          <w:highlight w:val="none"/>
        </w:rPr>
        <w:t>合作期限届满或者合同依法解除，</w:t>
      </w:r>
      <w:bookmarkStart w:id="19" w:name="OLE_LINK17"/>
      <w:r>
        <w:rPr>
          <w:rFonts w:hint="eastAsia" w:hAnsi="宋体" w:cs="宋体"/>
          <w:color w:val="auto"/>
          <w:sz w:val="21"/>
          <w:szCs w:val="21"/>
          <w:highlight w:val="none"/>
        </w:rPr>
        <w:t>乙方无违约行为</w:t>
      </w:r>
      <w:bookmarkEnd w:id="19"/>
      <w:bookmarkStart w:id="20" w:name="OLE_LINK19"/>
      <w:bookmarkStart w:id="21" w:name="OLE_LINK18"/>
      <w:r>
        <w:rPr>
          <w:rFonts w:hint="eastAsia" w:hAnsi="宋体" w:cs="宋体"/>
          <w:color w:val="auto"/>
          <w:sz w:val="21"/>
          <w:szCs w:val="21"/>
          <w:highlight w:val="none"/>
        </w:rPr>
        <w:t>且</w:t>
      </w:r>
      <w:bookmarkEnd w:id="20"/>
      <w:bookmarkEnd w:id="21"/>
      <w:r>
        <w:rPr>
          <w:rFonts w:hint="eastAsia" w:hAnsi="宋体" w:cs="宋体"/>
          <w:color w:val="auto"/>
          <w:sz w:val="21"/>
          <w:szCs w:val="21"/>
          <w:highlight w:val="none"/>
        </w:rPr>
        <w:t>已完成资产返还交接的，甲方应在三十日内无息退还履约保证金余额；乙方有违约行为且在依本条约定扣除相应金额后仍</w:t>
      </w:r>
      <w:bookmarkStart w:id="22" w:name="OLE_LINK22"/>
      <w:bookmarkStart w:id="23" w:name="OLE_LINK23"/>
      <w:r>
        <w:rPr>
          <w:rFonts w:hint="eastAsia" w:hAnsi="宋体" w:cs="宋体"/>
          <w:color w:val="auto"/>
          <w:sz w:val="21"/>
          <w:szCs w:val="21"/>
          <w:highlight w:val="none"/>
        </w:rPr>
        <w:t>剩余履约保证金</w:t>
      </w:r>
      <w:bookmarkEnd w:id="22"/>
      <w:bookmarkEnd w:id="23"/>
      <w:r>
        <w:rPr>
          <w:rFonts w:hint="eastAsia" w:hAnsi="宋体" w:cs="宋体"/>
          <w:color w:val="auto"/>
          <w:sz w:val="21"/>
          <w:szCs w:val="21"/>
          <w:highlight w:val="none"/>
        </w:rPr>
        <w:t>的，甲方不予退还剩余履约保证金。</w:t>
      </w:r>
    </w:p>
    <w:p w14:paraId="72A36A71">
      <w:pPr>
        <w:pStyle w:val="14"/>
        <w:adjustRightInd w:val="0"/>
        <w:snapToGrid w:val="0"/>
        <w:ind w:firstLine="422"/>
        <w:rPr>
          <w:rFonts w:hAnsi="宋体" w:cs="宋体"/>
          <w:b/>
          <w:color w:val="auto"/>
          <w:sz w:val="21"/>
          <w:szCs w:val="21"/>
          <w:highlight w:val="none"/>
        </w:rPr>
      </w:pPr>
      <w:r>
        <w:rPr>
          <w:rFonts w:hint="eastAsia" w:hAnsi="宋体" w:cs="宋体"/>
          <w:b/>
          <w:color w:val="auto"/>
          <w:sz w:val="21"/>
          <w:szCs w:val="21"/>
          <w:highlight w:val="none"/>
        </w:rPr>
        <w:t>第十一条</w:t>
      </w:r>
      <w:r>
        <w:rPr>
          <w:rFonts w:hAnsi="宋体" w:cs="宋体"/>
          <w:b/>
          <w:color w:val="auto"/>
          <w:sz w:val="21"/>
          <w:szCs w:val="21"/>
          <w:highlight w:val="none"/>
        </w:rPr>
        <w:t xml:space="preserve"> </w:t>
      </w:r>
      <w:r>
        <w:rPr>
          <w:rFonts w:hint="eastAsia" w:hAnsi="宋体" w:cs="宋体"/>
          <w:b/>
          <w:color w:val="auto"/>
          <w:sz w:val="21"/>
          <w:szCs w:val="21"/>
          <w:highlight w:val="none"/>
        </w:rPr>
        <w:t xml:space="preserve"> 合同解除与终止</w:t>
      </w:r>
    </w:p>
    <w:p w14:paraId="69227DA1">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11.1 </w:t>
      </w:r>
      <w:r>
        <w:rPr>
          <w:rFonts w:hint="eastAsia" w:hAnsi="宋体" w:cs="宋体"/>
          <w:color w:val="auto"/>
          <w:sz w:val="21"/>
          <w:szCs w:val="21"/>
          <w:highlight w:val="none"/>
        </w:rPr>
        <w:t>协商解除：经双方协商一致，可以书面形式解除合同。</w:t>
      </w:r>
    </w:p>
    <w:p w14:paraId="47024900">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11.2</w:t>
      </w:r>
      <w:bookmarkStart w:id="24" w:name="OLE_LINK26"/>
      <w:bookmarkStart w:id="25" w:name="OLE_LINK25"/>
      <w:r>
        <w:rPr>
          <w:rFonts w:hint="eastAsia" w:hAnsi="宋体" w:cs="宋体"/>
          <w:color w:val="auto"/>
          <w:sz w:val="21"/>
          <w:szCs w:val="21"/>
          <w:highlight w:val="none"/>
        </w:rPr>
        <w:t>发生下列情形之一的，</w:t>
      </w:r>
      <w:bookmarkEnd w:id="24"/>
      <w:bookmarkEnd w:id="25"/>
      <w:r>
        <w:rPr>
          <w:rFonts w:hint="eastAsia" w:hAnsi="宋体" w:cs="宋体"/>
          <w:color w:val="auto"/>
          <w:sz w:val="21"/>
          <w:szCs w:val="21"/>
          <w:highlight w:val="none"/>
        </w:rPr>
        <w:t>甲方有权书面通知乙方解除本合同，且不承担违约责任：</w:t>
      </w:r>
    </w:p>
    <w:p w14:paraId="1F166CC4">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1</w:t>
      </w:r>
      <w:r>
        <w:rPr>
          <w:rFonts w:hint="eastAsia" w:hAnsi="宋体" w:cs="宋体"/>
          <w:color w:val="auto"/>
          <w:sz w:val="21"/>
          <w:szCs w:val="21"/>
          <w:highlight w:val="none"/>
        </w:rPr>
        <w:t>）乙方未按约定交纳履约保证金，经催告后十日内仍未交纳的；</w:t>
      </w:r>
    </w:p>
    <w:p w14:paraId="0FE87B8D">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2</w:t>
      </w:r>
      <w:r>
        <w:rPr>
          <w:rFonts w:hint="eastAsia" w:hAnsi="宋体" w:cs="宋体"/>
          <w:color w:val="auto"/>
          <w:sz w:val="21"/>
          <w:szCs w:val="21"/>
          <w:highlight w:val="none"/>
        </w:rPr>
        <w:t>）乙方未按约定完成适老化消防改造或者未通过验收，经催告后三十日内仍未完成的；</w:t>
      </w:r>
    </w:p>
    <w:p w14:paraId="1D6B0322">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3</w:t>
      </w:r>
      <w:r>
        <w:rPr>
          <w:rFonts w:hint="eastAsia" w:hAnsi="宋体" w:cs="宋体"/>
          <w:color w:val="auto"/>
          <w:sz w:val="21"/>
          <w:szCs w:val="21"/>
          <w:highlight w:val="none"/>
        </w:rPr>
        <w:t>）乙方截留、转移、隐匿营业额，或者虚减营</w:t>
      </w:r>
      <w:bookmarkStart w:id="26" w:name="OLE_LINK24"/>
      <w:r>
        <w:rPr>
          <w:rFonts w:hint="eastAsia" w:hAnsi="宋体" w:cs="宋体"/>
          <w:color w:val="auto"/>
          <w:sz w:val="21"/>
          <w:szCs w:val="21"/>
          <w:highlight w:val="none"/>
        </w:rPr>
        <w:t>业</w:t>
      </w:r>
      <w:bookmarkEnd w:id="26"/>
      <w:r>
        <w:rPr>
          <w:rFonts w:hint="eastAsia" w:hAnsi="宋体" w:cs="宋体"/>
          <w:color w:val="auto"/>
          <w:sz w:val="21"/>
          <w:szCs w:val="21"/>
          <w:highlight w:val="none"/>
        </w:rPr>
        <w:t>额骗取分成的；</w:t>
      </w:r>
    </w:p>
    <w:p w14:paraId="1D5CFBCE">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4</w:t>
      </w:r>
      <w:r>
        <w:rPr>
          <w:rFonts w:hint="eastAsia" w:hAnsi="宋体" w:cs="宋体"/>
          <w:color w:val="auto"/>
          <w:sz w:val="21"/>
          <w:szCs w:val="21"/>
          <w:highlight w:val="none"/>
        </w:rPr>
        <w:t>）乙方年度考核低于</w:t>
      </w:r>
      <w:r>
        <w:rPr>
          <w:rFonts w:hAnsi="宋体" w:cs="宋体"/>
          <w:color w:val="auto"/>
          <w:sz w:val="21"/>
          <w:szCs w:val="21"/>
          <w:highlight w:val="none"/>
        </w:rPr>
        <w:t>80</w:t>
      </w:r>
      <w:r>
        <w:rPr>
          <w:rFonts w:hint="eastAsia" w:hAnsi="宋体" w:cs="宋体"/>
          <w:color w:val="auto"/>
          <w:sz w:val="21"/>
          <w:szCs w:val="21"/>
          <w:highlight w:val="none"/>
        </w:rPr>
        <w:t>分，符合第九条约定的解除条件的；</w:t>
      </w:r>
    </w:p>
    <w:p w14:paraId="5244BF6B">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5</w:t>
      </w:r>
      <w:r>
        <w:rPr>
          <w:rFonts w:hint="eastAsia" w:hAnsi="宋体" w:cs="宋体"/>
          <w:color w:val="auto"/>
          <w:sz w:val="21"/>
          <w:szCs w:val="21"/>
          <w:highlight w:val="none"/>
        </w:rPr>
        <w:t>）乙方入住率或者年度营收考核不达标，符合第九条约定的解除条件的；</w:t>
      </w:r>
    </w:p>
    <w:p w14:paraId="45A7C540">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6</w:t>
      </w:r>
      <w:r>
        <w:rPr>
          <w:rFonts w:hint="eastAsia" w:hAnsi="宋体" w:cs="宋体"/>
          <w:color w:val="auto"/>
          <w:sz w:val="21"/>
          <w:szCs w:val="21"/>
          <w:highlight w:val="none"/>
        </w:rPr>
        <w:t>）乙方擅自转租、转包、分包合作资产或者变更实际运营主体的；</w:t>
      </w:r>
    </w:p>
    <w:p w14:paraId="51C011F3">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7</w:t>
      </w:r>
      <w:r>
        <w:rPr>
          <w:rFonts w:hint="eastAsia" w:hAnsi="宋体" w:cs="宋体"/>
          <w:color w:val="auto"/>
          <w:sz w:val="21"/>
          <w:szCs w:val="21"/>
          <w:highlight w:val="none"/>
        </w:rPr>
        <w:t>）乙方擅自改变合作资产用途或者主体结构的；</w:t>
      </w:r>
    </w:p>
    <w:p w14:paraId="4D2797A6">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8</w:t>
      </w:r>
      <w:r>
        <w:rPr>
          <w:rFonts w:hint="eastAsia" w:hAnsi="宋体" w:cs="宋体"/>
          <w:color w:val="auto"/>
          <w:sz w:val="21"/>
          <w:szCs w:val="21"/>
          <w:highlight w:val="none"/>
        </w:rPr>
        <w:t>）乙方发生重大安全事故、重大服务事故，或者发生虐待、遗弃老年人等严重违法违规行为的；</w:t>
      </w:r>
    </w:p>
    <w:p w14:paraId="25B04FD0">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9</w:t>
      </w:r>
      <w:r>
        <w:rPr>
          <w:rFonts w:hint="eastAsia" w:hAnsi="宋体" w:cs="宋体"/>
          <w:color w:val="auto"/>
          <w:sz w:val="21"/>
          <w:szCs w:val="21"/>
          <w:highlight w:val="none"/>
        </w:rPr>
        <w:t>）乙方被吊销营业执照、养老机构备案被撤销，或者丧失继续运营能力、负债数额较大（100万元以上）的；</w:t>
      </w:r>
    </w:p>
    <w:p w14:paraId="5C644C34">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10</w:t>
      </w:r>
      <w:r>
        <w:rPr>
          <w:rFonts w:hint="eastAsia" w:hAnsi="宋体" w:cs="宋体"/>
          <w:color w:val="auto"/>
          <w:sz w:val="21"/>
          <w:szCs w:val="21"/>
          <w:highlight w:val="none"/>
        </w:rPr>
        <w:t>）乙方其他严重违反本合同约定，经甲方书面催告后三十日内仍未改正的。</w:t>
      </w:r>
    </w:p>
    <w:p w14:paraId="46F857D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11.3</w:t>
      </w:r>
      <w:r>
        <w:rPr>
          <w:rFonts w:hint="eastAsia" w:hAnsi="宋体" w:cs="宋体"/>
          <w:color w:val="auto"/>
          <w:sz w:val="21"/>
          <w:szCs w:val="21"/>
          <w:highlight w:val="none"/>
        </w:rPr>
        <w:t>甲方无正当理由未按约定交付合作资产，经乙方催告后六十日内仍未交付的，乙方有权书面通知甲方解除本合同。</w:t>
      </w:r>
    </w:p>
    <w:p w14:paraId="5A3C2443">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11.4</w:t>
      </w:r>
      <w:r>
        <w:rPr>
          <w:rFonts w:hint="eastAsia" w:hAnsi="宋体" w:cs="宋体"/>
          <w:color w:val="auto"/>
          <w:sz w:val="21"/>
          <w:szCs w:val="21"/>
          <w:highlight w:val="none"/>
        </w:rPr>
        <w:t>因不可抗力致使合同目的不能实现的，任何一方均有权解除合同，双方互不承担违约责任，但应就已完成部分进行结算。</w:t>
      </w:r>
    </w:p>
    <w:p w14:paraId="7520CDB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11.5 </w:t>
      </w:r>
      <w:r>
        <w:rPr>
          <w:rFonts w:hint="eastAsia" w:hAnsi="宋体" w:cs="宋体"/>
          <w:color w:val="auto"/>
          <w:sz w:val="21"/>
          <w:szCs w:val="21"/>
          <w:highlight w:val="none"/>
        </w:rPr>
        <w:t>解除后的处理：</w:t>
      </w:r>
    </w:p>
    <w:p w14:paraId="712A800D">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1</w:t>
      </w:r>
      <w:r>
        <w:rPr>
          <w:rFonts w:hint="eastAsia" w:hAnsi="宋体" w:cs="宋体"/>
          <w:color w:val="auto"/>
          <w:sz w:val="21"/>
          <w:szCs w:val="21"/>
          <w:highlight w:val="none"/>
        </w:rPr>
        <w:t>）合同解除或者终止后，乙方应在三十日内完成入住老年人安置、员工安置、财务结算及资产返还交接，不得以任何理由拖延、阻碍或者怠于处理。</w:t>
      </w:r>
    </w:p>
    <w:p w14:paraId="59A13CE2">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2</w:t>
      </w:r>
      <w:r>
        <w:rPr>
          <w:rFonts w:hint="eastAsia" w:hAnsi="宋体" w:cs="宋体"/>
          <w:color w:val="auto"/>
          <w:sz w:val="21"/>
          <w:szCs w:val="21"/>
          <w:highlight w:val="none"/>
        </w:rPr>
        <w:t>）乙方应保证入住老年人得到妥善安置，不得因合同解除擅自停止服务或者遗弃老年人；因乙方安置不当造成老年人权益受损的，由乙方承担全部法律责任。</w:t>
      </w:r>
    </w:p>
    <w:p w14:paraId="161C9E2D">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3</w:t>
      </w:r>
      <w:r>
        <w:rPr>
          <w:rFonts w:hint="eastAsia" w:hAnsi="宋体" w:cs="宋体"/>
          <w:color w:val="auto"/>
          <w:sz w:val="21"/>
          <w:szCs w:val="21"/>
          <w:highlight w:val="none"/>
        </w:rPr>
        <w:t>）乙方逾期未返还合作</w:t>
      </w:r>
      <w:bookmarkStart w:id="27" w:name="OLE_LINK27"/>
      <w:r>
        <w:rPr>
          <w:rFonts w:hint="eastAsia" w:hAnsi="宋体" w:cs="宋体"/>
          <w:color w:val="auto"/>
          <w:sz w:val="21"/>
          <w:szCs w:val="21"/>
          <w:highlight w:val="none"/>
        </w:rPr>
        <w:t>资产</w:t>
      </w:r>
      <w:bookmarkEnd w:id="27"/>
      <w:r>
        <w:rPr>
          <w:rFonts w:hint="eastAsia" w:hAnsi="宋体" w:cs="宋体"/>
          <w:color w:val="auto"/>
          <w:sz w:val="21"/>
          <w:szCs w:val="21"/>
          <w:highlight w:val="none"/>
        </w:rPr>
        <w:t>的，应按每日人民币</w:t>
      </w:r>
      <w:r>
        <w:rPr>
          <w:rFonts w:hAnsi="宋体" w:cs="宋体"/>
          <w:color w:val="auto"/>
          <w:sz w:val="21"/>
          <w:szCs w:val="21"/>
          <w:highlight w:val="none"/>
        </w:rPr>
        <w:t>_</w:t>
      </w:r>
      <w:r>
        <w:rPr>
          <w:rFonts w:hint="eastAsia" w:hAnsi="宋体" w:cs="宋体"/>
          <w:color w:val="auto"/>
          <w:sz w:val="21"/>
          <w:szCs w:val="21"/>
          <w:highlight w:val="none"/>
          <w:u w:val="single"/>
          <w:lang w:val="en-US" w:eastAsia="zh-CN"/>
        </w:rPr>
        <w:t>1000</w:t>
      </w:r>
      <w:r>
        <w:rPr>
          <w:rFonts w:hAnsi="宋体" w:cs="宋体"/>
          <w:color w:val="auto"/>
          <w:sz w:val="21"/>
          <w:szCs w:val="21"/>
          <w:highlight w:val="none"/>
        </w:rPr>
        <w:t>_</w:t>
      </w:r>
      <w:r>
        <w:rPr>
          <w:rFonts w:hint="eastAsia" w:hAnsi="宋体" w:cs="宋体"/>
          <w:color w:val="auto"/>
          <w:sz w:val="21"/>
          <w:szCs w:val="21"/>
          <w:highlight w:val="none"/>
        </w:rPr>
        <w:t>元向甲方支付资产占用费，并赔偿甲方因此产生的损失。</w:t>
      </w:r>
    </w:p>
    <w:p w14:paraId="73D6500D">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w:t>
      </w:r>
      <w:r>
        <w:rPr>
          <w:rFonts w:hAnsi="宋体" w:cs="宋体"/>
          <w:color w:val="auto"/>
          <w:sz w:val="21"/>
          <w:szCs w:val="21"/>
          <w:highlight w:val="none"/>
        </w:rPr>
        <w:t>4</w:t>
      </w:r>
      <w:r>
        <w:rPr>
          <w:rFonts w:hint="eastAsia" w:hAnsi="宋体" w:cs="宋体"/>
          <w:color w:val="auto"/>
          <w:sz w:val="21"/>
          <w:szCs w:val="21"/>
          <w:highlight w:val="none"/>
        </w:rPr>
        <w:t>）合同解除或者终止不影响双方在合同中约定的结算、违约责任、争议解决等条款的效力。</w:t>
      </w:r>
    </w:p>
    <w:p w14:paraId="05CF3BBF">
      <w:pPr>
        <w:pStyle w:val="14"/>
        <w:adjustRightInd w:val="0"/>
        <w:snapToGrid w:val="0"/>
        <w:ind w:firstLine="420"/>
        <w:rPr>
          <w:rFonts w:hAnsi="宋体" w:cs="宋体"/>
          <w:color w:val="auto"/>
          <w:sz w:val="21"/>
          <w:szCs w:val="21"/>
          <w:highlight w:val="none"/>
        </w:rPr>
      </w:pPr>
      <w:r>
        <w:rPr>
          <w:rFonts w:hint="eastAsia" w:hAnsi="宋体" w:cs="宋体"/>
          <w:b/>
          <w:bCs/>
          <w:color w:val="auto"/>
          <w:sz w:val="21"/>
          <w:szCs w:val="21"/>
          <w:highlight w:val="none"/>
        </w:rPr>
        <w:t>第十二条</w:t>
      </w:r>
      <w:r>
        <w:rPr>
          <w:rFonts w:hAnsi="宋体" w:cs="宋体"/>
          <w:b/>
          <w:bCs/>
          <w:color w:val="auto"/>
          <w:sz w:val="21"/>
          <w:szCs w:val="21"/>
          <w:highlight w:val="none"/>
        </w:rPr>
        <w:t xml:space="preserve"> </w:t>
      </w:r>
      <w:r>
        <w:rPr>
          <w:rFonts w:hint="eastAsia" w:hAnsi="宋体" w:cs="宋体"/>
          <w:b/>
          <w:bCs/>
          <w:color w:val="auto"/>
          <w:sz w:val="21"/>
          <w:szCs w:val="21"/>
          <w:highlight w:val="none"/>
        </w:rPr>
        <w:t xml:space="preserve"> 资产返还与交接</w:t>
      </w:r>
    </w:p>
    <w:p w14:paraId="293BD37B">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12.1 </w:t>
      </w:r>
      <w:r>
        <w:rPr>
          <w:rFonts w:hint="eastAsia" w:hAnsi="宋体" w:cs="宋体"/>
          <w:color w:val="auto"/>
          <w:sz w:val="21"/>
          <w:szCs w:val="21"/>
          <w:highlight w:val="none"/>
        </w:rPr>
        <w:t>合同期限届满或者合同解除后，乙方应按《资产移交确认书》及双方确认的资产清单，将合作资产及其附属设备设施、甲方原有设备设施完好返还甲方（正常损耗除外）。</w:t>
      </w:r>
    </w:p>
    <w:p w14:paraId="19442471">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12.2 </w:t>
      </w:r>
      <w:r>
        <w:rPr>
          <w:rFonts w:hint="eastAsia" w:hAnsi="宋体" w:cs="宋体"/>
          <w:color w:val="auto"/>
          <w:sz w:val="21"/>
          <w:szCs w:val="21"/>
          <w:highlight w:val="none"/>
        </w:rPr>
        <w:t>乙方投资形成的不可移动装饰装修及附属设备设施无偿归甲方所有；可移动设备设施由乙方自行搬离，搬离不得损坏房屋及附属设备设施，否则应予修复或者赔偿。</w:t>
      </w:r>
    </w:p>
    <w:p w14:paraId="417D9885">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12.3 </w:t>
      </w:r>
      <w:r>
        <w:rPr>
          <w:rFonts w:hint="eastAsia" w:hAnsi="宋体" w:cs="宋体"/>
          <w:color w:val="auto"/>
          <w:sz w:val="21"/>
          <w:szCs w:val="21"/>
          <w:highlight w:val="none"/>
        </w:rPr>
        <w:t>双方应共同进行资产清点验收，签署《资产返还确认书》。乙方应结清截至返还之日的全部费用（水电、物业、人员工资等），并移交运营档案、客户资料、财务账目等资料。【详见附件</w:t>
      </w:r>
      <w:r>
        <w:rPr>
          <w:rFonts w:hint="eastAsia" w:hAnsi="宋体" w:cs="宋体"/>
          <w:b/>
          <w:color w:val="auto"/>
          <w:sz w:val="21"/>
          <w:szCs w:val="21"/>
          <w:highlight w:val="none"/>
          <w:lang w:val="en-US" w:eastAsia="zh-CN"/>
        </w:rPr>
        <w:t>4</w:t>
      </w:r>
      <w:r>
        <w:rPr>
          <w:rFonts w:hint="eastAsia" w:hAnsi="宋体" w:cs="宋体"/>
          <w:color w:val="auto"/>
          <w:sz w:val="21"/>
          <w:szCs w:val="21"/>
          <w:highlight w:val="none"/>
        </w:rPr>
        <w:t>：</w:t>
      </w:r>
      <w:bookmarkStart w:id="28" w:name="OLE_LINK32"/>
      <w:bookmarkStart w:id="29" w:name="OLE_LINK31"/>
      <w:r>
        <w:rPr>
          <w:rFonts w:hint="eastAsia" w:hAnsi="宋体" w:cs="宋体"/>
          <w:color w:val="auto"/>
          <w:sz w:val="21"/>
          <w:szCs w:val="21"/>
          <w:highlight w:val="none"/>
        </w:rPr>
        <w:t>《资产返还确认书》</w:t>
      </w:r>
      <w:bookmarkEnd w:id="28"/>
      <w:bookmarkEnd w:id="29"/>
      <w:r>
        <w:rPr>
          <w:rFonts w:hint="eastAsia" w:hAnsi="宋体" w:cs="宋体"/>
          <w:color w:val="auto"/>
          <w:sz w:val="21"/>
          <w:szCs w:val="21"/>
          <w:highlight w:val="none"/>
        </w:rPr>
        <w:t>】</w:t>
      </w:r>
    </w:p>
    <w:p w14:paraId="38E8749C">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12.4 </w:t>
      </w:r>
      <w:r>
        <w:rPr>
          <w:rFonts w:hint="eastAsia" w:hAnsi="宋体" w:cs="宋体"/>
          <w:color w:val="auto"/>
          <w:sz w:val="21"/>
          <w:szCs w:val="21"/>
          <w:highlight w:val="none"/>
        </w:rPr>
        <w:t>乙方不得以任何理由留置合作资产或者拒绝返还。</w:t>
      </w:r>
    </w:p>
    <w:p w14:paraId="49C10A01">
      <w:pPr>
        <w:pStyle w:val="14"/>
        <w:adjustRightInd w:val="0"/>
        <w:snapToGrid w:val="0"/>
        <w:ind w:firstLine="420"/>
        <w:rPr>
          <w:rFonts w:hAnsi="宋体" w:cs="宋体"/>
          <w:b/>
          <w:bCs/>
          <w:color w:val="auto"/>
          <w:sz w:val="21"/>
          <w:szCs w:val="21"/>
          <w:highlight w:val="none"/>
        </w:rPr>
      </w:pPr>
      <w:r>
        <w:rPr>
          <w:rFonts w:hint="eastAsia" w:hAnsi="宋体" w:cs="宋体"/>
          <w:b/>
          <w:bCs/>
          <w:color w:val="auto"/>
          <w:sz w:val="21"/>
          <w:szCs w:val="21"/>
          <w:highlight w:val="none"/>
        </w:rPr>
        <w:t>第十三条</w:t>
      </w:r>
      <w:r>
        <w:rPr>
          <w:rFonts w:hAnsi="宋体" w:cs="宋体"/>
          <w:b/>
          <w:bCs/>
          <w:color w:val="auto"/>
          <w:sz w:val="21"/>
          <w:szCs w:val="21"/>
          <w:highlight w:val="none"/>
        </w:rPr>
        <w:t xml:space="preserve"> </w:t>
      </w:r>
      <w:r>
        <w:rPr>
          <w:rFonts w:hint="eastAsia" w:hAnsi="宋体" w:cs="宋体"/>
          <w:b/>
          <w:bCs/>
          <w:color w:val="auto"/>
          <w:sz w:val="21"/>
          <w:szCs w:val="21"/>
          <w:highlight w:val="none"/>
        </w:rPr>
        <w:t xml:space="preserve"> 违约责任</w:t>
      </w:r>
    </w:p>
    <w:p w14:paraId="6BDB6FF1">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13.1 </w:t>
      </w:r>
      <w:r>
        <w:rPr>
          <w:rFonts w:hint="eastAsia" w:hAnsi="宋体" w:cs="宋体"/>
          <w:color w:val="auto"/>
          <w:sz w:val="21"/>
          <w:szCs w:val="21"/>
          <w:highlight w:val="none"/>
        </w:rPr>
        <w:t>任何一方违反本合同约定，应承担违约责任，赔偿守约方因此遭受的全部损失（包括但不限于直接损失、可得利益损失、诉讼费、鉴定费、保全担保费、公证费、差旅费、律师费等维权费用）。</w:t>
      </w:r>
    </w:p>
    <w:p w14:paraId="67B8A6C7">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13.2 </w:t>
      </w:r>
      <w:r>
        <w:rPr>
          <w:rFonts w:hint="eastAsia" w:hAnsi="宋体" w:cs="宋体"/>
          <w:color w:val="auto"/>
          <w:sz w:val="21"/>
          <w:szCs w:val="21"/>
          <w:highlight w:val="none"/>
        </w:rPr>
        <w:t>乙方截留、转移、隐匿营业额或者虚减营业额的，除按第五条约定补足分成外，还应按少缴分成的三倍向甲方支付违约金；情节严重的，甲方有权解除合同。</w:t>
      </w:r>
    </w:p>
    <w:p w14:paraId="639EA795">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13.3 </w:t>
      </w:r>
      <w:r>
        <w:rPr>
          <w:rFonts w:hint="eastAsia" w:hAnsi="宋体" w:cs="宋体"/>
          <w:color w:val="auto"/>
          <w:sz w:val="21"/>
          <w:szCs w:val="21"/>
          <w:highlight w:val="none"/>
        </w:rPr>
        <w:t>乙方逾期交纳履约保证金的，每逾期一日按未交金额的万分之五向甲方支付违约金。</w:t>
      </w:r>
    </w:p>
    <w:p w14:paraId="4AB63FDD">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13.4 </w:t>
      </w:r>
      <w:r>
        <w:rPr>
          <w:rFonts w:hint="eastAsia" w:hAnsi="宋体" w:cs="宋体"/>
          <w:color w:val="auto"/>
          <w:sz w:val="21"/>
          <w:szCs w:val="21"/>
          <w:highlight w:val="none"/>
        </w:rPr>
        <w:t>乙方逾期返还合作资产的，每逾期一日按人民币</w:t>
      </w:r>
      <w:r>
        <w:rPr>
          <w:rFonts w:hAnsi="宋体" w:cs="宋体"/>
          <w:color w:val="auto"/>
          <w:sz w:val="21"/>
          <w:szCs w:val="21"/>
          <w:highlight w:val="none"/>
          <w:u w:val="single"/>
        </w:rPr>
        <w:t>_</w:t>
      </w:r>
      <w:r>
        <w:rPr>
          <w:rFonts w:hint="eastAsia" w:hAnsi="宋体" w:cs="宋体"/>
          <w:color w:val="auto"/>
          <w:sz w:val="21"/>
          <w:szCs w:val="21"/>
          <w:highlight w:val="none"/>
          <w:u w:val="single"/>
          <w:lang w:val="en-US" w:eastAsia="zh-CN"/>
        </w:rPr>
        <w:t>1000</w:t>
      </w:r>
      <w:r>
        <w:rPr>
          <w:rFonts w:hint="eastAsia" w:hAnsi="宋体" w:cs="宋体"/>
          <w:color w:val="auto"/>
          <w:sz w:val="21"/>
          <w:szCs w:val="21"/>
          <w:highlight w:val="none"/>
        </w:rPr>
        <w:t>元向甲方支付违约金，并赔偿甲方因此产生的全部损失。</w:t>
      </w:r>
    </w:p>
    <w:p w14:paraId="77F3C42C">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13.5</w:t>
      </w:r>
      <w:r>
        <w:rPr>
          <w:rFonts w:hint="eastAsia" w:hAnsi="宋体" w:cs="宋体"/>
          <w:color w:val="auto"/>
          <w:sz w:val="21"/>
          <w:szCs w:val="21"/>
          <w:highlight w:val="none"/>
        </w:rPr>
        <w:t>乙方违反安全、消防、食品、医疗等管理规定，或者因乙方原因发生安全事故的，</w:t>
      </w:r>
      <w:r>
        <w:rPr>
          <w:rFonts w:hint="eastAsia" w:hAnsi="宋体" w:cs="宋体"/>
          <w:color w:val="auto"/>
          <w:sz w:val="21"/>
          <w:szCs w:val="21"/>
          <w:highlight w:val="none"/>
          <w:lang w:val="en-US" w:eastAsia="zh-CN"/>
        </w:rPr>
        <w:t>或者存在前述未约定其他违约情形，</w:t>
      </w:r>
      <w:r>
        <w:rPr>
          <w:rFonts w:hint="eastAsia" w:hAnsi="宋体" w:cs="宋体"/>
          <w:color w:val="auto"/>
          <w:sz w:val="21"/>
          <w:szCs w:val="21"/>
          <w:highlight w:val="none"/>
        </w:rPr>
        <w:t>乙方应承担全部责任并赔偿甲方因此遭受的</w:t>
      </w:r>
      <w:r>
        <w:rPr>
          <w:rFonts w:hint="eastAsia" w:hAnsi="宋体" w:cs="宋体"/>
          <w:color w:val="auto"/>
          <w:sz w:val="21"/>
          <w:szCs w:val="21"/>
          <w:highlight w:val="none"/>
          <w:lang w:val="en-US" w:eastAsia="zh-CN"/>
        </w:rPr>
        <w:t>全部</w:t>
      </w:r>
      <w:r>
        <w:rPr>
          <w:rFonts w:hint="eastAsia" w:hAnsi="宋体" w:cs="宋体"/>
          <w:color w:val="auto"/>
          <w:sz w:val="21"/>
          <w:szCs w:val="21"/>
          <w:highlight w:val="none"/>
        </w:rPr>
        <w:t>损失（包括甲方对外承担的赔偿、行政处罚等）。</w:t>
      </w:r>
    </w:p>
    <w:p w14:paraId="27C6B44E">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13.6</w:t>
      </w:r>
      <w:r>
        <w:rPr>
          <w:rFonts w:hint="eastAsia" w:hAnsi="宋体" w:cs="宋体"/>
          <w:color w:val="auto"/>
          <w:sz w:val="21"/>
          <w:szCs w:val="21"/>
          <w:highlight w:val="none"/>
        </w:rPr>
        <w:t>甲方无正当理由逾期支付乙方应得分成的，每逾期一日按未付金额的万分之五向乙方支付违约金。</w:t>
      </w:r>
    </w:p>
    <w:p w14:paraId="65579BAD">
      <w:pPr>
        <w:pStyle w:val="14"/>
        <w:adjustRightInd w:val="0"/>
        <w:snapToGrid w:val="0"/>
        <w:ind w:firstLine="420"/>
        <w:rPr>
          <w:rFonts w:hAnsi="宋体" w:cs="宋体"/>
          <w:b/>
          <w:bCs/>
          <w:color w:val="auto"/>
          <w:sz w:val="21"/>
          <w:szCs w:val="21"/>
          <w:highlight w:val="none"/>
        </w:rPr>
      </w:pPr>
      <w:r>
        <w:rPr>
          <w:rFonts w:hint="eastAsia" w:hAnsi="宋体" w:cs="宋体"/>
          <w:b/>
          <w:bCs/>
          <w:color w:val="auto"/>
          <w:sz w:val="21"/>
          <w:szCs w:val="21"/>
          <w:highlight w:val="none"/>
        </w:rPr>
        <w:t xml:space="preserve">第十四条 </w:t>
      </w:r>
      <w:r>
        <w:rPr>
          <w:rFonts w:hAnsi="宋体" w:cs="宋体"/>
          <w:b/>
          <w:bCs/>
          <w:color w:val="auto"/>
          <w:sz w:val="21"/>
          <w:szCs w:val="21"/>
          <w:highlight w:val="none"/>
        </w:rPr>
        <w:t xml:space="preserve"> </w:t>
      </w:r>
      <w:r>
        <w:rPr>
          <w:rFonts w:hint="eastAsia" w:hAnsi="宋体" w:cs="宋体"/>
          <w:b/>
          <w:bCs/>
          <w:color w:val="auto"/>
          <w:sz w:val="21"/>
          <w:szCs w:val="21"/>
          <w:highlight w:val="none"/>
        </w:rPr>
        <w:t>争议解决</w:t>
      </w:r>
    </w:p>
    <w:p w14:paraId="424630FE">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14.1 </w:t>
      </w:r>
      <w:r>
        <w:rPr>
          <w:rFonts w:hint="eastAsia" w:hAnsi="宋体" w:cs="宋体"/>
          <w:color w:val="auto"/>
          <w:sz w:val="21"/>
          <w:szCs w:val="21"/>
          <w:highlight w:val="none"/>
        </w:rPr>
        <w:t>本合同的订立、效力、解释、履行及争议解决，适用中华人民共和国法律。</w:t>
      </w:r>
    </w:p>
    <w:p w14:paraId="7D3B228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14.2 </w:t>
      </w:r>
      <w:r>
        <w:rPr>
          <w:rFonts w:hint="eastAsia" w:hAnsi="宋体" w:cs="宋体"/>
          <w:color w:val="auto"/>
          <w:sz w:val="21"/>
          <w:szCs w:val="21"/>
          <w:highlight w:val="none"/>
        </w:rPr>
        <w:t>因本合同引起的或者与本合同有关的任何争议，双方应首先友好协商解决；协商不成的，任何一方均有权向甲方所在地有管辖权的人民法院提起诉讼。</w:t>
      </w:r>
    </w:p>
    <w:p w14:paraId="5600F92E">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14.3 </w:t>
      </w:r>
      <w:r>
        <w:rPr>
          <w:rFonts w:hint="eastAsia" w:hAnsi="宋体" w:cs="宋体"/>
          <w:color w:val="auto"/>
          <w:sz w:val="21"/>
          <w:szCs w:val="21"/>
          <w:highlight w:val="none"/>
        </w:rPr>
        <w:t>争议解决期间，除争议事项外，双方应继续履行本合同其他条款。</w:t>
      </w:r>
    </w:p>
    <w:p w14:paraId="7DC19C4A">
      <w:pPr>
        <w:pStyle w:val="14"/>
        <w:adjustRightInd w:val="0"/>
        <w:snapToGrid w:val="0"/>
        <w:ind w:firstLine="420"/>
        <w:rPr>
          <w:rFonts w:hAnsi="宋体" w:cs="宋体"/>
          <w:b/>
          <w:bCs/>
          <w:color w:val="auto"/>
          <w:sz w:val="21"/>
          <w:szCs w:val="21"/>
          <w:highlight w:val="none"/>
        </w:rPr>
      </w:pPr>
      <w:r>
        <w:rPr>
          <w:rFonts w:hint="eastAsia" w:hAnsi="宋体" w:cs="宋体"/>
          <w:b/>
          <w:bCs/>
          <w:color w:val="auto"/>
          <w:sz w:val="21"/>
          <w:szCs w:val="21"/>
          <w:highlight w:val="none"/>
        </w:rPr>
        <w:t>第十五条</w:t>
      </w:r>
      <w:r>
        <w:rPr>
          <w:rFonts w:hAnsi="宋体" w:cs="宋体"/>
          <w:b/>
          <w:bCs/>
          <w:color w:val="auto"/>
          <w:sz w:val="21"/>
          <w:szCs w:val="21"/>
          <w:highlight w:val="none"/>
        </w:rPr>
        <w:t xml:space="preserve"> </w:t>
      </w:r>
      <w:r>
        <w:rPr>
          <w:rFonts w:hint="eastAsia" w:hAnsi="宋体" w:cs="宋体"/>
          <w:b/>
          <w:bCs/>
          <w:color w:val="auto"/>
          <w:sz w:val="21"/>
          <w:szCs w:val="21"/>
          <w:highlight w:val="none"/>
        </w:rPr>
        <w:t xml:space="preserve"> 其他约定</w:t>
      </w:r>
    </w:p>
    <w:p w14:paraId="6C2C6F8E">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15.1 </w:t>
      </w:r>
      <w:r>
        <w:rPr>
          <w:rFonts w:hint="eastAsia" w:hAnsi="宋体" w:cs="宋体"/>
          <w:color w:val="auto"/>
          <w:sz w:val="21"/>
          <w:szCs w:val="21"/>
          <w:highlight w:val="none"/>
        </w:rPr>
        <w:t>通知与送达：双方可以当面直接送达，也可以按本合同首部载明的联系地址、电话（微信）、电子邮箱送达。一方变更联系方式的，应提前五日书面通知对方。按上述地址以邮寄方式发出的通知，自发出之日起第三日视为送达；以电子邮件、短信、微信等方式发出的，发送成功即视为送达。</w:t>
      </w:r>
    </w:p>
    <w:p w14:paraId="329FFABF">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15.2 </w:t>
      </w:r>
      <w:r>
        <w:rPr>
          <w:rFonts w:hint="eastAsia" w:hAnsi="宋体" w:cs="宋体"/>
          <w:color w:val="auto"/>
          <w:sz w:val="21"/>
          <w:szCs w:val="21"/>
          <w:highlight w:val="none"/>
        </w:rPr>
        <w:t>合同变更：本合同的任何变更、补充，须经双方协商一致并签订书面补充合同。补充合同与本合同具有同等法律效力；补充合同与本合同不一致的，以补充合同为准。</w:t>
      </w:r>
    </w:p>
    <w:p w14:paraId="1303C22A">
      <w:pPr>
        <w:pStyle w:val="14"/>
        <w:adjustRightInd w:val="0"/>
        <w:snapToGrid w:val="0"/>
        <w:ind w:firstLine="420"/>
        <w:rPr>
          <w:rFonts w:hint="eastAsia" w:hAnsi="宋体" w:cs="宋体"/>
          <w:color w:val="auto"/>
          <w:sz w:val="21"/>
          <w:szCs w:val="21"/>
          <w:highlight w:val="none"/>
        </w:rPr>
      </w:pPr>
      <w:r>
        <w:rPr>
          <w:rFonts w:hAnsi="宋体" w:cs="宋体"/>
          <w:color w:val="auto"/>
          <w:sz w:val="21"/>
          <w:szCs w:val="21"/>
          <w:highlight w:val="none"/>
        </w:rPr>
        <w:t xml:space="preserve">15.3 </w:t>
      </w:r>
      <w:r>
        <w:rPr>
          <w:rFonts w:hint="eastAsia" w:hAnsi="宋体" w:cs="宋体"/>
          <w:color w:val="auto"/>
          <w:sz w:val="21"/>
          <w:szCs w:val="21"/>
          <w:highlight w:val="none"/>
        </w:rPr>
        <w:t>合同附件：下列附件为本合同不可分割的组成部分，与本合同具有同等法律效力：</w:t>
      </w:r>
    </w:p>
    <w:p w14:paraId="23DED1C9">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附件</w:t>
      </w:r>
      <w:r>
        <w:rPr>
          <w:rFonts w:hint="eastAsia" w:hAnsi="宋体" w:cs="宋体"/>
          <w:b/>
          <w:color w:val="auto"/>
          <w:sz w:val="21"/>
          <w:szCs w:val="21"/>
          <w:highlight w:val="none"/>
        </w:rPr>
        <w:t>1</w:t>
      </w:r>
      <w:r>
        <w:rPr>
          <w:rFonts w:hint="eastAsia" w:hAnsi="宋体" w:cs="宋体"/>
          <w:color w:val="auto"/>
          <w:sz w:val="21"/>
          <w:szCs w:val="21"/>
          <w:highlight w:val="none"/>
        </w:rPr>
        <w:t>：《资产移交清单》</w:t>
      </w:r>
    </w:p>
    <w:p w14:paraId="2BA335B6">
      <w:pPr>
        <w:pStyle w:val="14"/>
        <w:adjustRightInd w:val="0"/>
        <w:snapToGrid w:val="0"/>
        <w:ind w:firstLine="420"/>
        <w:rPr>
          <w:rFonts w:hint="eastAsia" w:hAnsi="宋体" w:cs="宋体"/>
          <w:color w:val="auto"/>
          <w:sz w:val="21"/>
          <w:szCs w:val="21"/>
          <w:highlight w:val="none"/>
        </w:rPr>
      </w:pPr>
      <w:r>
        <w:rPr>
          <w:rFonts w:hint="eastAsia" w:hAnsi="宋体" w:cs="宋体"/>
          <w:color w:val="auto"/>
          <w:sz w:val="21"/>
          <w:szCs w:val="21"/>
          <w:highlight w:val="none"/>
        </w:rPr>
        <w:t>附件</w:t>
      </w:r>
      <w:r>
        <w:rPr>
          <w:rFonts w:hint="eastAsia" w:hAnsi="宋体" w:cs="宋体"/>
          <w:b/>
          <w:color w:val="auto"/>
          <w:sz w:val="21"/>
          <w:szCs w:val="21"/>
          <w:highlight w:val="none"/>
        </w:rPr>
        <w:t>2</w:t>
      </w:r>
      <w:r>
        <w:rPr>
          <w:rFonts w:hint="eastAsia" w:hAnsi="宋体" w:cs="宋体"/>
          <w:color w:val="auto"/>
          <w:sz w:val="21"/>
          <w:szCs w:val="21"/>
          <w:highlight w:val="none"/>
        </w:rPr>
        <w:t>：《运营考核指标表》</w:t>
      </w:r>
    </w:p>
    <w:p w14:paraId="0B0D85CB">
      <w:pPr>
        <w:pStyle w:val="14"/>
        <w:adjustRightInd w:val="0"/>
        <w:snapToGrid w:val="0"/>
        <w:ind w:firstLine="420"/>
        <w:rPr>
          <w:rFonts w:hAnsi="宋体" w:cs="宋体"/>
          <w:color w:val="auto"/>
          <w:sz w:val="21"/>
          <w:szCs w:val="21"/>
          <w:highlight w:val="none"/>
        </w:rPr>
      </w:pPr>
      <w:r>
        <w:rPr>
          <w:rFonts w:hint="eastAsia" w:hAnsi="宋体" w:cs="宋体"/>
          <w:color w:val="auto"/>
          <w:sz w:val="21"/>
          <w:szCs w:val="21"/>
          <w:highlight w:val="none"/>
        </w:rPr>
        <w:t>附件</w:t>
      </w:r>
      <w:r>
        <w:rPr>
          <w:rFonts w:hint="eastAsia" w:hAnsi="宋体" w:cs="宋体"/>
          <w:b/>
          <w:color w:val="auto"/>
          <w:sz w:val="21"/>
          <w:szCs w:val="21"/>
          <w:highlight w:val="none"/>
          <w:lang w:val="en-US" w:eastAsia="zh-CN"/>
        </w:rPr>
        <w:t>3</w:t>
      </w:r>
      <w:r>
        <w:rPr>
          <w:rFonts w:hint="eastAsia" w:hAnsi="宋体" w:cs="宋体"/>
          <w:color w:val="auto"/>
          <w:sz w:val="21"/>
          <w:szCs w:val="21"/>
          <w:highlight w:val="none"/>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运营年度考核表</w:t>
      </w:r>
      <w:r>
        <w:rPr>
          <w:rFonts w:hint="eastAsia" w:ascii="宋体" w:hAnsi="宋体" w:eastAsia="宋体" w:cs="宋体"/>
          <w:color w:val="auto"/>
          <w:sz w:val="21"/>
          <w:szCs w:val="21"/>
          <w:highlight w:val="none"/>
        </w:rPr>
        <w:t>》</w:t>
      </w:r>
    </w:p>
    <w:p w14:paraId="1718CC8B">
      <w:pPr>
        <w:pStyle w:val="14"/>
        <w:adjustRightInd w:val="0"/>
        <w:snapToGrid w:val="0"/>
        <w:ind w:firstLine="420"/>
        <w:rPr>
          <w:rFonts w:hint="eastAsia" w:hAnsi="宋体" w:cs="宋体"/>
          <w:color w:val="auto"/>
          <w:sz w:val="21"/>
          <w:szCs w:val="21"/>
          <w:highlight w:val="none"/>
        </w:rPr>
      </w:pPr>
      <w:r>
        <w:rPr>
          <w:rFonts w:hint="eastAsia" w:hAnsi="宋体" w:cs="宋体"/>
          <w:color w:val="auto"/>
          <w:sz w:val="21"/>
          <w:szCs w:val="21"/>
          <w:highlight w:val="none"/>
        </w:rPr>
        <w:t>附件</w:t>
      </w:r>
      <w:r>
        <w:rPr>
          <w:rFonts w:hint="eastAsia" w:hAnsi="宋体" w:cs="宋体"/>
          <w:b/>
          <w:color w:val="auto"/>
          <w:sz w:val="21"/>
          <w:szCs w:val="21"/>
          <w:highlight w:val="none"/>
          <w:lang w:val="en-US" w:eastAsia="zh-CN"/>
        </w:rPr>
        <w:t>4</w:t>
      </w:r>
      <w:r>
        <w:rPr>
          <w:rFonts w:hint="eastAsia" w:hAnsi="宋体" w:cs="宋体"/>
          <w:color w:val="auto"/>
          <w:sz w:val="21"/>
          <w:szCs w:val="21"/>
          <w:highlight w:val="none"/>
        </w:rPr>
        <w:t>：《资产返还确认书》</w:t>
      </w:r>
    </w:p>
    <w:p w14:paraId="5C318AB2">
      <w:pPr>
        <w:pStyle w:val="14"/>
        <w:adjustRightInd w:val="0"/>
        <w:snapToGrid w:val="0"/>
        <w:ind w:firstLine="420"/>
        <w:rPr>
          <w:rFonts w:hint="eastAsia" w:hAnsi="宋体" w:cs="宋体"/>
          <w:color w:val="auto"/>
          <w:sz w:val="21"/>
          <w:szCs w:val="21"/>
          <w:highlight w:val="none"/>
        </w:rPr>
      </w:pPr>
      <w:r>
        <w:rPr>
          <w:rFonts w:hint="eastAsia" w:hAnsi="宋体" w:cs="宋体"/>
          <w:color w:val="auto"/>
          <w:sz w:val="21"/>
          <w:szCs w:val="21"/>
          <w:highlight w:val="none"/>
        </w:rPr>
        <w:t>附件</w:t>
      </w:r>
      <w:r>
        <w:rPr>
          <w:rFonts w:hint="eastAsia" w:hAnsi="宋体" w:cs="宋体"/>
          <w:b/>
          <w:color w:val="auto"/>
          <w:sz w:val="21"/>
          <w:szCs w:val="21"/>
          <w:highlight w:val="none"/>
          <w:lang w:val="en-US" w:eastAsia="zh-CN"/>
        </w:rPr>
        <w:t>5</w:t>
      </w:r>
      <w:r>
        <w:rPr>
          <w:rFonts w:hint="eastAsia" w:hAnsi="宋体" w:cs="宋体"/>
          <w:color w:val="auto"/>
          <w:sz w:val="21"/>
          <w:szCs w:val="21"/>
          <w:highlight w:val="none"/>
        </w:rPr>
        <w:t>：乙方投资改造方案及预算（经甲方审核确认）以及乙方营业执照、养老机构备案证明、资质证书复印件等资料。</w:t>
      </w:r>
    </w:p>
    <w:p w14:paraId="247648C6">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15.4 </w:t>
      </w:r>
      <w:r>
        <w:rPr>
          <w:rFonts w:hint="eastAsia" w:hAnsi="宋体" w:cs="宋体"/>
          <w:color w:val="auto"/>
          <w:sz w:val="21"/>
          <w:szCs w:val="21"/>
          <w:highlight w:val="none"/>
        </w:rPr>
        <w:t>保密条款：双方对在合作过程中知悉的对方商业秘密、入住老年人个人信息等负有保密义务，未经对方书面同意不得向第三方披露或者泄露，法律法规另有规定的除外。保密义务不因合同终止而免除。</w:t>
      </w:r>
    </w:p>
    <w:p w14:paraId="20975E57">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15.5 </w:t>
      </w:r>
      <w:r>
        <w:rPr>
          <w:rFonts w:hint="eastAsia" w:hAnsi="宋体" w:cs="宋体"/>
          <w:color w:val="auto"/>
          <w:sz w:val="21"/>
          <w:szCs w:val="21"/>
          <w:highlight w:val="none"/>
        </w:rPr>
        <w:t>合同生效：本合同自甲乙双方法定代表人或者授权代表签字并加盖公章之日起生效。本合同一式四份，甲乙双方各执二份，具有同等法律效力。</w:t>
      </w:r>
    </w:p>
    <w:p w14:paraId="12003926">
      <w:pPr>
        <w:pStyle w:val="14"/>
        <w:adjustRightInd w:val="0"/>
        <w:snapToGrid w:val="0"/>
        <w:ind w:firstLine="420"/>
        <w:rPr>
          <w:rFonts w:hAnsi="宋体" w:cs="宋体"/>
          <w:color w:val="auto"/>
          <w:sz w:val="21"/>
          <w:szCs w:val="21"/>
          <w:highlight w:val="none"/>
        </w:rPr>
      </w:pPr>
      <w:r>
        <w:rPr>
          <w:rFonts w:hAnsi="宋体" w:cs="宋体"/>
          <w:color w:val="auto"/>
          <w:sz w:val="21"/>
          <w:szCs w:val="21"/>
          <w:highlight w:val="none"/>
        </w:rPr>
        <w:t xml:space="preserve">15.6 </w:t>
      </w:r>
      <w:r>
        <w:rPr>
          <w:rFonts w:hint="eastAsia" w:hAnsi="宋体" w:cs="宋体"/>
          <w:color w:val="auto"/>
          <w:sz w:val="21"/>
          <w:szCs w:val="21"/>
          <w:highlight w:val="none"/>
        </w:rPr>
        <w:t>特别提示：甲方已就本合同全部条款向乙方作出充分说明，乙方确认已仔细阅读并完全理解本合同全部内容，特别是关于费用承担、考核退出、违约责任、争议解决等条款，乙方自愿签署本合同。</w:t>
      </w:r>
    </w:p>
    <w:p w14:paraId="60173227">
      <w:pPr>
        <w:pStyle w:val="14"/>
        <w:adjustRightInd w:val="0"/>
        <w:snapToGrid w:val="0"/>
        <w:ind w:firstLine="0" w:firstLineChars="0"/>
        <w:rPr>
          <w:rFonts w:hAnsi="宋体" w:cs="宋体"/>
          <w:color w:val="auto"/>
          <w:sz w:val="21"/>
          <w:szCs w:val="21"/>
          <w:highlight w:val="none"/>
        </w:rPr>
      </w:pPr>
    </w:p>
    <w:p w14:paraId="03AF2111">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甲方（盖章）：</w:t>
      </w:r>
    </w:p>
    <w:p w14:paraId="75017C16">
      <w:pPr>
        <w:pStyle w:val="14"/>
        <w:adjustRightInd w:val="0"/>
        <w:snapToGrid w:val="0"/>
        <w:ind w:firstLine="0" w:firstLineChars="0"/>
        <w:rPr>
          <w:rFonts w:hAnsi="宋体" w:cs="宋体"/>
          <w:color w:val="auto"/>
          <w:sz w:val="21"/>
          <w:szCs w:val="21"/>
          <w:highlight w:val="none"/>
        </w:rPr>
      </w:pPr>
      <w:r>
        <w:rPr>
          <w:rFonts w:hAnsi="宋体" w:cs="宋体"/>
          <w:color w:val="auto"/>
          <w:sz w:val="21"/>
          <w:szCs w:val="21"/>
          <w:highlight w:val="none"/>
        </w:rPr>
        <w:t xml:space="preserve"> </w:t>
      </w:r>
    </w:p>
    <w:p w14:paraId="5B97C9B3">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法定代表人</w:t>
      </w:r>
      <w:r>
        <w:rPr>
          <w:rFonts w:hAnsi="宋体" w:cs="宋体"/>
          <w:color w:val="auto"/>
          <w:sz w:val="21"/>
          <w:szCs w:val="21"/>
          <w:highlight w:val="none"/>
        </w:rPr>
        <w:t>/</w:t>
      </w:r>
      <w:r>
        <w:rPr>
          <w:rFonts w:hint="eastAsia" w:hAnsi="宋体" w:cs="宋体"/>
          <w:color w:val="auto"/>
          <w:sz w:val="21"/>
          <w:szCs w:val="21"/>
          <w:highlight w:val="none"/>
        </w:rPr>
        <w:t>授权代表（签字）：</w:t>
      </w:r>
    </w:p>
    <w:p w14:paraId="607BD366">
      <w:pPr>
        <w:pStyle w:val="14"/>
        <w:adjustRightInd w:val="0"/>
        <w:snapToGrid w:val="0"/>
        <w:ind w:firstLine="0" w:firstLineChars="0"/>
        <w:rPr>
          <w:rFonts w:hAnsi="宋体" w:cs="宋体"/>
          <w:color w:val="auto"/>
          <w:sz w:val="21"/>
          <w:szCs w:val="21"/>
          <w:highlight w:val="none"/>
        </w:rPr>
      </w:pPr>
    </w:p>
    <w:p w14:paraId="6ED1B7F5">
      <w:pPr>
        <w:pStyle w:val="14"/>
        <w:adjustRightInd w:val="0"/>
        <w:snapToGrid w:val="0"/>
        <w:ind w:firstLine="0" w:firstLineChars="0"/>
        <w:rPr>
          <w:rFonts w:hAnsi="宋体" w:cs="宋体"/>
          <w:color w:val="auto"/>
          <w:sz w:val="21"/>
          <w:szCs w:val="21"/>
          <w:highlight w:val="none"/>
        </w:rPr>
      </w:pPr>
      <w:bookmarkStart w:id="30" w:name="OLE_LINK33"/>
      <w:r>
        <w:rPr>
          <w:rFonts w:hint="eastAsia" w:hAnsi="宋体" w:cs="宋体"/>
          <w:color w:val="auto"/>
          <w:sz w:val="21"/>
          <w:szCs w:val="21"/>
          <w:highlight w:val="none"/>
        </w:rPr>
        <w:t>日期：       年    月    日</w:t>
      </w:r>
    </w:p>
    <w:bookmarkEnd w:id="30"/>
    <w:p w14:paraId="48306CF7">
      <w:pPr>
        <w:pStyle w:val="14"/>
        <w:adjustRightInd w:val="0"/>
        <w:snapToGrid w:val="0"/>
        <w:ind w:firstLine="0" w:firstLineChars="0"/>
        <w:rPr>
          <w:rFonts w:hAnsi="宋体" w:cs="宋体"/>
          <w:color w:val="auto"/>
          <w:sz w:val="21"/>
          <w:szCs w:val="21"/>
          <w:highlight w:val="none"/>
        </w:rPr>
      </w:pPr>
    </w:p>
    <w:p w14:paraId="3A8CA1FE">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乙方（盖章）：</w:t>
      </w:r>
    </w:p>
    <w:p w14:paraId="6099DBA2">
      <w:pPr>
        <w:pStyle w:val="14"/>
        <w:adjustRightInd w:val="0"/>
        <w:snapToGrid w:val="0"/>
        <w:ind w:firstLine="0" w:firstLineChars="0"/>
        <w:rPr>
          <w:rFonts w:hint="eastAsia" w:hAnsi="宋体" w:cs="宋体"/>
          <w:color w:val="auto"/>
          <w:sz w:val="21"/>
          <w:szCs w:val="21"/>
          <w:highlight w:val="none"/>
        </w:rPr>
      </w:pPr>
    </w:p>
    <w:p w14:paraId="5C8CDEB1">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法定代表人</w:t>
      </w:r>
      <w:r>
        <w:rPr>
          <w:rFonts w:hAnsi="宋体" w:cs="宋体"/>
          <w:color w:val="auto"/>
          <w:sz w:val="21"/>
          <w:szCs w:val="21"/>
          <w:highlight w:val="none"/>
        </w:rPr>
        <w:t>/</w:t>
      </w:r>
      <w:r>
        <w:rPr>
          <w:rFonts w:hint="eastAsia" w:hAnsi="宋体" w:cs="宋体"/>
          <w:color w:val="auto"/>
          <w:sz w:val="21"/>
          <w:szCs w:val="21"/>
          <w:highlight w:val="none"/>
        </w:rPr>
        <w:t>授权代表（签字）：</w:t>
      </w:r>
    </w:p>
    <w:p w14:paraId="0CCB6905">
      <w:pPr>
        <w:pStyle w:val="14"/>
        <w:adjustRightInd w:val="0"/>
        <w:snapToGrid w:val="0"/>
        <w:ind w:firstLine="0" w:firstLineChars="0"/>
        <w:rPr>
          <w:rFonts w:hAnsi="宋体" w:cs="宋体"/>
          <w:color w:val="auto"/>
          <w:sz w:val="21"/>
          <w:szCs w:val="21"/>
          <w:highlight w:val="none"/>
        </w:rPr>
      </w:pPr>
    </w:p>
    <w:p w14:paraId="5C84AF5F">
      <w:pPr>
        <w:pStyle w:val="14"/>
        <w:adjustRightInd w:val="0"/>
        <w:snapToGrid w:val="0"/>
        <w:ind w:firstLine="0" w:firstLineChars="0"/>
        <w:rPr>
          <w:rFonts w:hint="eastAsia" w:hAnsi="宋体" w:cs="宋体"/>
          <w:color w:val="auto"/>
          <w:sz w:val="21"/>
          <w:szCs w:val="21"/>
          <w:highlight w:val="none"/>
        </w:rPr>
      </w:pPr>
      <w:r>
        <w:rPr>
          <w:rFonts w:hint="eastAsia" w:hAnsi="宋体" w:cs="宋体"/>
          <w:color w:val="auto"/>
          <w:sz w:val="21"/>
          <w:szCs w:val="21"/>
          <w:highlight w:val="none"/>
        </w:rPr>
        <w:t>日期：       年    月    日</w:t>
      </w:r>
      <w:bookmarkEnd w:id="0"/>
    </w:p>
    <w:p w14:paraId="0052C3E7">
      <w:pPr>
        <w:pStyle w:val="14"/>
        <w:adjustRightInd w:val="0"/>
        <w:snapToGrid w:val="0"/>
        <w:ind w:firstLine="0" w:firstLineChars="0"/>
        <w:rPr>
          <w:rFonts w:hint="eastAsia" w:hAnsi="宋体" w:cs="宋体"/>
          <w:color w:val="auto"/>
          <w:sz w:val="21"/>
          <w:szCs w:val="21"/>
          <w:highlight w:val="none"/>
        </w:rPr>
      </w:pPr>
    </w:p>
    <w:p w14:paraId="7F069C45">
      <w:pPr>
        <w:pStyle w:val="14"/>
        <w:adjustRightInd w:val="0"/>
        <w:snapToGrid w:val="0"/>
        <w:ind w:firstLine="0" w:firstLineChars="0"/>
        <w:rPr>
          <w:rFonts w:hint="eastAsia" w:hAnsi="宋体" w:cs="宋体"/>
          <w:color w:val="auto"/>
          <w:sz w:val="21"/>
          <w:szCs w:val="21"/>
          <w:highlight w:val="none"/>
        </w:rPr>
      </w:pPr>
    </w:p>
    <w:p w14:paraId="3B288303">
      <w:pPr>
        <w:pStyle w:val="14"/>
        <w:adjustRightInd w:val="0"/>
        <w:snapToGrid w:val="0"/>
        <w:ind w:firstLine="0" w:firstLineChars="0"/>
        <w:rPr>
          <w:rFonts w:hint="eastAsia" w:hAnsi="宋体" w:cs="宋体"/>
          <w:color w:val="auto"/>
          <w:sz w:val="21"/>
          <w:szCs w:val="21"/>
          <w:highlight w:val="none"/>
        </w:rPr>
      </w:pPr>
    </w:p>
    <w:p w14:paraId="6D16192E">
      <w:pPr>
        <w:pStyle w:val="14"/>
        <w:adjustRightInd w:val="0"/>
        <w:snapToGrid w:val="0"/>
        <w:ind w:firstLine="0" w:firstLineChars="0"/>
        <w:rPr>
          <w:rFonts w:hint="eastAsia" w:hAnsi="宋体" w:cs="宋体"/>
          <w:color w:val="auto"/>
          <w:sz w:val="21"/>
          <w:szCs w:val="21"/>
          <w:highlight w:val="none"/>
        </w:rPr>
      </w:pPr>
    </w:p>
    <w:p w14:paraId="28F3CC04">
      <w:pPr>
        <w:rPr>
          <w:rFonts w:ascii="Times New Roman" w:hAnsi="Times New Roman" w:eastAsia="黑体"/>
          <w:b/>
          <w:color w:val="auto"/>
          <w:sz w:val="30"/>
          <w:highlight w:val="none"/>
        </w:rPr>
      </w:pPr>
      <w:r>
        <w:rPr>
          <w:rFonts w:ascii="Times New Roman" w:hAnsi="Times New Roman" w:eastAsia="黑体"/>
          <w:b/>
          <w:color w:val="auto"/>
          <w:sz w:val="30"/>
          <w:highlight w:val="none"/>
        </w:rPr>
        <w:br w:type="page"/>
      </w:r>
    </w:p>
    <w:p w14:paraId="5377D0F2">
      <w:pPr>
        <w:spacing w:before="0" w:after="40" w:line="312" w:lineRule="auto"/>
        <w:jc w:val="left"/>
        <w:rPr>
          <w:color w:val="auto"/>
          <w:highlight w:val="none"/>
        </w:rPr>
      </w:pPr>
      <w:r>
        <w:rPr>
          <w:rFonts w:ascii="Times New Roman" w:hAnsi="Times New Roman" w:eastAsia="黑体"/>
          <w:b/>
          <w:color w:val="auto"/>
          <w:sz w:val="30"/>
          <w:highlight w:val="none"/>
        </w:rPr>
        <w:t>附件1：</w:t>
      </w:r>
    </w:p>
    <w:p w14:paraId="181C1DE6">
      <w:pPr>
        <w:spacing w:before="0" w:after="200" w:line="312" w:lineRule="auto"/>
        <w:jc w:val="center"/>
        <w:rPr>
          <w:color w:val="auto"/>
          <w:highlight w:val="none"/>
        </w:rPr>
      </w:pPr>
      <w:r>
        <w:rPr>
          <w:rFonts w:ascii="Times New Roman" w:hAnsi="Times New Roman" w:eastAsia="黑体"/>
          <w:b/>
          <w:color w:val="auto"/>
          <w:sz w:val="30"/>
          <w:highlight w:val="none"/>
        </w:rPr>
        <w:t>《资产移交清单》</w:t>
      </w:r>
    </w:p>
    <w:p w14:paraId="52638381">
      <w:pPr>
        <w:spacing w:before="0" w:after="40" w:line="312" w:lineRule="auto"/>
        <w:jc w:val="left"/>
        <w:rPr>
          <w:color w:val="auto"/>
          <w:highlight w:val="none"/>
        </w:rPr>
      </w:pPr>
      <w:r>
        <w:rPr>
          <w:rFonts w:ascii="Times New Roman" w:hAnsi="Times New Roman" w:eastAsia="宋体"/>
          <w:b w:val="0"/>
          <w:color w:val="auto"/>
          <w:sz w:val="24"/>
          <w:highlight w:val="none"/>
        </w:rPr>
        <w:t>移交方（甲方）：</w:t>
      </w:r>
      <w:r>
        <w:rPr>
          <w:rFonts w:hint="eastAsia"/>
          <w:b w:val="0"/>
          <w:color w:val="auto"/>
          <w:sz w:val="24"/>
          <w:highlight w:val="none"/>
          <w:u w:val="single"/>
          <w:lang w:val="en-US" w:eastAsia="zh-CN"/>
        </w:rPr>
        <w:t xml:space="preserve">                     </w:t>
      </w:r>
      <w:r>
        <w:rPr>
          <w:rFonts w:ascii="Times New Roman" w:hAnsi="Times New Roman" w:eastAsia="宋体"/>
          <w:b w:val="0"/>
          <w:color w:val="auto"/>
          <w:sz w:val="24"/>
          <w:highlight w:val="none"/>
        </w:rPr>
        <w:t>（采购人／资产提供方）</w:t>
      </w:r>
    </w:p>
    <w:p w14:paraId="42B258C3">
      <w:pPr>
        <w:spacing w:before="0" w:after="120" w:line="312" w:lineRule="auto"/>
        <w:jc w:val="left"/>
        <w:rPr>
          <w:color w:val="auto"/>
          <w:highlight w:val="none"/>
        </w:rPr>
      </w:pPr>
      <w:r>
        <w:rPr>
          <w:rFonts w:ascii="Times New Roman" w:hAnsi="Times New Roman" w:eastAsia="宋体"/>
          <w:b w:val="0"/>
          <w:color w:val="auto"/>
          <w:sz w:val="24"/>
          <w:highlight w:val="none"/>
        </w:rPr>
        <w:t>接收方（乙方）：＿＿＿＿＿＿＿＿＿＿＿＿＿＿＿＿（成交商／运营合作方）</w:t>
      </w:r>
    </w:p>
    <w:p w14:paraId="558D46BE">
      <w:pPr>
        <w:spacing w:before="0" w:after="160" w:line="312" w:lineRule="auto"/>
        <w:jc w:val="left"/>
        <w:rPr>
          <w:color w:val="auto"/>
          <w:highlight w:val="none"/>
        </w:rPr>
      </w:pPr>
      <w:r>
        <w:rPr>
          <w:rFonts w:ascii="Times New Roman" w:hAnsi="Times New Roman" w:eastAsia="宋体"/>
          <w:b w:val="0"/>
          <w:color w:val="auto"/>
          <w:sz w:val="24"/>
          <w:highlight w:val="none"/>
        </w:rPr>
        <w:t>移交地点：＿＿＿＿＿＿＿＿＿＿＿ 移交日期：＿＿＿＿年＿＿月＿＿日</w:t>
      </w:r>
    </w:p>
    <w:p w14:paraId="102B2E6D">
      <w:pPr>
        <w:spacing w:before="40" w:after="80" w:line="312" w:lineRule="auto"/>
        <w:jc w:val="left"/>
        <w:rPr>
          <w:color w:val="auto"/>
          <w:highlight w:val="none"/>
        </w:rPr>
      </w:pPr>
      <w:r>
        <w:rPr>
          <w:rFonts w:ascii="Times New Roman" w:hAnsi="Times New Roman" w:eastAsia="宋体"/>
          <w:b/>
          <w:color w:val="auto"/>
          <w:sz w:val="24"/>
          <w:highlight w:val="none"/>
        </w:rPr>
        <w:t>一、合作资产范围</w:t>
      </w:r>
    </w:p>
    <w:p w14:paraId="43C7D7ED">
      <w:pPr>
        <w:spacing w:before="0" w:after="80" w:line="312" w:lineRule="auto"/>
        <w:jc w:val="left"/>
        <w:rPr>
          <w:color w:val="auto"/>
          <w:highlight w:val="none"/>
        </w:rPr>
      </w:pPr>
      <w:r>
        <w:rPr>
          <w:rFonts w:ascii="Times New Roman" w:hAnsi="Times New Roman" w:eastAsia="宋体"/>
          <w:b w:val="0"/>
          <w:color w:val="auto"/>
          <w:sz w:val="24"/>
          <w:highlight w:val="none"/>
        </w:rPr>
        <w:t>依据《林坊卫生院养老项目合作运营合同》第1.1—1.4条，本次移交合作资产为下列两处资产及其附属设施设备，按现状交付：</w:t>
      </w:r>
    </w:p>
    <w:p w14:paraId="71F9B27D">
      <w:pPr>
        <w:spacing w:before="0" w:after="40" w:line="312" w:lineRule="auto"/>
        <w:ind w:firstLine="480"/>
        <w:jc w:val="left"/>
        <w:rPr>
          <w:color w:val="auto"/>
          <w:highlight w:val="none"/>
        </w:rPr>
      </w:pPr>
      <w:r>
        <w:rPr>
          <w:rFonts w:ascii="Times New Roman" w:hAnsi="Times New Roman" w:eastAsia="宋体"/>
          <w:b w:val="0"/>
          <w:color w:val="auto"/>
          <w:sz w:val="24"/>
          <w:highlight w:val="none"/>
        </w:rPr>
        <w:t>1. 老卫生院综合楼：位于连城县林坊镇大梨村，建筑面积729平方米，设计床位28张，已配置床位等设备设施，现进行试运营；</w:t>
      </w:r>
    </w:p>
    <w:p w14:paraId="31EE93F2">
      <w:pPr>
        <w:spacing w:before="0" w:after="120" w:line="312" w:lineRule="auto"/>
        <w:ind w:firstLine="480"/>
        <w:jc w:val="left"/>
        <w:rPr>
          <w:color w:val="auto"/>
          <w:highlight w:val="none"/>
        </w:rPr>
      </w:pPr>
      <w:r>
        <w:rPr>
          <w:rFonts w:ascii="Times New Roman" w:hAnsi="Times New Roman" w:eastAsia="宋体"/>
          <w:b w:val="0"/>
          <w:color w:val="auto"/>
          <w:sz w:val="24"/>
          <w:highlight w:val="none"/>
        </w:rPr>
        <w:t>2. 新卫生院医养结合病房楼：位于连城县林坊镇林塘村新林路152号，建筑面积2992.23平方米，已完成基础装修，预计设计床位88张。</w:t>
      </w:r>
    </w:p>
    <w:p w14:paraId="3222AAD4">
      <w:pPr>
        <w:spacing w:before="0" w:after="80" w:line="312" w:lineRule="auto"/>
        <w:jc w:val="left"/>
        <w:rPr>
          <w:color w:val="auto"/>
          <w:highlight w:val="none"/>
        </w:rPr>
      </w:pPr>
      <w:r>
        <w:rPr>
          <w:rFonts w:ascii="Times New Roman" w:hAnsi="Times New Roman" w:eastAsia="宋体"/>
          <w:b/>
          <w:color w:val="auto"/>
          <w:sz w:val="24"/>
          <w:highlight w:val="none"/>
        </w:rPr>
        <w:t>二、移交资产逐项清点表</w:t>
      </w:r>
    </w:p>
    <w:p w14:paraId="20AFA02F">
      <w:pPr>
        <w:spacing w:before="0" w:after="80" w:line="312" w:lineRule="auto"/>
        <w:jc w:val="left"/>
        <w:rPr>
          <w:color w:val="auto"/>
          <w:highlight w:val="none"/>
        </w:rPr>
      </w:pPr>
      <w:r>
        <w:rPr>
          <w:rFonts w:ascii="Times New Roman" w:hAnsi="Times New Roman" w:eastAsia="宋体"/>
          <w:b w:val="0"/>
          <w:color w:val="auto"/>
          <w:sz w:val="21"/>
          <w:highlight w:val="none"/>
        </w:rPr>
        <w:t>（本表可另附页，逐项填写；型号、数量以双方现场清点核实为准。）</w:t>
      </w:r>
    </w:p>
    <w:tbl>
      <w:tblPr>
        <w:tblStyle w:val="15"/>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56"/>
        <w:gridCol w:w="2230"/>
        <w:gridCol w:w="1393"/>
        <w:gridCol w:w="660"/>
        <w:gridCol w:w="660"/>
        <w:gridCol w:w="1184"/>
        <w:gridCol w:w="1184"/>
        <w:gridCol w:w="1081"/>
      </w:tblGrid>
      <w:tr w14:paraId="0A212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shd w:val="clear" w:color="auto" w:fill="D9D9D9"/>
            <w:noWrap w:val="0"/>
            <w:vAlign w:val="top"/>
          </w:tcPr>
          <w:p w14:paraId="62BAD50F">
            <w:pPr>
              <w:jc w:val="center"/>
              <w:rPr>
                <w:color w:val="auto"/>
                <w:highlight w:val="none"/>
              </w:rPr>
            </w:pPr>
            <w:r>
              <w:rPr>
                <w:rFonts w:ascii="Times New Roman" w:hAnsi="Times New Roman" w:eastAsia="宋体"/>
                <w:b/>
                <w:color w:val="auto"/>
                <w:sz w:val="21"/>
                <w:highlight w:val="none"/>
              </w:rPr>
              <w:t>序号</w:t>
            </w:r>
          </w:p>
        </w:tc>
        <w:tc>
          <w:tcPr>
            <w:tcW w:w="2381" w:type="dxa"/>
            <w:shd w:val="clear" w:color="auto" w:fill="D9D9D9"/>
            <w:noWrap w:val="0"/>
            <w:vAlign w:val="top"/>
          </w:tcPr>
          <w:p w14:paraId="5FEAF00A">
            <w:pPr>
              <w:jc w:val="center"/>
              <w:rPr>
                <w:color w:val="auto"/>
                <w:highlight w:val="none"/>
              </w:rPr>
            </w:pPr>
            <w:r>
              <w:rPr>
                <w:rFonts w:ascii="Times New Roman" w:hAnsi="Times New Roman" w:eastAsia="宋体"/>
                <w:b/>
                <w:color w:val="auto"/>
                <w:sz w:val="21"/>
                <w:highlight w:val="none"/>
              </w:rPr>
              <w:t>资产名称</w:t>
            </w:r>
          </w:p>
        </w:tc>
        <w:tc>
          <w:tcPr>
            <w:tcW w:w="1474" w:type="dxa"/>
            <w:shd w:val="clear" w:color="auto" w:fill="D9D9D9"/>
            <w:noWrap w:val="0"/>
            <w:vAlign w:val="top"/>
          </w:tcPr>
          <w:p w14:paraId="10B72F78">
            <w:pPr>
              <w:jc w:val="center"/>
              <w:rPr>
                <w:color w:val="auto"/>
                <w:highlight w:val="none"/>
              </w:rPr>
            </w:pPr>
            <w:r>
              <w:rPr>
                <w:rFonts w:ascii="Times New Roman" w:hAnsi="Times New Roman" w:eastAsia="宋体"/>
                <w:b/>
                <w:color w:val="auto"/>
                <w:sz w:val="21"/>
                <w:highlight w:val="none"/>
              </w:rPr>
              <w:t>规格/型号</w:t>
            </w:r>
          </w:p>
        </w:tc>
        <w:tc>
          <w:tcPr>
            <w:tcW w:w="680" w:type="dxa"/>
            <w:shd w:val="clear" w:color="auto" w:fill="D9D9D9"/>
            <w:noWrap w:val="0"/>
            <w:vAlign w:val="top"/>
          </w:tcPr>
          <w:p w14:paraId="44D427FA">
            <w:pPr>
              <w:jc w:val="center"/>
              <w:rPr>
                <w:color w:val="auto"/>
                <w:highlight w:val="none"/>
              </w:rPr>
            </w:pPr>
            <w:r>
              <w:rPr>
                <w:rFonts w:ascii="Times New Roman" w:hAnsi="Times New Roman" w:eastAsia="宋体"/>
                <w:b/>
                <w:color w:val="auto"/>
                <w:sz w:val="21"/>
                <w:highlight w:val="none"/>
              </w:rPr>
              <w:t>单位</w:t>
            </w:r>
          </w:p>
        </w:tc>
        <w:tc>
          <w:tcPr>
            <w:tcW w:w="680" w:type="dxa"/>
            <w:shd w:val="clear" w:color="auto" w:fill="D9D9D9"/>
            <w:noWrap w:val="0"/>
            <w:vAlign w:val="top"/>
          </w:tcPr>
          <w:p w14:paraId="76D8ED64">
            <w:pPr>
              <w:jc w:val="center"/>
              <w:rPr>
                <w:color w:val="auto"/>
                <w:highlight w:val="none"/>
              </w:rPr>
            </w:pPr>
            <w:r>
              <w:rPr>
                <w:rFonts w:ascii="Times New Roman" w:hAnsi="Times New Roman" w:eastAsia="宋体"/>
                <w:b/>
                <w:color w:val="auto"/>
                <w:sz w:val="21"/>
                <w:highlight w:val="none"/>
              </w:rPr>
              <w:t>数量</w:t>
            </w:r>
          </w:p>
        </w:tc>
        <w:tc>
          <w:tcPr>
            <w:tcW w:w="1247" w:type="dxa"/>
            <w:shd w:val="clear" w:color="auto" w:fill="D9D9D9"/>
            <w:noWrap w:val="0"/>
            <w:vAlign w:val="top"/>
          </w:tcPr>
          <w:p w14:paraId="32D9C747">
            <w:pPr>
              <w:jc w:val="center"/>
              <w:rPr>
                <w:color w:val="auto"/>
                <w:highlight w:val="none"/>
              </w:rPr>
            </w:pPr>
            <w:r>
              <w:rPr>
                <w:rFonts w:ascii="Times New Roman" w:hAnsi="Times New Roman" w:eastAsia="宋体"/>
                <w:b/>
                <w:color w:val="auto"/>
                <w:sz w:val="21"/>
                <w:highlight w:val="none"/>
              </w:rPr>
              <w:t>资产状况</w:t>
            </w:r>
          </w:p>
        </w:tc>
        <w:tc>
          <w:tcPr>
            <w:tcW w:w="1247" w:type="dxa"/>
            <w:shd w:val="clear" w:color="auto" w:fill="D9D9D9"/>
            <w:noWrap w:val="0"/>
            <w:vAlign w:val="top"/>
          </w:tcPr>
          <w:p w14:paraId="44E3975C">
            <w:pPr>
              <w:jc w:val="center"/>
              <w:rPr>
                <w:color w:val="auto"/>
                <w:highlight w:val="none"/>
              </w:rPr>
            </w:pPr>
            <w:r>
              <w:rPr>
                <w:rFonts w:ascii="Times New Roman" w:hAnsi="Times New Roman" w:eastAsia="宋体"/>
                <w:b/>
                <w:color w:val="auto"/>
                <w:sz w:val="21"/>
                <w:highlight w:val="none"/>
              </w:rPr>
              <w:t>存放位置</w:t>
            </w:r>
          </w:p>
        </w:tc>
        <w:tc>
          <w:tcPr>
            <w:tcW w:w="1134" w:type="dxa"/>
            <w:shd w:val="clear" w:color="auto" w:fill="D9D9D9"/>
            <w:noWrap w:val="0"/>
            <w:vAlign w:val="top"/>
          </w:tcPr>
          <w:p w14:paraId="3DAAC180">
            <w:pPr>
              <w:jc w:val="center"/>
              <w:rPr>
                <w:color w:val="auto"/>
                <w:highlight w:val="none"/>
              </w:rPr>
            </w:pPr>
            <w:r>
              <w:rPr>
                <w:rFonts w:ascii="Times New Roman" w:hAnsi="Times New Roman" w:eastAsia="宋体"/>
                <w:b/>
                <w:color w:val="auto"/>
                <w:sz w:val="21"/>
                <w:highlight w:val="none"/>
              </w:rPr>
              <w:t>备注</w:t>
            </w:r>
          </w:p>
        </w:tc>
      </w:tr>
      <w:tr w14:paraId="14573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559BF326">
            <w:pPr>
              <w:jc w:val="center"/>
              <w:rPr>
                <w:color w:val="auto"/>
                <w:highlight w:val="none"/>
              </w:rPr>
            </w:pPr>
            <w:r>
              <w:rPr>
                <w:rFonts w:ascii="Times New Roman" w:hAnsi="Times New Roman" w:eastAsia="宋体"/>
                <w:b w:val="0"/>
                <w:color w:val="auto"/>
                <w:sz w:val="21"/>
                <w:highlight w:val="none"/>
              </w:rPr>
              <w:t>1</w:t>
            </w:r>
          </w:p>
        </w:tc>
        <w:tc>
          <w:tcPr>
            <w:tcW w:w="2381" w:type="dxa"/>
            <w:noWrap w:val="0"/>
            <w:vAlign w:val="top"/>
          </w:tcPr>
          <w:p w14:paraId="0871BEBE">
            <w:pPr>
              <w:jc w:val="center"/>
              <w:rPr>
                <w:color w:val="auto"/>
                <w:highlight w:val="none"/>
              </w:rPr>
            </w:pPr>
          </w:p>
        </w:tc>
        <w:tc>
          <w:tcPr>
            <w:tcW w:w="1474" w:type="dxa"/>
            <w:noWrap w:val="0"/>
            <w:vAlign w:val="top"/>
          </w:tcPr>
          <w:p w14:paraId="15FF1A15">
            <w:pPr>
              <w:jc w:val="center"/>
              <w:rPr>
                <w:color w:val="auto"/>
                <w:highlight w:val="none"/>
              </w:rPr>
            </w:pPr>
          </w:p>
        </w:tc>
        <w:tc>
          <w:tcPr>
            <w:tcW w:w="680" w:type="dxa"/>
            <w:noWrap w:val="0"/>
            <w:vAlign w:val="top"/>
          </w:tcPr>
          <w:p w14:paraId="39B7039C">
            <w:pPr>
              <w:jc w:val="center"/>
              <w:rPr>
                <w:color w:val="auto"/>
                <w:highlight w:val="none"/>
              </w:rPr>
            </w:pPr>
          </w:p>
        </w:tc>
        <w:tc>
          <w:tcPr>
            <w:tcW w:w="680" w:type="dxa"/>
            <w:noWrap w:val="0"/>
            <w:vAlign w:val="top"/>
          </w:tcPr>
          <w:p w14:paraId="725AA84B">
            <w:pPr>
              <w:jc w:val="center"/>
              <w:rPr>
                <w:color w:val="auto"/>
                <w:highlight w:val="none"/>
              </w:rPr>
            </w:pPr>
          </w:p>
        </w:tc>
        <w:tc>
          <w:tcPr>
            <w:tcW w:w="1247" w:type="dxa"/>
            <w:noWrap w:val="0"/>
            <w:vAlign w:val="top"/>
          </w:tcPr>
          <w:p w14:paraId="6F87623A">
            <w:pPr>
              <w:jc w:val="center"/>
              <w:rPr>
                <w:color w:val="auto"/>
                <w:highlight w:val="none"/>
              </w:rPr>
            </w:pPr>
          </w:p>
        </w:tc>
        <w:tc>
          <w:tcPr>
            <w:tcW w:w="1247" w:type="dxa"/>
            <w:noWrap w:val="0"/>
            <w:vAlign w:val="top"/>
          </w:tcPr>
          <w:p w14:paraId="7A93D309">
            <w:pPr>
              <w:jc w:val="center"/>
              <w:rPr>
                <w:color w:val="auto"/>
                <w:highlight w:val="none"/>
              </w:rPr>
            </w:pPr>
          </w:p>
        </w:tc>
        <w:tc>
          <w:tcPr>
            <w:tcW w:w="1134" w:type="dxa"/>
            <w:noWrap w:val="0"/>
            <w:vAlign w:val="top"/>
          </w:tcPr>
          <w:p w14:paraId="2616667E">
            <w:pPr>
              <w:jc w:val="center"/>
              <w:rPr>
                <w:color w:val="auto"/>
                <w:highlight w:val="none"/>
              </w:rPr>
            </w:pPr>
          </w:p>
        </w:tc>
      </w:tr>
      <w:tr w14:paraId="5E7AF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5DE92B3E">
            <w:pPr>
              <w:jc w:val="center"/>
              <w:rPr>
                <w:color w:val="auto"/>
                <w:highlight w:val="none"/>
              </w:rPr>
            </w:pPr>
            <w:r>
              <w:rPr>
                <w:rFonts w:ascii="Times New Roman" w:hAnsi="Times New Roman" w:eastAsia="宋体"/>
                <w:b w:val="0"/>
                <w:color w:val="auto"/>
                <w:sz w:val="21"/>
                <w:highlight w:val="none"/>
              </w:rPr>
              <w:t>2</w:t>
            </w:r>
          </w:p>
        </w:tc>
        <w:tc>
          <w:tcPr>
            <w:tcW w:w="2381" w:type="dxa"/>
            <w:noWrap w:val="0"/>
            <w:vAlign w:val="top"/>
          </w:tcPr>
          <w:p w14:paraId="23E9994D">
            <w:pPr>
              <w:jc w:val="center"/>
              <w:rPr>
                <w:color w:val="auto"/>
                <w:highlight w:val="none"/>
              </w:rPr>
            </w:pPr>
          </w:p>
        </w:tc>
        <w:tc>
          <w:tcPr>
            <w:tcW w:w="1474" w:type="dxa"/>
            <w:noWrap w:val="0"/>
            <w:vAlign w:val="top"/>
          </w:tcPr>
          <w:p w14:paraId="27C162B1">
            <w:pPr>
              <w:jc w:val="center"/>
              <w:rPr>
                <w:color w:val="auto"/>
                <w:highlight w:val="none"/>
              </w:rPr>
            </w:pPr>
          </w:p>
        </w:tc>
        <w:tc>
          <w:tcPr>
            <w:tcW w:w="680" w:type="dxa"/>
            <w:noWrap w:val="0"/>
            <w:vAlign w:val="top"/>
          </w:tcPr>
          <w:p w14:paraId="2934EED8">
            <w:pPr>
              <w:jc w:val="center"/>
              <w:rPr>
                <w:color w:val="auto"/>
                <w:highlight w:val="none"/>
              </w:rPr>
            </w:pPr>
          </w:p>
        </w:tc>
        <w:tc>
          <w:tcPr>
            <w:tcW w:w="680" w:type="dxa"/>
            <w:noWrap w:val="0"/>
            <w:vAlign w:val="top"/>
          </w:tcPr>
          <w:p w14:paraId="6950FFB4">
            <w:pPr>
              <w:jc w:val="center"/>
              <w:rPr>
                <w:color w:val="auto"/>
                <w:highlight w:val="none"/>
              </w:rPr>
            </w:pPr>
          </w:p>
        </w:tc>
        <w:tc>
          <w:tcPr>
            <w:tcW w:w="1247" w:type="dxa"/>
            <w:noWrap w:val="0"/>
            <w:vAlign w:val="top"/>
          </w:tcPr>
          <w:p w14:paraId="5EAB0FB0">
            <w:pPr>
              <w:jc w:val="center"/>
              <w:rPr>
                <w:color w:val="auto"/>
                <w:highlight w:val="none"/>
              </w:rPr>
            </w:pPr>
          </w:p>
        </w:tc>
        <w:tc>
          <w:tcPr>
            <w:tcW w:w="1247" w:type="dxa"/>
            <w:noWrap w:val="0"/>
            <w:vAlign w:val="top"/>
          </w:tcPr>
          <w:p w14:paraId="5430F204">
            <w:pPr>
              <w:jc w:val="center"/>
              <w:rPr>
                <w:color w:val="auto"/>
                <w:highlight w:val="none"/>
              </w:rPr>
            </w:pPr>
          </w:p>
        </w:tc>
        <w:tc>
          <w:tcPr>
            <w:tcW w:w="1134" w:type="dxa"/>
            <w:noWrap w:val="0"/>
            <w:vAlign w:val="top"/>
          </w:tcPr>
          <w:p w14:paraId="79615D08">
            <w:pPr>
              <w:jc w:val="center"/>
              <w:rPr>
                <w:color w:val="auto"/>
                <w:highlight w:val="none"/>
              </w:rPr>
            </w:pPr>
          </w:p>
        </w:tc>
      </w:tr>
      <w:tr w14:paraId="6FC10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6625B9BD">
            <w:pPr>
              <w:jc w:val="center"/>
              <w:rPr>
                <w:color w:val="auto"/>
                <w:highlight w:val="none"/>
              </w:rPr>
            </w:pPr>
            <w:r>
              <w:rPr>
                <w:rFonts w:ascii="Times New Roman" w:hAnsi="Times New Roman" w:eastAsia="宋体"/>
                <w:b w:val="0"/>
                <w:color w:val="auto"/>
                <w:sz w:val="21"/>
                <w:highlight w:val="none"/>
              </w:rPr>
              <w:t>3</w:t>
            </w:r>
          </w:p>
        </w:tc>
        <w:tc>
          <w:tcPr>
            <w:tcW w:w="2381" w:type="dxa"/>
            <w:noWrap w:val="0"/>
            <w:vAlign w:val="top"/>
          </w:tcPr>
          <w:p w14:paraId="138AC427">
            <w:pPr>
              <w:jc w:val="center"/>
              <w:rPr>
                <w:color w:val="auto"/>
                <w:highlight w:val="none"/>
              </w:rPr>
            </w:pPr>
          </w:p>
        </w:tc>
        <w:tc>
          <w:tcPr>
            <w:tcW w:w="1474" w:type="dxa"/>
            <w:noWrap w:val="0"/>
            <w:vAlign w:val="top"/>
          </w:tcPr>
          <w:p w14:paraId="448E780A">
            <w:pPr>
              <w:jc w:val="center"/>
              <w:rPr>
                <w:color w:val="auto"/>
                <w:highlight w:val="none"/>
              </w:rPr>
            </w:pPr>
          </w:p>
        </w:tc>
        <w:tc>
          <w:tcPr>
            <w:tcW w:w="680" w:type="dxa"/>
            <w:noWrap w:val="0"/>
            <w:vAlign w:val="top"/>
          </w:tcPr>
          <w:p w14:paraId="39C7F335">
            <w:pPr>
              <w:jc w:val="center"/>
              <w:rPr>
                <w:color w:val="auto"/>
                <w:highlight w:val="none"/>
              </w:rPr>
            </w:pPr>
          </w:p>
        </w:tc>
        <w:tc>
          <w:tcPr>
            <w:tcW w:w="680" w:type="dxa"/>
            <w:noWrap w:val="0"/>
            <w:vAlign w:val="top"/>
          </w:tcPr>
          <w:p w14:paraId="7C99DFC5">
            <w:pPr>
              <w:jc w:val="center"/>
              <w:rPr>
                <w:color w:val="auto"/>
                <w:highlight w:val="none"/>
              </w:rPr>
            </w:pPr>
          </w:p>
        </w:tc>
        <w:tc>
          <w:tcPr>
            <w:tcW w:w="1247" w:type="dxa"/>
            <w:noWrap w:val="0"/>
            <w:vAlign w:val="top"/>
          </w:tcPr>
          <w:p w14:paraId="2E9E45B2">
            <w:pPr>
              <w:jc w:val="center"/>
              <w:rPr>
                <w:color w:val="auto"/>
                <w:highlight w:val="none"/>
              </w:rPr>
            </w:pPr>
          </w:p>
        </w:tc>
        <w:tc>
          <w:tcPr>
            <w:tcW w:w="1247" w:type="dxa"/>
            <w:noWrap w:val="0"/>
            <w:vAlign w:val="top"/>
          </w:tcPr>
          <w:p w14:paraId="395C7430">
            <w:pPr>
              <w:jc w:val="center"/>
              <w:rPr>
                <w:color w:val="auto"/>
                <w:highlight w:val="none"/>
              </w:rPr>
            </w:pPr>
          </w:p>
        </w:tc>
        <w:tc>
          <w:tcPr>
            <w:tcW w:w="1134" w:type="dxa"/>
            <w:noWrap w:val="0"/>
            <w:vAlign w:val="top"/>
          </w:tcPr>
          <w:p w14:paraId="6B2D2DBF">
            <w:pPr>
              <w:jc w:val="center"/>
              <w:rPr>
                <w:color w:val="auto"/>
                <w:highlight w:val="none"/>
              </w:rPr>
            </w:pPr>
          </w:p>
        </w:tc>
      </w:tr>
      <w:tr w14:paraId="29C35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13A14606">
            <w:pPr>
              <w:jc w:val="center"/>
              <w:rPr>
                <w:color w:val="auto"/>
                <w:highlight w:val="none"/>
              </w:rPr>
            </w:pPr>
            <w:r>
              <w:rPr>
                <w:rFonts w:ascii="Times New Roman" w:hAnsi="Times New Roman" w:eastAsia="宋体"/>
                <w:b w:val="0"/>
                <w:color w:val="auto"/>
                <w:sz w:val="21"/>
                <w:highlight w:val="none"/>
              </w:rPr>
              <w:t>4</w:t>
            </w:r>
          </w:p>
        </w:tc>
        <w:tc>
          <w:tcPr>
            <w:tcW w:w="2381" w:type="dxa"/>
            <w:noWrap w:val="0"/>
            <w:vAlign w:val="top"/>
          </w:tcPr>
          <w:p w14:paraId="4F9A9375">
            <w:pPr>
              <w:jc w:val="center"/>
              <w:rPr>
                <w:color w:val="auto"/>
                <w:highlight w:val="none"/>
              </w:rPr>
            </w:pPr>
          </w:p>
        </w:tc>
        <w:tc>
          <w:tcPr>
            <w:tcW w:w="1474" w:type="dxa"/>
            <w:noWrap w:val="0"/>
            <w:vAlign w:val="top"/>
          </w:tcPr>
          <w:p w14:paraId="5DABA109">
            <w:pPr>
              <w:jc w:val="center"/>
              <w:rPr>
                <w:color w:val="auto"/>
                <w:highlight w:val="none"/>
              </w:rPr>
            </w:pPr>
          </w:p>
        </w:tc>
        <w:tc>
          <w:tcPr>
            <w:tcW w:w="680" w:type="dxa"/>
            <w:noWrap w:val="0"/>
            <w:vAlign w:val="top"/>
          </w:tcPr>
          <w:p w14:paraId="2F588CFA">
            <w:pPr>
              <w:jc w:val="center"/>
              <w:rPr>
                <w:color w:val="auto"/>
                <w:highlight w:val="none"/>
              </w:rPr>
            </w:pPr>
          </w:p>
        </w:tc>
        <w:tc>
          <w:tcPr>
            <w:tcW w:w="680" w:type="dxa"/>
            <w:noWrap w:val="0"/>
            <w:vAlign w:val="top"/>
          </w:tcPr>
          <w:p w14:paraId="40C483B7">
            <w:pPr>
              <w:jc w:val="center"/>
              <w:rPr>
                <w:color w:val="auto"/>
                <w:highlight w:val="none"/>
              </w:rPr>
            </w:pPr>
          </w:p>
        </w:tc>
        <w:tc>
          <w:tcPr>
            <w:tcW w:w="1247" w:type="dxa"/>
            <w:noWrap w:val="0"/>
            <w:vAlign w:val="top"/>
          </w:tcPr>
          <w:p w14:paraId="60A11BD7">
            <w:pPr>
              <w:jc w:val="center"/>
              <w:rPr>
                <w:color w:val="auto"/>
                <w:highlight w:val="none"/>
              </w:rPr>
            </w:pPr>
          </w:p>
        </w:tc>
        <w:tc>
          <w:tcPr>
            <w:tcW w:w="1247" w:type="dxa"/>
            <w:noWrap w:val="0"/>
            <w:vAlign w:val="top"/>
          </w:tcPr>
          <w:p w14:paraId="1E8BEDDA">
            <w:pPr>
              <w:jc w:val="center"/>
              <w:rPr>
                <w:color w:val="auto"/>
                <w:highlight w:val="none"/>
              </w:rPr>
            </w:pPr>
          </w:p>
        </w:tc>
        <w:tc>
          <w:tcPr>
            <w:tcW w:w="1134" w:type="dxa"/>
            <w:noWrap w:val="0"/>
            <w:vAlign w:val="top"/>
          </w:tcPr>
          <w:p w14:paraId="2512862B">
            <w:pPr>
              <w:jc w:val="center"/>
              <w:rPr>
                <w:color w:val="auto"/>
                <w:highlight w:val="none"/>
              </w:rPr>
            </w:pPr>
          </w:p>
        </w:tc>
      </w:tr>
      <w:tr w14:paraId="09C0A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6E365C29">
            <w:pPr>
              <w:jc w:val="center"/>
              <w:rPr>
                <w:color w:val="auto"/>
                <w:highlight w:val="none"/>
              </w:rPr>
            </w:pPr>
            <w:r>
              <w:rPr>
                <w:rFonts w:ascii="Times New Roman" w:hAnsi="Times New Roman" w:eastAsia="宋体"/>
                <w:b w:val="0"/>
                <w:color w:val="auto"/>
                <w:sz w:val="21"/>
                <w:highlight w:val="none"/>
              </w:rPr>
              <w:t>5</w:t>
            </w:r>
          </w:p>
        </w:tc>
        <w:tc>
          <w:tcPr>
            <w:tcW w:w="2381" w:type="dxa"/>
            <w:noWrap w:val="0"/>
            <w:vAlign w:val="top"/>
          </w:tcPr>
          <w:p w14:paraId="74080E1D">
            <w:pPr>
              <w:jc w:val="center"/>
              <w:rPr>
                <w:color w:val="auto"/>
                <w:highlight w:val="none"/>
              </w:rPr>
            </w:pPr>
          </w:p>
        </w:tc>
        <w:tc>
          <w:tcPr>
            <w:tcW w:w="1474" w:type="dxa"/>
            <w:noWrap w:val="0"/>
            <w:vAlign w:val="top"/>
          </w:tcPr>
          <w:p w14:paraId="0F3A385D">
            <w:pPr>
              <w:jc w:val="center"/>
              <w:rPr>
                <w:color w:val="auto"/>
                <w:highlight w:val="none"/>
              </w:rPr>
            </w:pPr>
          </w:p>
        </w:tc>
        <w:tc>
          <w:tcPr>
            <w:tcW w:w="680" w:type="dxa"/>
            <w:noWrap w:val="0"/>
            <w:vAlign w:val="top"/>
          </w:tcPr>
          <w:p w14:paraId="47AE7446">
            <w:pPr>
              <w:jc w:val="center"/>
              <w:rPr>
                <w:color w:val="auto"/>
                <w:highlight w:val="none"/>
              </w:rPr>
            </w:pPr>
          </w:p>
        </w:tc>
        <w:tc>
          <w:tcPr>
            <w:tcW w:w="680" w:type="dxa"/>
            <w:noWrap w:val="0"/>
            <w:vAlign w:val="top"/>
          </w:tcPr>
          <w:p w14:paraId="33FD5586">
            <w:pPr>
              <w:jc w:val="center"/>
              <w:rPr>
                <w:color w:val="auto"/>
                <w:highlight w:val="none"/>
              </w:rPr>
            </w:pPr>
          </w:p>
        </w:tc>
        <w:tc>
          <w:tcPr>
            <w:tcW w:w="1247" w:type="dxa"/>
            <w:noWrap w:val="0"/>
            <w:vAlign w:val="top"/>
          </w:tcPr>
          <w:p w14:paraId="23BC978A">
            <w:pPr>
              <w:jc w:val="center"/>
              <w:rPr>
                <w:color w:val="auto"/>
                <w:highlight w:val="none"/>
              </w:rPr>
            </w:pPr>
          </w:p>
        </w:tc>
        <w:tc>
          <w:tcPr>
            <w:tcW w:w="1247" w:type="dxa"/>
            <w:noWrap w:val="0"/>
            <w:vAlign w:val="top"/>
          </w:tcPr>
          <w:p w14:paraId="78DDB6C1">
            <w:pPr>
              <w:jc w:val="center"/>
              <w:rPr>
                <w:color w:val="auto"/>
                <w:highlight w:val="none"/>
              </w:rPr>
            </w:pPr>
          </w:p>
        </w:tc>
        <w:tc>
          <w:tcPr>
            <w:tcW w:w="1134" w:type="dxa"/>
            <w:noWrap w:val="0"/>
            <w:vAlign w:val="top"/>
          </w:tcPr>
          <w:p w14:paraId="203100AF">
            <w:pPr>
              <w:jc w:val="center"/>
              <w:rPr>
                <w:color w:val="auto"/>
                <w:highlight w:val="none"/>
              </w:rPr>
            </w:pPr>
          </w:p>
        </w:tc>
      </w:tr>
      <w:tr w14:paraId="5318F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4A20648E">
            <w:pPr>
              <w:jc w:val="center"/>
              <w:rPr>
                <w:color w:val="auto"/>
                <w:highlight w:val="none"/>
              </w:rPr>
            </w:pPr>
            <w:r>
              <w:rPr>
                <w:rFonts w:ascii="Times New Roman" w:hAnsi="Times New Roman" w:eastAsia="宋体"/>
                <w:b w:val="0"/>
                <w:color w:val="auto"/>
                <w:sz w:val="21"/>
                <w:highlight w:val="none"/>
              </w:rPr>
              <w:t>6</w:t>
            </w:r>
          </w:p>
        </w:tc>
        <w:tc>
          <w:tcPr>
            <w:tcW w:w="2381" w:type="dxa"/>
            <w:noWrap w:val="0"/>
            <w:vAlign w:val="top"/>
          </w:tcPr>
          <w:p w14:paraId="5A4BF04D">
            <w:pPr>
              <w:jc w:val="center"/>
              <w:rPr>
                <w:color w:val="auto"/>
                <w:highlight w:val="none"/>
              </w:rPr>
            </w:pPr>
          </w:p>
        </w:tc>
        <w:tc>
          <w:tcPr>
            <w:tcW w:w="1474" w:type="dxa"/>
            <w:noWrap w:val="0"/>
            <w:vAlign w:val="top"/>
          </w:tcPr>
          <w:p w14:paraId="7F8BC37E">
            <w:pPr>
              <w:jc w:val="center"/>
              <w:rPr>
                <w:color w:val="auto"/>
                <w:highlight w:val="none"/>
              </w:rPr>
            </w:pPr>
          </w:p>
        </w:tc>
        <w:tc>
          <w:tcPr>
            <w:tcW w:w="680" w:type="dxa"/>
            <w:noWrap w:val="0"/>
            <w:vAlign w:val="top"/>
          </w:tcPr>
          <w:p w14:paraId="4481D809">
            <w:pPr>
              <w:jc w:val="center"/>
              <w:rPr>
                <w:color w:val="auto"/>
                <w:highlight w:val="none"/>
              </w:rPr>
            </w:pPr>
          </w:p>
        </w:tc>
        <w:tc>
          <w:tcPr>
            <w:tcW w:w="680" w:type="dxa"/>
            <w:noWrap w:val="0"/>
            <w:vAlign w:val="top"/>
          </w:tcPr>
          <w:p w14:paraId="7CFED81B">
            <w:pPr>
              <w:jc w:val="center"/>
              <w:rPr>
                <w:color w:val="auto"/>
                <w:highlight w:val="none"/>
              </w:rPr>
            </w:pPr>
          </w:p>
        </w:tc>
        <w:tc>
          <w:tcPr>
            <w:tcW w:w="1247" w:type="dxa"/>
            <w:noWrap w:val="0"/>
            <w:vAlign w:val="top"/>
          </w:tcPr>
          <w:p w14:paraId="76D288A4">
            <w:pPr>
              <w:jc w:val="center"/>
              <w:rPr>
                <w:color w:val="auto"/>
                <w:highlight w:val="none"/>
              </w:rPr>
            </w:pPr>
          </w:p>
        </w:tc>
        <w:tc>
          <w:tcPr>
            <w:tcW w:w="1247" w:type="dxa"/>
            <w:noWrap w:val="0"/>
            <w:vAlign w:val="top"/>
          </w:tcPr>
          <w:p w14:paraId="794D901E">
            <w:pPr>
              <w:jc w:val="center"/>
              <w:rPr>
                <w:color w:val="auto"/>
                <w:highlight w:val="none"/>
              </w:rPr>
            </w:pPr>
          </w:p>
        </w:tc>
        <w:tc>
          <w:tcPr>
            <w:tcW w:w="1134" w:type="dxa"/>
            <w:noWrap w:val="0"/>
            <w:vAlign w:val="top"/>
          </w:tcPr>
          <w:p w14:paraId="31442390">
            <w:pPr>
              <w:jc w:val="center"/>
              <w:rPr>
                <w:color w:val="auto"/>
                <w:highlight w:val="none"/>
              </w:rPr>
            </w:pPr>
          </w:p>
        </w:tc>
      </w:tr>
      <w:tr w14:paraId="1FCBC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493352A3">
            <w:pPr>
              <w:jc w:val="center"/>
              <w:rPr>
                <w:color w:val="auto"/>
                <w:highlight w:val="none"/>
              </w:rPr>
            </w:pPr>
            <w:r>
              <w:rPr>
                <w:rFonts w:ascii="Times New Roman" w:hAnsi="Times New Roman" w:eastAsia="宋体"/>
                <w:b w:val="0"/>
                <w:color w:val="auto"/>
                <w:sz w:val="21"/>
                <w:highlight w:val="none"/>
              </w:rPr>
              <w:t>7</w:t>
            </w:r>
          </w:p>
        </w:tc>
        <w:tc>
          <w:tcPr>
            <w:tcW w:w="2381" w:type="dxa"/>
            <w:noWrap w:val="0"/>
            <w:vAlign w:val="top"/>
          </w:tcPr>
          <w:p w14:paraId="6844F721">
            <w:pPr>
              <w:jc w:val="center"/>
              <w:rPr>
                <w:color w:val="auto"/>
                <w:highlight w:val="none"/>
              </w:rPr>
            </w:pPr>
          </w:p>
        </w:tc>
        <w:tc>
          <w:tcPr>
            <w:tcW w:w="1474" w:type="dxa"/>
            <w:noWrap w:val="0"/>
            <w:vAlign w:val="top"/>
          </w:tcPr>
          <w:p w14:paraId="29882BDE">
            <w:pPr>
              <w:jc w:val="center"/>
              <w:rPr>
                <w:color w:val="auto"/>
                <w:highlight w:val="none"/>
              </w:rPr>
            </w:pPr>
          </w:p>
        </w:tc>
        <w:tc>
          <w:tcPr>
            <w:tcW w:w="680" w:type="dxa"/>
            <w:noWrap w:val="0"/>
            <w:vAlign w:val="top"/>
          </w:tcPr>
          <w:p w14:paraId="5F0B2157">
            <w:pPr>
              <w:jc w:val="center"/>
              <w:rPr>
                <w:color w:val="auto"/>
                <w:highlight w:val="none"/>
              </w:rPr>
            </w:pPr>
          </w:p>
        </w:tc>
        <w:tc>
          <w:tcPr>
            <w:tcW w:w="680" w:type="dxa"/>
            <w:noWrap w:val="0"/>
            <w:vAlign w:val="top"/>
          </w:tcPr>
          <w:p w14:paraId="1F39842D">
            <w:pPr>
              <w:jc w:val="center"/>
              <w:rPr>
                <w:color w:val="auto"/>
                <w:highlight w:val="none"/>
              </w:rPr>
            </w:pPr>
          </w:p>
        </w:tc>
        <w:tc>
          <w:tcPr>
            <w:tcW w:w="1247" w:type="dxa"/>
            <w:noWrap w:val="0"/>
            <w:vAlign w:val="top"/>
          </w:tcPr>
          <w:p w14:paraId="6B3E9175">
            <w:pPr>
              <w:jc w:val="center"/>
              <w:rPr>
                <w:color w:val="auto"/>
                <w:highlight w:val="none"/>
              </w:rPr>
            </w:pPr>
          </w:p>
        </w:tc>
        <w:tc>
          <w:tcPr>
            <w:tcW w:w="1247" w:type="dxa"/>
            <w:noWrap w:val="0"/>
            <w:vAlign w:val="top"/>
          </w:tcPr>
          <w:p w14:paraId="56B75968">
            <w:pPr>
              <w:jc w:val="center"/>
              <w:rPr>
                <w:color w:val="auto"/>
                <w:highlight w:val="none"/>
              </w:rPr>
            </w:pPr>
          </w:p>
        </w:tc>
        <w:tc>
          <w:tcPr>
            <w:tcW w:w="1134" w:type="dxa"/>
            <w:noWrap w:val="0"/>
            <w:vAlign w:val="top"/>
          </w:tcPr>
          <w:p w14:paraId="5A90339A">
            <w:pPr>
              <w:jc w:val="center"/>
              <w:rPr>
                <w:color w:val="auto"/>
                <w:highlight w:val="none"/>
              </w:rPr>
            </w:pPr>
          </w:p>
        </w:tc>
      </w:tr>
      <w:tr w14:paraId="06764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73BF1869">
            <w:pPr>
              <w:jc w:val="center"/>
              <w:rPr>
                <w:color w:val="auto"/>
                <w:highlight w:val="none"/>
              </w:rPr>
            </w:pPr>
            <w:r>
              <w:rPr>
                <w:rFonts w:ascii="Times New Roman" w:hAnsi="Times New Roman" w:eastAsia="宋体"/>
                <w:b w:val="0"/>
                <w:color w:val="auto"/>
                <w:sz w:val="21"/>
                <w:highlight w:val="none"/>
              </w:rPr>
              <w:t>8</w:t>
            </w:r>
          </w:p>
        </w:tc>
        <w:tc>
          <w:tcPr>
            <w:tcW w:w="2381" w:type="dxa"/>
            <w:noWrap w:val="0"/>
            <w:vAlign w:val="top"/>
          </w:tcPr>
          <w:p w14:paraId="08E837F9">
            <w:pPr>
              <w:jc w:val="center"/>
              <w:rPr>
                <w:color w:val="auto"/>
                <w:highlight w:val="none"/>
              </w:rPr>
            </w:pPr>
          </w:p>
        </w:tc>
        <w:tc>
          <w:tcPr>
            <w:tcW w:w="1474" w:type="dxa"/>
            <w:noWrap w:val="0"/>
            <w:vAlign w:val="top"/>
          </w:tcPr>
          <w:p w14:paraId="116A27A7">
            <w:pPr>
              <w:jc w:val="center"/>
              <w:rPr>
                <w:color w:val="auto"/>
                <w:highlight w:val="none"/>
              </w:rPr>
            </w:pPr>
          </w:p>
        </w:tc>
        <w:tc>
          <w:tcPr>
            <w:tcW w:w="680" w:type="dxa"/>
            <w:noWrap w:val="0"/>
            <w:vAlign w:val="top"/>
          </w:tcPr>
          <w:p w14:paraId="45B16F29">
            <w:pPr>
              <w:jc w:val="center"/>
              <w:rPr>
                <w:color w:val="auto"/>
                <w:highlight w:val="none"/>
              </w:rPr>
            </w:pPr>
          </w:p>
        </w:tc>
        <w:tc>
          <w:tcPr>
            <w:tcW w:w="680" w:type="dxa"/>
            <w:noWrap w:val="0"/>
            <w:vAlign w:val="top"/>
          </w:tcPr>
          <w:p w14:paraId="3F508114">
            <w:pPr>
              <w:jc w:val="center"/>
              <w:rPr>
                <w:color w:val="auto"/>
                <w:highlight w:val="none"/>
              </w:rPr>
            </w:pPr>
          </w:p>
        </w:tc>
        <w:tc>
          <w:tcPr>
            <w:tcW w:w="1247" w:type="dxa"/>
            <w:noWrap w:val="0"/>
            <w:vAlign w:val="top"/>
          </w:tcPr>
          <w:p w14:paraId="11E05020">
            <w:pPr>
              <w:jc w:val="center"/>
              <w:rPr>
                <w:color w:val="auto"/>
                <w:highlight w:val="none"/>
              </w:rPr>
            </w:pPr>
          </w:p>
        </w:tc>
        <w:tc>
          <w:tcPr>
            <w:tcW w:w="1247" w:type="dxa"/>
            <w:noWrap w:val="0"/>
            <w:vAlign w:val="top"/>
          </w:tcPr>
          <w:p w14:paraId="07D18A72">
            <w:pPr>
              <w:jc w:val="center"/>
              <w:rPr>
                <w:color w:val="auto"/>
                <w:highlight w:val="none"/>
              </w:rPr>
            </w:pPr>
          </w:p>
        </w:tc>
        <w:tc>
          <w:tcPr>
            <w:tcW w:w="1134" w:type="dxa"/>
            <w:noWrap w:val="0"/>
            <w:vAlign w:val="top"/>
          </w:tcPr>
          <w:p w14:paraId="621F8B93">
            <w:pPr>
              <w:jc w:val="center"/>
              <w:rPr>
                <w:color w:val="auto"/>
                <w:highlight w:val="none"/>
              </w:rPr>
            </w:pPr>
          </w:p>
        </w:tc>
      </w:tr>
      <w:tr w14:paraId="5297D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60645B94">
            <w:pPr>
              <w:jc w:val="center"/>
              <w:rPr>
                <w:color w:val="auto"/>
                <w:highlight w:val="none"/>
              </w:rPr>
            </w:pPr>
            <w:r>
              <w:rPr>
                <w:rFonts w:ascii="Times New Roman" w:hAnsi="Times New Roman" w:eastAsia="宋体"/>
                <w:b w:val="0"/>
                <w:color w:val="auto"/>
                <w:sz w:val="21"/>
                <w:highlight w:val="none"/>
              </w:rPr>
              <w:t>9</w:t>
            </w:r>
          </w:p>
        </w:tc>
        <w:tc>
          <w:tcPr>
            <w:tcW w:w="2381" w:type="dxa"/>
            <w:noWrap w:val="0"/>
            <w:vAlign w:val="top"/>
          </w:tcPr>
          <w:p w14:paraId="03F70402">
            <w:pPr>
              <w:jc w:val="center"/>
              <w:rPr>
                <w:color w:val="auto"/>
                <w:highlight w:val="none"/>
              </w:rPr>
            </w:pPr>
          </w:p>
        </w:tc>
        <w:tc>
          <w:tcPr>
            <w:tcW w:w="1474" w:type="dxa"/>
            <w:noWrap w:val="0"/>
            <w:vAlign w:val="top"/>
          </w:tcPr>
          <w:p w14:paraId="4D8A4556">
            <w:pPr>
              <w:jc w:val="center"/>
              <w:rPr>
                <w:color w:val="auto"/>
                <w:highlight w:val="none"/>
              </w:rPr>
            </w:pPr>
          </w:p>
        </w:tc>
        <w:tc>
          <w:tcPr>
            <w:tcW w:w="680" w:type="dxa"/>
            <w:noWrap w:val="0"/>
            <w:vAlign w:val="top"/>
          </w:tcPr>
          <w:p w14:paraId="7ACABD96">
            <w:pPr>
              <w:jc w:val="center"/>
              <w:rPr>
                <w:color w:val="auto"/>
                <w:highlight w:val="none"/>
              </w:rPr>
            </w:pPr>
          </w:p>
        </w:tc>
        <w:tc>
          <w:tcPr>
            <w:tcW w:w="680" w:type="dxa"/>
            <w:noWrap w:val="0"/>
            <w:vAlign w:val="top"/>
          </w:tcPr>
          <w:p w14:paraId="0E267136">
            <w:pPr>
              <w:jc w:val="center"/>
              <w:rPr>
                <w:color w:val="auto"/>
                <w:highlight w:val="none"/>
              </w:rPr>
            </w:pPr>
          </w:p>
        </w:tc>
        <w:tc>
          <w:tcPr>
            <w:tcW w:w="1247" w:type="dxa"/>
            <w:noWrap w:val="0"/>
            <w:vAlign w:val="top"/>
          </w:tcPr>
          <w:p w14:paraId="40F367E6">
            <w:pPr>
              <w:jc w:val="center"/>
              <w:rPr>
                <w:color w:val="auto"/>
                <w:highlight w:val="none"/>
              </w:rPr>
            </w:pPr>
          </w:p>
        </w:tc>
        <w:tc>
          <w:tcPr>
            <w:tcW w:w="1247" w:type="dxa"/>
            <w:noWrap w:val="0"/>
            <w:vAlign w:val="top"/>
          </w:tcPr>
          <w:p w14:paraId="334DA99D">
            <w:pPr>
              <w:jc w:val="center"/>
              <w:rPr>
                <w:color w:val="auto"/>
                <w:highlight w:val="none"/>
              </w:rPr>
            </w:pPr>
          </w:p>
        </w:tc>
        <w:tc>
          <w:tcPr>
            <w:tcW w:w="1134" w:type="dxa"/>
            <w:noWrap w:val="0"/>
            <w:vAlign w:val="top"/>
          </w:tcPr>
          <w:p w14:paraId="69BC4177">
            <w:pPr>
              <w:jc w:val="center"/>
              <w:rPr>
                <w:color w:val="auto"/>
                <w:highlight w:val="none"/>
              </w:rPr>
            </w:pPr>
          </w:p>
        </w:tc>
      </w:tr>
    </w:tbl>
    <w:p w14:paraId="168E3176">
      <w:pPr>
        <w:spacing w:before="0" w:after="40" w:line="312" w:lineRule="auto"/>
        <w:jc w:val="left"/>
        <w:rPr>
          <w:color w:val="auto"/>
          <w:highlight w:val="none"/>
        </w:rPr>
      </w:pPr>
    </w:p>
    <w:p w14:paraId="77EDC64B">
      <w:pPr>
        <w:spacing w:before="0" w:after="60" w:line="312" w:lineRule="auto"/>
        <w:jc w:val="left"/>
        <w:rPr>
          <w:color w:val="auto"/>
          <w:highlight w:val="none"/>
        </w:rPr>
      </w:pPr>
      <w:r>
        <w:rPr>
          <w:rFonts w:ascii="Times New Roman" w:hAnsi="Times New Roman" w:eastAsia="宋体"/>
          <w:b w:val="0"/>
          <w:color w:val="auto"/>
          <w:sz w:val="24"/>
          <w:highlight w:val="none"/>
        </w:rPr>
        <w:t>移交方（盖章）：                法定代表人／授权代表（签字）：            日期：＿＿＿＿年＿＿月＿＿日</w:t>
      </w:r>
    </w:p>
    <w:p w14:paraId="6790ACE8">
      <w:pPr>
        <w:spacing w:before="0" w:after="160" w:line="312" w:lineRule="auto"/>
        <w:jc w:val="left"/>
        <w:rPr>
          <w:color w:val="auto"/>
          <w:highlight w:val="none"/>
        </w:rPr>
      </w:pPr>
      <w:r>
        <w:rPr>
          <w:rFonts w:ascii="Times New Roman" w:hAnsi="Times New Roman" w:eastAsia="宋体"/>
          <w:b w:val="0"/>
          <w:color w:val="auto"/>
          <w:sz w:val="24"/>
          <w:highlight w:val="none"/>
        </w:rPr>
        <w:t>接收方（盖章）：                法定代表人／授权代表（签字）：            日期：＿＿＿＿年＿＿月＿＿日</w:t>
      </w:r>
    </w:p>
    <w:p w14:paraId="6AD74B49">
      <w:pPr>
        <w:pStyle w:val="14"/>
        <w:adjustRightInd w:val="0"/>
        <w:snapToGrid w:val="0"/>
        <w:ind w:firstLine="0" w:firstLineChars="0"/>
        <w:rPr>
          <w:rFonts w:hint="eastAsia" w:hAnsi="宋体" w:cs="宋体"/>
          <w:color w:val="auto"/>
          <w:sz w:val="21"/>
          <w:szCs w:val="21"/>
          <w:highlight w:val="none"/>
        </w:rPr>
      </w:pPr>
    </w:p>
    <w:p w14:paraId="2C1D5C2B">
      <w:pPr>
        <w:rPr>
          <w:rFonts w:hint="eastAsia"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br w:type="page"/>
      </w:r>
    </w:p>
    <w:p w14:paraId="39C9E086">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t>附件2：</w:t>
      </w:r>
    </w:p>
    <w:p w14:paraId="07E36AA8">
      <w:pPr>
        <w:ind w:firstLine="643" w:firstLineChars="200"/>
        <w:rPr>
          <w:rFonts w:hint="eastAsia" w:ascii="宋体" w:hAnsi="宋体" w:eastAsia="仿宋_GB2312" w:cs="Times New Roman"/>
          <w:b/>
          <w:bCs/>
          <w:color w:val="auto"/>
          <w:kern w:val="2"/>
          <w:sz w:val="32"/>
          <w:szCs w:val="32"/>
          <w:highlight w:val="none"/>
          <w:lang w:val="en-US" w:eastAsia="zh-CN" w:bidi="ar-SA"/>
        </w:rPr>
      </w:pPr>
    </w:p>
    <w:p w14:paraId="411C8254">
      <w:pPr>
        <w:pStyle w:val="14"/>
        <w:adjustRightInd w:val="0"/>
        <w:snapToGrid w:val="0"/>
        <w:ind w:firstLine="420"/>
        <w:jc w:val="center"/>
        <w:rPr>
          <w:rFonts w:hint="eastAsia" w:ascii="宋体" w:hAnsi="宋体" w:eastAsia="仿宋_GB2312" w:cs="Times New Roman"/>
          <w:b/>
          <w:bCs/>
          <w:color w:val="auto"/>
          <w:kern w:val="2"/>
          <w:sz w:val="32"/>
          <w:szCs w:val="32"/>
          <w:highlight w:val="none"/>
          <w:lang w:val="en-US" w:eastAsia="zh-CN" w:bidi="ar-SA"/>
        </w:rPr>
      </w:pPr>
      <w:r>
        <w:rPr>
          <w:rFonts w:hint="eastAsia" w:ascii="宋体" w:hAnsi="宋体" w:eastAsia="仿宋_GB2312" w:cs="Times New Roman"/>
          <w:b/>
          <w:bCs/>
          <w:color w:val="auto"/>
          <w:kern w:val="2"/>
          <w:sz w:val="32"/>
          <w:szCs w:val="32"/>
          <w:highlight w:val="none"/>
          <w:lang w:val="en-US" w:eastAsia="zh-CN" w:bidi="ar-SA"/>
        </w:rPr>
        <w:t>《运营考核指标表》</w:t>
      </w:r>
    </w:p>
    <w:p w14:paraId="12615C46">
      <w:pPr>
        <w:pStyle w:val="14"/>
        <w:adjustRightInd w:val="0"/>
        <w:snapToGrid w:val="0"/>
        <w:ind w:firstLine="420"/>
        <w:jc w:val="center"/>
        <w:rPr>
          <w:rFonts w:hint="eastAsia" w:ascii="宋体" w:hAnsi="宋体" w:eastAsia="仿宋_GB2312" w:cs="Times New Roman"/>
          <w:b/>
          <w:bCs/>
          <w:color w:val="auto"/>
          <w:kern w:val="2"/>
          <w:sz w:val="32"/>
          <w:szCs w:val="32"/>
          <w:highlight w:val="none"/>
          <w:lang w:val="en-US" w:eastAsia="zh-CN" w:bidi="ar-SA"/>
        </w:rPr>
      </w:pPr>
    </w:p>
    <w:tbl>
      <w:tblPr>
        <w:tblStyle w:val="16"/>
        <w:tblW w:w="10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981"/>
        <w:gridCol w:w="981"/>
        <w:gridCol w:w="981"/>
        <w:gridCol w:w="981"/>
        <w:gridCol w:w="981"/>
        <w:gridCol w:w="981"/>
        <w:gridCol w:w="981"/>
        <w:gridCol w:w="981"/>
        <w:gridCol w:w="981"/>
        <w:gridCol w:w="1112"/>
      </w:tblGrid>
      <w:tr w14:paraId="21BD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blHeader/>
          <w:jc w:val="center"/>
        </w:trPr>
        <w:tc>
          <w:tcPr>
            <w:tcW w:w="10508" w:type="dxa"/>
            <w:gridSpan w:val="11"/>
            <w:noWrap w:val="0"/>
            <w:vAlign w:val="center"/>
          </w:tcPr>
          <w:p w14:paraId="754C33C0">
            <w:pPr>
              <w:jc w:val="center"/>
              <w:rPr>
                <w:rFonts w:hint="eastAsia"/>
                <w:color w:val="auto"/>
                <w:sz w:val="24"/>
                <w:szCs w:val="24"/>
                <w:highlight w:val="none"/>
                <w:lang w:eastAsia="zh-CN"/>
              </w:rPr>
            </w:pPr>
            <w:r>
              <w:rPr>
                <w:rFonts w:hint="eastAsia"/>
                <w:b/>
                <w:bCs/>
                <w:color w:val="auto"/>
                <w:sz w:val="24"/>
                <w:szCs w:val="24"/>
                <w:highlight w:val="none"/>
                <w:lang w:eastAsia="zh-CN"/>
              </w:rPr>
              <w:t>林坊镇卫生院医养结合病房楼</w:t>
            </w:r>
          </w:p>
        </w:tc>
      </w:tr>
      <w:tr w14:paraId="7571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blHeader/>
          <w:jc w:val="center"/>
        </w:trPr>
        <w:tc>
          <w:tcPr>
            <w:tcW w:w="567" w:type="dxa"/>
            <w:noWrap w:val="0"/>
            <w:vAlign w:val="center"/>
          </w:tcPr>
          <w:p w14:paraId="292D538F">
            <w:pPr>
              <w:jc w:val="center"/>
              <w:rPr>
                <w:rFonts w:hint="eastAsia"/>
                <w:color w:val="auto"/>
                <w:sz w:val="24"/>
                <w:szCs w:val="24"/>
                <w:highlight w:val="none"/>
                <w:vertAlign w:val="baseline"/>
                <w:lang w:eastAsia="zh-CN"/>
              </w:rPr>
            </w:pPr>
          </w:p>
        </w:tc>
        <w:tc>
          <w:tcPr>
            <w:tcW w:w="981" w:type="dxa"/>
            <w:noWrap w:val="0"/>
            <w:vAlign w:val="center"/>
          </w:tcPr>
          <w:p w14:paraId="7AF7DD7A">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1年</w:t>
            </w:r>
          </w:p>
        </w:tc>
        <w:tc>
          <w:tcPr>
            <w:tcW w:w="981" w:type="dxa"/>
            <w:noWrap w:val="0"/>
            <w:vAlign w:val="center"/>
          </w:tcPr>
          <w:p w14:paraId="267F334C">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2年</w:t>
            </w:r>
          </w:p>
        </w:tc>
        <w:tc>
          <w:tcPr>
            <w:tcW w:w="981" w:type="dxa"/>
            <w:noWrap w:val="0"/>
            <w:vAlign w:val="center"/>
          </w:tcPr>
          <w:p w14:paraId="613C98E4">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3年</w:t>
            </w:r>
          </w:p>
        </w:tc>
        <w:tc>
          <w:tcPr>
            <w:tcW w:w="981" w:type="dxa"/>
            <w:noWrap w:val="0"/>
            <w:vAlign w:val="center"/>
          </w:tcPr>
          <w:p w14:paraId="4D576834">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4年</w:t>
            </w:r>
          </w:p>
        </w:tc>
        <w:tc>
          <w:tcPr>
            <w:tcW w:w="981" w:type="dxa"/>
            <w:noWrap w:val="0"/>
            <w:vAlign w:val="center"/>
          </w:tcPr>
          <w:p w14:paraId="41765143">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5年</w:t>
            </w:r>
          </w:p>
        </w:tc>
        <w:tc>
          <w:tcPr>
            <w:tcW w:w="981" w:type="dxa"/>
            <w:noWrap w:val="0"/>
            <w:vAlign w:val="center"/>
          </w:tcPr>
          <w:p w14:paraId="384CA03B">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6年</w:t>
            </w:r>
          </w:p>
        </w:tc>
        <w:tc>
          <w:tcPr>
            <w:tcW w:w="981" w:type="dxa"/>
            <w:noWrap w:val="0"/>
            <w:vAlign w:val="center"/>
          </w:tcPr>
          <w:p w14:paraId="7BAF5D83">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7年</w:t>
            </w:r>
          </w:p>
        </w:tc>
        <w:tc>
          <w:tcPr>
            <w:tcW w:w="981" w:type="dxa"/>
            <w:noWrap w:val="0"/>
            <w:vAlign w:val="center"/>
          </w:tcPr>
          <w:p w14:paraId="67E84567">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8年</w:t>
            </w:r>
          </w:p>
        </w:tc>
        <w:tc>
          <w:tcPr>
            <w:tcW w:w="981" w:type="dxa"/>
            <w:noWrap w:val="0"/>
            <w:vAlign w:val="center"/>
          </w:tcPr>
          <w:p w14:paraId="4E9DED8B">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9年</w:t>
            </w:r>
          </w:p>
        </w:tc>
        <w:tc>
          <w:tcPr>
            <w:tcW w:w="1112" w:type="dxa"/>
            <w:noWrap w:val="0"/>
            <w:vAlign w:val="center"/>
          </w:tcPr>
          <w:p w14:paraId="55484D18">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10年</w:t>
            </w:r>
          </w:p>
        </w:tc>
      </w:tr>
      <w:tr w14:paraId="4DD9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blHeader/>
          <w:jc w:val="center"/>
        </w:trPr>
        <w:tc>
          <w:tcPr>
            <w:tcW w:w="567" w:type="dxa"/>
            <w:noWrap w:val="0"/>
            <w:vAlign w:val="center"/>
          </w:tcPr>
          <w:p w14:paraId="66042A3A">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入住率</w:t>
            </w:r>
          </w:p>
        </w:tc>
        <w:tc>
          <w:tcPr>
            <w:tcW w:w="981" w:type="dxa"/>
            <w:noWrap w:val="0"/>
            <w:vAlign w:val="center"/>
          </w:tcPr>
          <w:p w14:paraId="0FD29989">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30%</w:t>
            </w:r>
          </w:p>
        </w:tc>
        <w:tc>
          <w:tcPr>
            <w:tcW w:w="981" w:type="dxa"/>
            <w:noWrap w:val="0"/>
            <w:vAlign w:val="center"/>
          </w:tcPr>
          <w:p w14:paraId="248E08D5">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38%</w:t>
            </w:r>
          </w:p>
        </w:tc>
        <w:tc>
          <w:tcPr>
            <w:tcW w:w="981" w:type="dxa"/>
            <w:noWrap w:val="0"/>
            <w:vAlign w:val="center"/>
          </w:tcPr>
          <w:p w14:paraId="4615E9B9">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46%</w:t>
            </w:r>
          </w:p>
        </w:tc>
        <w:tc>
          <w:tcPr>
            <w:tcW w:w="981" w:type="dxa"/>
            <w:noWrap w:val="0"/>
            <w:vAlign w:val="center"/>
          </w:tcPr>
          <w:p w14:paraId="2613762C">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54%</w:t>
            </w:r>
          </w:p>
        </w:tc>
        <w:tc>
          <w:tcPr>
            <w:tcW w:w="981" w:type="dxa"/>
            <w:noWrap w:val="0"/>
            <w:vAlign w:val="center"/>
          </w:tcPr>
          <w:p w14:paraId="351E02E7">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62%</w:t>
            </w:r>
          </w:p>
        </w:tc>
        <w:tc>
          <w:tcPr>
            <w:tcW w:w="981" w:type="dxa"/>
            <w:noWrap w:val="0"/>
            <w:vAlign w:val="center"/>
          </w:tcPr>
          <w:p w14:paraId="061B66C0">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70%</w:t>
            </w:r>
          </w:p>
        </w:tc>
        <w:tc>
          <w:tcPr>
            <w:tcW w:w="981" w:type="dxa"/>
            <w:noWrap w:val="0"/>
            <w:vAlign w:val="center"/>
          </w:tcPr>
          <w:p w14:paraId="7C71629E">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78%</w:t>
            </w:r>
          </w:p>
        </w:tc>
        <w:tc>
          <w:tcPr>
            <w:tcW w:w="981" w:type="dxa"/>
            <w:noWrap w:val="0"/>
            <w:vAlign w:val="center"/>
          </w:tcPr>
          <w:p w14:paraId="5A1E73EB">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86%</w:t>
            </w:r>
          </w:p>
        </w:tc>
        <w:tc>
          <w:tcPr>
            <w:tcW w:w="981" w:type="dxa"/>
            <w:noWrap w:val="0"/>
            <w:vAlign w:val="center"/>
          </w:tcPr>
          <w:p w14:paraId="3939FCC5">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90%</w:t>
            </w:r>
          </w:p>
        </w:tc>
        <w:tc>
          <w:tcPr>
            <w:tcW w:w="1112" w:type="dxa"/>
            <w:noWrap w:val="0"/>
            <w:vAlign w:val="center"/>
          </w:tcPr>
          <w:p w14:paraId="0FB446B5">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90%</w:t>
            </w:r>
          </w:p>
        </w:tc>
      </w:tr>
      <w:tr w14:paraId="7C4B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blHeader/>
          <w:jc w:val="center"/>
        </w:trPr>
        <w:tc>
          <w:tcPr>
            <w:tcW w:w="10508" w:type="dxa"/>
            <w:gridSpan w:val="11"/>
            <w:noWrap w:val="0"/>
            <w:vAlign w:val="center"/>
          </w:tcPr>
          <w:p w14:paraId="3421F3A0">
            <w:pPr>
              <w:jc w:val="center"/>
              <w:rPr>
                <w:rFonts w:hint="eastAsia"/>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林坊镇老卫生院综合楼</w:t>
            </w:r>
          </w:p>
        </w:tc>
      </w:tr>
      <w:tr w14:paraId="40AA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blHeader/>
          <w:jc w:val="center"/>
        </w:trPr>
        <w:tc>
          <w:tcPr>
            <w:tcW w:w="567" w:type="dxa"/>
            <w:noWrap w:val="0"/>
            <w:vAlign w:val="center"/>
          </w:tcPr>
          <w:p w14:paraId="4D3EA802">
            <w:pPr>
              <w:jc w:val="center"/>
              <w:rPr>
                <w:rFonts w:hint="eastAsia"/>
                <w:color w:val="auto"/>
                <w:sz w:val="24"/>
                <w:szCs w:val="24"/>
                <w:highlight w:val="none"/>
                <w:vertAlign w:val="baseline"/>
                <w:lang w:eastAsia="zh-CN"/>
              </w:rPr>
            </w:pPr>
          </w:p>
        </w:tc>
        <w:tc>
          <w:tcPr>
            <w:tcW w:w="981" w:type="dxa"/>
            <w:noWrap w:val="0"/>
            <w:vAlign w:val="center"/>
          </w:tcPr>
          <w:p w14:paraId="64A9C142">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1年</w:t>
            </w:r>
          </w:p>
        </w:tc>
        <w:tc>
          <w:tcPr>
            <w:tcW w:w="981" w:type="dxa"/>
            <w:noWrap w:val="0"/>
            <w:vAlign w:val="center"/>
          </w:tcPr>
          <w:p w14:paraId="35E2CE9B">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2年</w:t>
            </w:r>
          </w:p>
        </w:tc>
        <w:tc>
          <w:tcPr>
            <w:tcW w:w="981" w:type="dxa"/>
            <w:noWrap w:val="0"/>
            <w:vAlign w:val="center"/>
          </w:tcPr>
          <w:p w14:paraId="22B314E8">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3年</w:t>
            </w:r>
          </w:p>
        </w:tc>
        <w:tc>
          <w:tcPr>
            <w:tcW w:w="981" w:type="dxa"/>
            <w:noWrap w:val="0"/>
            <w:vAlign w:val="center"/>
          </w:tcPr>
          <w:p w14:paraId="40134F28">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4年</w:t>
            </w:r>
          </w:p>
        </w:tc>
        <w:tc>
          <w:tcPr>
            <w:tcW w:w="981" w:type="dxa"/>
            <w:noWrap w:val="0"/>
            <w:vAlign w:val="center"/>
          </w:tcPr>
          <w:p w14:paraId="50390D44">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5年</w:t>
            </w:r>
          </w:p>
        </w:tc>
        <w:tc>
          <w:tcPr>
            <w:tcW w:w="981" w:type="dxa"/>
            <w:noWrap w:val="0"/>
            <w:vAlign w:val="center"/>
          </w:tcPr>
          <w:p w14:paraId="68315C70">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6年</w:t>
            </w:r>
          </w:p>
        </w:tc>
        <w:tc>
          <w:tcPr>
            <w:tcW w:w="981" w:type="dxa"/>
            <w:noWrap w:val="0"/>
            <w:vAlign w:val="center"/>
          </w:tcPr>
          <w:p w14:paraId="35416375">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7年</w:t>
            </w:r>
          </w:p>
        </w:tc>
        <w:tc>
          <w:tcPr>
            <w:tcW w:w="981" w:type="dxa"/>
            <w:noWrap w:val="0"/>
            <w:vAlign w:val="center"/>
          </w:tcPr>
          <w:p w14:paraId="538E5EC7">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8年</w:t>
            </w:r>
          </w:p>
        </w:tc>
        <w:tc>
          <w:tcPr>
            <w:tcW w:w="981" w:type="dxa"/>
            <w:noWrap w:val="0"/>
            <w:vAlign w:val="center"/>
          </w:tcPr>
          <w:p w14:paraId="3D731F63">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9年</w:t>
            </w:r>
          </w:p>
        </w:tc>
        <w:tc>
          <w:tcPr>
            <w:tcW w:w="1112" w:type="dxa"/>
            <w:noWrap w:val="0"/>
            <w:vAlign w:val="center"/>
          </w:tcPr>
          <w:p w14:paraId="5228E779">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eastAsia="zh-CN"/>
              </w:rPr>
              <w:t>第</w:t>
            </w:r>
            <w:r>
              <w:rPr>
                <w:rFonts w:hint="eastAsia"/>
                <w:color w:val="auto"/>
                <w:sz w:val="24"/>
                <w:szCs w:val="24"/>
                <w:highlight w:val="none"/>
                <w:vertAlign w:val="baseline"/>
                <w:lang w:val="en-US" w:eastAsia="zh-CN"/>
              </w:rPr>
              <w:t>10年</w:t>
            </w:r>
          </w:p>
        </w:tc>
      </w:tr>
      <w:tr w14:paraId="4CCE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blHeader/>
          <w:jc w:val="center"/>
        </w:trPr>
        <w:tc>
          <w:tcPr>
            <w:tcW w:w="567" w:type="dxa"/>
            <w:noWrap w:val="0"/>
            <w:vAlign w:val="center"/>
          </w:tcPr>
          <w:p w14:paraId="03F9B022">
            <w:pPr>
              <w:jc w:val="center"/>
              <w:rPr>
                <w:rFonts w:hint="eastAsia"/>
                <w:color w:val="auto"/>
                <w:sz w:val="24"/>
                <w:szCs w:val="24"/>
                <w:highlight w:val="none"/>
                <w:vertAlign w:val="baseline"/>
                <w:lang w:eastAsia="zh-CN"/>
              </w:rPr>
            </w:pPr>
            <w:r>
              <w:rPr>
                <w:rFonts w:hint="eastAsia"/>
                <w:color w:val="auto"/>
                <w:sz w:val="24"/>
                <w:szCs w:val="24"/>
                <w:highlight w:val="none"/>
                <w:vertAlign w:val="baseline"/>
                <w:lang w:eastAsia="zh-CN"/>
              </w:rPr>
              <w:t>入住率</w:t>
            </w:r>
          </w:p>
        </w:tc>
        <w:tc>
          <w:tcPr>
            <w:tcW w:w="981" w:type="dxa"/>
            <w:noWrap w:val="0"/>
            <w:vAlign w:val="center"/>
          </w:tcPr>
          <w:p w14:paraId="4D0CDAC1">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30%</w:t>
            </w:r>
          </w:p>
        </w:tc>
        <w:tc>
          <w:tcPr>
            <w:tcW w:w="981" w:type="dxa"/>
            <w:noWrap w:val="0"/>
            <w:vAlign w:val="center"/>
          </w:tcPr>
          <w:p w14:paraId="734BB447">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38%</w:t>
            </w:r>
          </w:p>
        </w:tc>
        <w:tc>
          <w:tcPr>
            <w:tcW w:w="981" w:type="dxa"/>
            <w:noWrap w:val="0"/>
            <w:vAlign w:val="center"/>
          </w:tcPr>
          <w:p w14:paraId="26402314">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46%</w:t>
            </w:r>
          </w:p>
        </w:tc>
        <w:tc>
          <w:tcPr>
            <w:tcW w:w="981" w:type="dxa"/>
            <w:noWrap w:val="0"/>
            <w:vAlign w:val="center"/>
          </w:tcPr>
          <w:p w14:paraId="774A5BE4">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54%</w:t>
            </w:r>
          </w:p>
        </w:tc>
        <w:tc>
          <w:tcPr>
            <w:tcW w:w="981" w:type="dxa"/>
            <w:noWrap w:val="0"/>
            <w:vAlign w:val="center"/>
          </w:tcPr>
          <w:p w14:paraId="4D2C84CC">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62%</w:t>
            </w:r>
          </w:p>
        </w:tc>
        <w:tc>
          <w:tcPr>
            <w:tcW w:w="981" w:type="dxa"/>
            <w:noWrap w:val="0"/>
            <w:vAlign w:val="center"/>
          </w:tcPr>
          <w:p w14:paraId="2B59C68E">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70%</w:t>
            </w:r>
          </w:p>
        </w:tc>
        <w:tc>
          <w:tcPr>
            <w:tcW w:w="981" w:type="dxa"/>
            <w:noWrap w:val="0"/>
            <w:vAlign w:val="center"/>
          </w:tcPr>
          <w:p w14:paraId="459255DB">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78%</w:t>
            </w:r>
          </w:p>
        </w:tc>
        <w:tc>
          <w:tcPr>
            <w:tcW w:w="981" w:type="dxa"/>
            <w:noWrap w:val="0"/>
            <w:vAlign w:val="center"/>
          </w:tcPr>
          <w:p w14:paraId="2317F31A">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86%</w:t>
            </w:r>
          </w:p>
        </w:tc>
        <w:tc>
          <w:tcPr>
            <w:tcW w:w="981" w:type="dxa"/>
            <w:noWrap w:val="0"/>
            <w:vAlign w:val="center"/>
          </w:tcPr>
          <w:p w14:paraId="6120993A">
            <w:pPr>
              <w:jc w:val="center"/>
              <w:rPr>
                <w:rFonts w:hint="eastAsia"/>
                <w:color w:val="auto"/>
                <w:sz w:val="24"/>
                <w:szCs w:val="24"/>
                <w:highlight w:val="none"/>
                <w:vertAlign w:val="baseline"/>
                <w:lang w:val="en-US" w:eastAsia="zh-CN"/>
              </w:rPr>
            </w:pPr>
            <w:r>
              <w:rPr>
                <w:rFonts w:hint="eastAsia"/>
                <w:color w:val="auto"/>
                <w:sz w:val="24"/>
                <w:szCs w:val="24"/>
                <w:highlight w:val="none"/>
                <w:vertAlign w:val="baseline"/>
                <w:lang w:val="en-US" w:eastAsia="zh-CN"/>
              </w:rPr>
              <w:t>90%</w:t>
            </w:r>
          </w:p>
        </w:tc>
        <w:tc>
          <w:tcPr>
            <w:tcW w:w="1112" w:type="dxa"/>
            <w:noWrap w:val="0"/>
            <w:vAlign w:val="center"/>
          </w:tcPr>
          <w:p w14:paraId="435BF871">
            <w:pPr>
              <w:jc w:val="center"/>
              <w:rPr>
                <w:rFonts w:hint="default"/>
                <w:color w:val="auto"/>
                <w:sz w:val="24"/>
                <w:szCs w:val="24"/>
                <w:highlight w:val="none"/>
                <w:vertAlign w:val="baseline"/>
                <w:lang w:val="en-US" w:eastAsia="zh-CN"/>
              </w:rPr>
            </w:pPr>
            <w:r>
              <w:rPr>
                <w:rFonts w:hint="eastAsia"/>
                <w:color w:val="auto"/>
                <w:sz w:val="24"/>
                <w:szCs w:val="24"/>
                <w:highlight w:val="none"/>
                <w:vertAlign w:val="baseline"/>
                <w:lang w:val="en-US" w:eastAsia="zh-CN"/>
              </w:rPr>
              <w:t>90%</w:t>
            </w:r>
          </w:p>
        </w:tc>
      </w:tr>
    </w:tbl>
    <w:p w14:paraId="47832A4D">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3D1AC3E8">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2BB18F51">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5DCBB13B">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496CDFDC">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16C4F186">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611B8F7E">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7832A84F">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40629242">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45D6B291">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5D24F372">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51BB7EB4">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4FE58F13">
      <w:pPr>
        <w:rPr>
          <w:rFonts w:hint="eastAsia"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br w:type="page"/>
      </w:r>
    </w:p>
    <w:p w14:paraId="33C10E88">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eastAsia="仿宋_GB2312" w:cs="Times New Roman"/>
          <w:b/>
          <w:bCs/>
          <w:color w:val="auto"/>
          <w:sz w:val="32"/>
          <w:szCs w:val="32"/>
          <w:highlight w:val="none"/>
          <w:lang w:val="en-US" w:eastAsia="zh-CN"/>
        </w:rPr>
      </w:pPr>
    </w:p>
    <w:p w14:paraId="6A27458F">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t>附件3：</w:t>
      </w:r>
    </w:p>
    <w:p w14:paraId="0BA529D6">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eastAsia="仿宋_GB2312" w:cs="Times New Roman"/>
          <w:b/>
          <w:bCs/>
          <w:color w:val="auto"/>
          <w:sz w:val="32"/>
          <w:szCs w:val="32"/>
          <w:highlight w:val="none"/>
          <w:lang w:val="en-US" w:eastAsia="zh-CN"/>
        </w:rPr>
      </w:pPr>
    </w:p>
    <w:tbl>
      <w:tblPr>
        <w:tblStyle w:val="15"/>
        <w:tblW w:w="896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1"/>
        <w:gridCol w:w="1118"/>
        <w:gridCol w:w="1173"/>
        <w:gridCol w:w="2262"/>
        <w:gridCol w:w="780"/>
        <w:gridCol w:w="720"/>
        <w:gridCol w:w="795"/>
        <w:gridCol w:w="1558"/>
      </w:tblGrid>
      <w:tr w14:paraId="5BE5B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967" w:type="dxa"/>
            <w:gridSpan w:val="8"/>
            <w:tcBorders>
              <w:top w:val="nil"/>
              <w:left w:val="nil"/>
              <w:bottom w:val="nil"/>
              <w:right w:val="nil"/>
            </w:tcBorders>
            <w:noWrap w:val="0"/>
            <w:vAlign w:val="center"/>
          </w:tcPr>
          <w:p w14:paraId="3066CC27">
            <w:pPr>
              <w:keepNext w:val="0"/>
              <w:keepLines w:val="0"/>
              <w:widowControl/>
              <w:suppressLineNumbers w:val="0"/>
              <w:jc w:val="center"/>
              <w:textAlignment w:val="center"/>
              <w:rPr>
                <w:rFonts w:hint="eastAsia" w:ascii="宋体" w:hAnsi="宋体" w:eastAsia="宋体" w:cs="宋体"/>
                <w:b/>
                <w:bCs/>
                <w:i w:val="0"/>
                <w:iCs w:val="0"/>
                <w:color w:val="auto"/>
                <w:sz w:val="32"/>
                <w:szCs w:val="32"/>
                <w:highlight w:val="none"/>
                <w:u w:val="none"/>
              </w:rPr>
            </w:pPr>
            <w:r>
              <w:rPr>
                <w:rFonts w:hint="eastAsia" w:ascii="宋体" w:hAnsi="宋体" w:eastAsia="宋体" w:cs="宋体"/>
                <w:b/>
                <w:bCs/>
                <w:i w:val="0"/>
                <w:iCs w:val="0"/>
                <w:color w:val="auto"/>
                <w:kern w:val="0"/>
                <w:sz w:val="32"/>
                <w:szCs w:val="32"/>
                <w:highlight w:val="none"/>
                <w:u w:val="none"/>
                <w:lang w:val="en-US" w:eastAsia="zh-CN" w:bidi="ar"/>
              </w:rPr>
              <w:t>养老项目合作运营年度考核表</w:t>
            </w:r>
          </w:p>
        </w:tc>
      </w:tr>
      <w:tr w14:paraId="290B1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967" w:type="dxa"/>
            <w:gridSpan w:val="8"/>
            <w:tcBorders>
              <w:top w:val="nil"/>
              <w:left w:val="nil"/>
              <w:bottom w:val="nil"/>
              <w:right w:val="nil"/>
            </w:tcBorders>
            <w:noWrap/>
            <w:vAlign w:val="center"/>
          </w:tcPr>
          <w:p w14:paraId="01813342">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考核年度：______年          被考核单位（运营方）：________________      </w:t>
            </w:r>
          </w:p>
          <w:p w14:paraId="69E2138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考核单位：福建阳康康养有限公司</w:t>
            </w:r>
          </w:p>
        </w:tc>
      </w:tr>
      <w:tr w14:paraId="6AD5A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61"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5498086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序号</w:t>
            </w:r>
          </w:p>
        </w:tc>
        <w:tc>
          <w:tcPr>
            <w:tcW w:w="1118"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180BBC7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考核维度</w:t>
            </w:r>
          </w:p>
        </w:tc>
        <w:tc>
          <w:tcPr>
            <w:tcW w:w="1173"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23223C8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考核项目</w:t>
            </w:r>
          </w:p>
        </w:tc>
        <w:tc>
          <w:tcPr>
            <w:tcW w:w="2262"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7ED42657">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考核标准/评分细则</w:t>
            </w:r>
          </w:p>
        </w:tc>
        <w:tc>
          <w:tcPr>
            <w:tcW w:w="780"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77A9944A">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分值</w:t>
            </w:r>
          </w:p>
        </w:tc>
        <w:tc>
          <w:tcPr>
            <w:tcW w:w="720"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1C7946D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自评得分</w:t>
            </w:r>
          </w:p>
        </w:tc>
        <w:tc>
          <w:tcPr>
            <w:tcW w:w="795"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2800C3BD">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考核得分</w:t>
            </w:r>
          </w:p>
        </w:tc>
        <w:tc>
          <w:tcPr>
            <w:tcW w:w="1558" w:type="dxa"/>
            <w:tcBorders>
              <w:top w:val="single" w:color="000000" w:sz="4" w:space="0"/>
              <w:left w:val="single" w:color="000000" w:sz="4" w:space="0"/>
              <w:bottom w:val="single" w:color="000000" w:sz="4" w:space="0"/>
              <w:right w:val="single" w:color="000000" w:sz="4" w:space="0"/>
            </w:tcBorders>
            <w:shd w:val="clear" w:color="2F5496" w:fill="2F5496"/>
            <w:noWrap w:val="0"/>
            <w:vAlign w:val="center"/>
          </w:tcPr>
          <w:p w14:paraId="32D0FFD4">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备注</w:t>
            </w:r>
          </w:p>
        </w:tc>
      </w:tr>
      <w:tr w14:paraId="62BF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61"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1AB839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11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26F9A5EA">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一、入住率考核</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（20分）</w:t>
            </w:r>
          </w:p>
        </w:tc>
        <w:tc>
          <w:tcPr>
            <w:tcW w:w="1173"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0581C163">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年度平均入住率</w:t>
            </w:r>
          </w:p>
        </w:tc>
        <w:tc>
          <w:tcPr>
            <w:tcW w:w="2262" w:type="dxa"/>
            <w:tcBorders>
              <w:top w:val="single" w:color="000000" w:sz="4" w:space="0"/>
              <w:left w:val="single" w:color="000000" w:sz="4" w:space="0"/>
              <w:bottom w:val="single" w:color="000000" w:sz="4" w:space="0"/>
              <w:right w:val="single" w:color="000000" w:sz="4" w:space="0"/>
            </w:tcBorders>
            <w:shd w:val="clear" w:color="D6E4F0" w:fill="D6E4F0"/>
            <w:noWrap w:val="0"/>
            <w:vAlign w:val="top"/>
          </w:tcPr>
          <w:p w14:paraId="322B19D0">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对照入住率目标逐年递增标准（第1年</w:t>
            </w:r>
            <w:r>
              <w:rPr>
                <w:rFonts w:hint="eastAsia" w:ascii="宋体" w:hAnsi="宋体" w:cs="宋体"/>
                <w:i w:val="0"/>
                <w:iCs w:val="0"/>
                <w:color w:val="auto"/>
                <w:kern w:val="0"/>
                <w:sz w:val="18"/>
                <w:szCs w:val="18"/>
                <w:highlight w:val="none"/>
                <w:u w:val="none"/>
                <w:lang w:val="en-US" w:eastAsia="zh-CN" w:bidi="ar"/>
              </w:rPr>
              <w:t>3</w:t>
            </w:r>
            <w:r>
              <w:rPr>
                <w:rFonts w:hint="eastAsia" w:ascii="宋体" w:hAnsi="宋体" w:eastAsia="宋体" w:cs="宋体"/>
                <w:i w:val="0"/>
                <w:iCs w:val="0"/>
                <w:color w:val="auto"/>
                <w:kern w:val="0"/>
                <w:sz w:val="18"/>
                <w:szCs w:val="18"/>
                <w:highlight w:val="none"/>
                <w:u w:val="none"/>
                <w:lang w:val="en-US" w:eastAsia="zh-CN" w:bidi="ar"/>
              </w:rPr>
              <w:t>0%、第2年3</w:t>
            </w:r>
            <w:r>
              <w:rPr>
                <w:rFonts w:hint="eastAsia" w:ascii="宋体" w:hAnsi="宋体" w:cs="宋体"/>
                <w:i w:val="0"/>
                <w:iCs w:val="0"/>
                <w:color w:val="auto"/>
                <w:kern w:val="0"/>
                <w:sz w:val="18"/>
                <w:szCs w:val="18"/>
                <w:highlight w:val="none"/>
                <w:u w:val="none"/>
                <w:lang w:val="en-US" w:eastAsia="zh-CN" w:bidi="ar"/>
              </w:rPr>
              <w:t>8</w:t>
            </w:r>
            <w:r>
              <w:rPr>
                <w:rFonts w:hint="eastAsia" w:ascii="宋体" w:hAnsi="宋体" w:eastAsia="宋体" w:cs="宋体"/>
                <w:i w:val="0"/>
                <w:iCs w:val="0"/>
                <w:color w:val="auto"/>
                <w:kern w:val="0"/>
                <w:sz w:val="18"/>
                <w:szCs w:val="18"/>
                <w:highlight w:val="none"/>
                <w:u w:val="none"/>
                <w:lang w:val="en-US" w:eastAsia="zh-CN" w:bidi="ar"/>
              </w:rPr>
              <w:t>%、第3年</w:t>
            </w:r>
            <w:r>
              <w:rPr>
                <w:rFonts w:hint="eastAsia" w:ascii="宋体" w:hAnsi="宋体" w:cs="宋体"/>
                <w:i w:val="0"/>
                <w:iCs w:val="0"/>
                <w:color w:val="auto"/>
                <w:kern w:val="0"/>
                <w:sz w:val="18"/>
                <w:szCs w:val="18"/>
                <w:highlight w:val="none"/>
                <w:u w:val="none"/>
                <w:lang w:val="en-US" w:eastAsia="zh-CN" w:bidi="ar"/>
              </w:rPr>
              <w:t>46</w:t>
            </w:r>
            <w:r>
              <w:rPr>
                <w:rFonts w:hint="eastAsia" w:ascii="宋体" w:hAnsi="宋体" w:eastAsia="宋体" w:cs="宋体"/>
                <w:i w:val="0"/>
                <w:iCs w:val="0"/>
                <w:color w:val="auto"/>
                <w:kern w:val="0"/>
                <w:sz w:val="18"/>
                <w:szCs w:val="18"/>
                <w:highlight w:val="none"/>
                <w:u w:val="none"/>
                <w:lang w:val="en-US" w:eastAsia="zh-CN" w:bidi="ar"/>
              </w:rPr>
              <w:t>%、第4年</w:t>
            </w:r>
            <w:r>
              <w:rPr>
                <w:rFonts w:hint="eastAsia" w:ascii="宋体" w:hAnsi="宋体" w:cs="宋体"/>
                <w:i w:val="0"/>
                <w:iCs w:val="0"/>
                <w:color w:val="auto"/>
                <w:kern w:val="0"/>
                <w:sz w:val="18"/>
                <w:szCs w:val="18"/>
                <w:highlight w:val="none"/>
                <w:u w:val="none"/>
                <w:lang w:val="en-US" w:eastAsia="zh-CN" w:bidi="ar"/>
              </w:rPr>
              <w:t>54</w:t>
            </w:r>
            <w:r>
              <w:rPr>
                <w:rFonts w:hint="eastAsia" w:ascii="宋体" w:hAnsi="宋体" w:eastAsia="宋体" w:cs="宋体"/>
                <w:i w:val="0"/>
                <w:iCs w:val="0"/>
                <w:color w:val="auto"/>
                <w:kern w:val="0"/>
                <w:sz w:val="18"/>
                <w:szCs w:val="18"/>
                <w:highlight w:val="none"/>
                <w:u w:val="none"/>
                <w:lang w:val="en-US" w:eastAsia="zh-CN" w:bidi="ar"/>
              </w:rPr>
              <w:t>、第5年</w:t>
            </w:r>
            <w:r>
              <w:rPr>
                <w:rFonts w:hint="eastAsia" w:ascii="宋体" w:hAnsi="宋体" w:cs="宋体"/>
                <w:i w:val="0"/>
                <w:iCs w:val="0"/>
                <w:color w:val="auto"/>
                <w:kern w:val="0"/>
                <w:sz w:val="18"/>
                <w:szCs w:val="18"/>
                <w:highlight w:val="none"/>
                <w:u w:val="none"/>
                <w:lang w:val="en-US" w:eastAsia="zh-CN" w:bidi="ar"/>
              </w:rPr>
              <w:t>62</w:t>
            </w:r>
            <w:r>
              <w:rPr>
                <w:rFonts w:hint="eastAsia" w:ascii="宋体" w:hAnsi="宋体" w:eastAsia="宋体" w:cs="宋体"/>
                <w:i w:val="0"/>
                <w:iCs w:val="0"/>
                <w:color w:val="auto"/>
                <w:kern w:val="0"/>
                <w:sz w:val="18"/>
                <w:szCs w:val="18"/>
                <w:highlight w:val="none"/>
                <w:u w:val="none"/>
                <w:lang w:val="en-US" w:eastAsia="zh-CN" w:bidi="ar"/>
              </w:rPr>
              <w:t>%、第6年</w:t>
            </w:r>
            <w:r>
              <w:rPr>
                <w:rFonts w:hint="eastAsia" w:ascii="宋体" w:hAnsi="宋体" w:cs="宋体"/>
                <w:i w:val="0"/>
                <w:iCs w:val="0"/>
                <w:color w:val="auto"/>
                <w:kern w:val="0"/>
                <w:sz w:val="18"/>
                <w:szCs w:val="18"/>
                <w:highlight w:val="none"/>
                <w:u w:val="none"/>
                <w:lang w:val="en-US" w:eastAsia="zh-CN" w:bidi="ar"/>
              </w:rPr>
              <w:t>70</w:t>
            </w:r>
            <w:r>
              <w:rPr>
                <w:rFonts w:hint="eastAsia" w:ascii="宋体" w:hAnsi="宋体" w:eastAsia="宋体" w:cs="宋体"/>
                <w:i w:val="0"/>
                <w:iCs w:val="0"/>
                <w:color w:val="auto"/>
                <w:kern w:val="0"/>
                <w:sz w:val="18"/>
                <w:szCs w:val="18"/>
                <w:highlight w:val="none"/>
                <w:u w:val="none"/>
                <w:lang w:val="en-US" w:eastAsia="zh-CN" w:bidi="ar"/>
              </w:rPr>
              <w:t>%、第7年</w:t>
            </w:r>
            <w:r>
              <w:rPr>
                <w:rFonts w:hint="eastAsia" w:ascii="宋体" w:hAnsi="宋体" w:cs="宋体"/>
                <w:i w:val="0"/>
                <w:iCs w:val="0"/>
                <w:color w:val="auto"/>
                <w:kern w:val="0"/>
                <w:sz w:val="18"/>
                <w:szCs w:val="18"/>
                <w:highlight w:val="none"/>
                <w:u w:val="none"/>
                <w:lang w:val="en-US" w:eastAsia="zh-CN" w:bidi="ar"/>
              </w:rPr>
              <w:t>78</w:t>
            </w:r>
            <w:r>
              <w:rPr>
                <w:rFonts w:hint="eastAsia" w:ascii="宋体" w:hAnsi="宋体" w:eastAsia="宋体" w:cs="宋体"/>
                <w:i w:val="0"/>
                <w:iCs w:val="0"/>
                <w:color w:val="auto"/>
                <w:kern w:val="0"/>
                <w:sz w:val="18"/>
                <w:szCs w:val="18"/>
                <w:highlight w:val="none"/>
                <w:u w:val="none"/>
                <w:lang w:val="en-US" w:eastAsia="zh-CN" w:bidi="ar"/>
              </w:rPr>
              <w:t>%、第8年</w:t>
            </w:r>
            <w:r>
              <w:rPr>
                <w:rFonts w:hint="eastAsia" w:ascii="宋体" w:hAnsi="宋体" w:cs="宋体"/>
                <w:i w:val="0"/>
                <w:iCs w:val="0"/>
                <w:color w:val="auto"/>
                <w:kern w:val="0"/>
                <w:sz w:val="18"/>
                <w:szCs w:val="18"/>
                <w:highlight w:val="none"/>
                <w:u w:val="none"/>
                <w:lang w:val="en-US" w:eastAsia="zh-CN" w:bidi="ar"/>
              </w:rPr>
              <w:t>86</w:t>
            </w:r>
            <w:r>
              <w:rPr>
                <w:rFonts w:hint="eastAsia" w:ascii="宋体" w:hAnsi="宋体" w:eastAsia="宋体" w:cs="宋体"/>
                <w:i w:val="0"/>
                <w:iCs w:val="0"/>
                <w:color w:val="auto"/>
                <w:kern w:val="0"/>
                <w:sz w:val="18"/>
                <w:szCs w:val="18"/>
                <w:highlight w:val="none"/>
                <w:u w:val="none"/>
                <w:lang w:val="en-US" w:eastAsia="zh-CN" w:bidi="ar"/>
              </w:rPr>
              <w:t>%、第9年</w:t>
            </w:r>
            <w:r>
              <w:rPr>
                <w:rFonts w:hint="eastAsia" w:ascii="宋体" w:hAnsi="宋体" w:cs="宋体"/>
                <w:i w:val="0"/>
                <w:iCs w:val="0"/>
                <w:color w:val="auto"/>
                <w:kern w:val="0"/>
                <w:sz w:val="18"/>
                <w:szCs w:val="18"/>
                <w:highlight w:val="none"/>
                <w:u w:val="none"/>
                <w:lang w:val="en-US" w:eastAsia="zh-CN" w:bidi="ar"/>
              </w:rPr>
              <w:t>90</w:t>
            </w:r>
            <w:r>
              <w:rPr>
                <w:rFonts w:hint="eastAsia" w:ascii="宋体" w:hAnsi="宋体" w:eastAsia="宋体" w:cs="宋体"/>
                <w:i w:val="0"/>
                <w:iCs w:val="0"/>
                <w:color w:val="auto"/>
                <w:kern w:val="0"/>
                <w:sz w:val="18"/>
                <w:szCs w:val="18"/>
                <w:highlight w:val="none"/>
                <w:u w:val="none"/>
                <w:lang w:val="en-US" w:eastAsia="zh-CN" w:bidi="ar"/>
              </w:rPr>
              <w:t>%、第10年90%），实际入住率达到目标值得满分；每低5个百分点扣2分，扣完为止。</w:t>
            </w:r>
          </w:p>
        </w:tc>
        <w:tc>
          <w:tcPr>
            <w:tcW w:w="78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C8E8BE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20</w:t>
            </w:r>
          </w:p>
        </w:tc>
        <w:tc>
          <w:tcPr>
            <w:tcW w:w="72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59327CEA">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379544D">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3A20C952">
            <w:pPr>
              <w:jc w:val="center"/>
              <w:rPr>
                <w:rFonts w:hint="eastAsia" w:ascii="宋体" w:hAnsi="宋体" w:eastAsia="宋体" w:cs="宋体"/>
                <w:i w:val="0"/>
                <w:iCs w:val="0"/>
                <w:color w:val="auto"/>
                <w:sz w:val="20"/>
                <w:szCs w:val="20"/>
                <w:highlight w:val="none"/>
                <w:u w:val="none"/>
              </w:rPr>
            </w:pPr>
          </w:p>
        </w:tc>
      </w:tr>
      <w:tr w14:paraId="2C1C2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61" w:type="dxa"/>
            <w:tcBorders>
              <w:top w:val="single" w:color="000000" w:sz="4" w:space="0"/>
              <w:left w:val="single" w:color="000000" w:sz="4" w:space="0"/>
              <w:bottom w:val="single" w:color="000000" w:sz="4" w:space="0"/>
              <w:right w:val="single" w:color="000000" w:sz="4" w:space="0"/>
            </w:tcBorders>
            <w:noWrap w:val="0"/>
            <w:vAlign w:val="center"/>
          </w:tcPr>
          <w:p w14:paraId="24CD023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118" w:type="dxa"/>
            <w:tcBorders>
              <w:top w:val="single" w:color="000000" w:sz="4" w:space="0"/>
              <w:left w:val="single" w:color="000000" w:sz="4" w:space="0"/>
              <w:bottom w:val="single" w:color="000000" w:sz="4" w:space="0"/>
              <w:right w:val="single" w:color="000000" w:sz="4" w:space="0"/>
            </w:tcBorders>
            <w:noWrap w:val="0"/>
            <w:vAlign w:val="center"/>
          </w:tcPr>
          <w:p w14:paraId="652CDF4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二、营业收入考核</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（15分）</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E7730F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营业额缴纳</w:t>
            </w:r>
          </w:p>
        </w:tc>
        <w:tc>
          <w:tcPr>
            <w:tcW w:w="2262" w:type="dxa"/>
            <w:tcBorders>
              <w:top w:val="single" w:color="000000" w:sz="4" w:space="0"/>
              <w:left w:val="single" w:color="000000" w:sz="4" w:space="0"/>
              <w:bottom w:val="single" w:color="000000" w:sz="4" w:space="0"/>
              <w:right w:val="single" w:color="000000" w:sz="4" w:space="0"/>
            </w:tcBorders>
            <w:noWrap w:val="0"/>
            <w:vAlign w:val="top"/>
          </w:tcPr>
          <w:p w14:paraId="7F6BA5DA">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按合同约定及时足额营业额入账。</w:t>
            </w:r>
            <w:r>
              <w:rPr>
                <w:rFonts w:hint="eastAsia" w:ascii="宋体" w:hAnsi="宋体" w:cs="宋体"/>
                <w:i w:val="0"/>
                <w:iCs w:val="0"/>
                <w:color w:val="auto"/>
                <w:kern w:val="0"/>
                <w:sz w:val="18"/>
                <w:szCs w:val="18"/>
                <w:highlight w:val="none"/>
                <w:u w:val="none"/>
                <w:lang w:val="en-US" w:eastAsia="zh-CN" w:bidi="ar"/>
              </w:rPr>
              <w:t>营业额未及时入账，</w:t>
            </w:r>
            <w:r>
              <w:rPr>
                <w:rFonts w:hint="eastAsia" w:ascii="宋体" w:hAnsi="宋体" w:eastAsia="宋体" w:cs="宋体"/>
                <w:i w:val="0"/>
                <w:iCs w:val="0"/>
                <w:color w:val="auto"/>
                <w:kern w:val="0"/>
                <w:sz w:val="18"/>
                <w:szCs w:val="18"/>
                <w:highlight w:val="none"/>
                <w:u w:val="none"/>
                <w:lang w:val="en-US" w:eastAsia="zh-CN" w:bidi="ar"/>
              </w:rPr>
              <w:t>每延迟1次（3天）扣3分；扣完为止。</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35558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536F844">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098BEC04">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9B41DAF">
            <w:pPr>
              <w:jc w:val="center"/>
              <w:rPr>
                <w:rFonts w:hint="eastAsia" w:ascii="宋体" w:hAnsi="宋体" w:eastAsia="宋体" w:cs="宋体"/>
                <w:i w:val="0"/>
                <w:iCs w:val="0"/>
                <w:color w:val="auto"/>
                <w:sz w:val="20"/>
                <w:szCs w:val="20"/>
                <w:highlight w:val="none"/>
                <w:u w:val="none"/>
              </w:rPr>
            </w:pPr>
          </w:p>
        </w:tc>
      </w:tr>
      <w:tr w14:paraId="6EF30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61" w:type="dxa"/>
            <w:vMerge w:val="restart"/>
            <w:tcBorders>
              <w:top w:val="single" w:color="000000" w:sz="4" w:space="0"/>
              <w:left w:val="single" w:color="000000" w:sz="4" w:space="0"/>
              <w:right w:val="single" w:color="000000" w:sz="4" w:space="0"/>
            </w:tcBorders>
            <w:shd w:val="clear" w:color="D6E4F0" w:fill="D6E4F0"/>
            <w:noWrap w:val="0"/>
            <w:vAlign w:val="center"/>
          </w:tcPr>
          <w:p w14:paraId="38A2A0F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118" w:type="dxa"/>
            <w:vMerge w:val="restart"/>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045F45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三、服务质量考核</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（20分）</w:t>
            </w:r>
          </w:p>
        </w:tc>
        <w:tc>
          <w:tcPr>
            <w:tcW w:w="1173"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D9634C3">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养老服务规范性</w:t>
            </w:r>
          </w:p>
        </w:tc>
        <w:tc>
          <w:tcPr>
            <w:tcW w:w="2262" w:type="dxa"/>
            <w:tcBorders>
              <w:top w:val="single" w:color="000000" w:sz="4" w:space="0"/>
              <w:left w:val="single" w:color="000000" w:sz="4" w:space="0"/>
              <w:bottom w:val="single" w:color="000000" w:sz="4" w:space="0"/>
              <w:right w:val="single" w:color="000000" w:sz="4" w:space="0"/>
            </w:tcBorders>
            <w:shd w:val="clear" w:color="D6E4F0" w:fill="D6E4F0"/>
            <w:noWrap w:val="0"/>
            <w:vAlign w:val="top"/>
          </w:tcPr>
          <w:p w14:paraId="749870E2">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建立完善的养老服务体系（含生活照料、医疗护理、康复训练等）得5分；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制定并执行养老服务标准操作规程得3分；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定期开展服务人员培训（每年不少于2次）得2分；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 服务档案齐全、更新及时得2分。</w:t>
            </w:r>
          </w:p>
        </w:tc>
        <w:tc>
          <w:tcPr>
            <w:tcW w:w="78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7E9CC2D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72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A7E8F4D">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7C98397B">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6A8FF998">
            <w:pPr>
              <w:jc w:val="center"/>
              <w:rPr>
                <w:rFonts w:hint="eastAsia" w:ascii="宋体" w:hAnsi="宋体" w:eastAsia="宋体" w:cs="宋体"/>
                <w:i w:val="0"/>
                <w:iCs w:val="0"/>
                <w:color w:val="auto"/>
                <w:sz w:val="20"/>
                <w:szCs w:val="20"/>
                <w:highlight w:val="none"/>
                <w:u w:val="none"/>
              </w:rPr>
            </w:pPr>
          </w:p>
        </w:tc>
      </w:tr>
      <w:tr w14:paraId="33586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61" w:type="dxa"/>
            <w:vMerge w:val="continue"/>
            <w:tcBorders>
              <w:left w:val="single" w:color="000000" w:sz="4" w:space="0"/>
              <w:right w:val="single" w:color="000000" w:sz="4" w:space="0"/>
            </w:tcBorders>
            <w:shd w:val="clear" w:color="auto" w:fill="auto"/>
            <w:noWrap w:val="0"/>
            <w:vAlign w:val="center"/>
          </w:tcPr>
          <w:p w14:paraId="6789AF53">
            <w:pPr>
              <w:jc w:val="center"/>
              <w:rPr>
                <w:rFonts w:hint="eastAsia" w:ascii="宋体" w:hAnsi="宋体" w:eastAsia="宋体" w:cs="宋体"/>
                <w:i w:val="0"/>
                <w:iCs w:val="0"/>
                <w:color w:val="auto"/>
                <w:sz w:val="20"/>
                <w:szCs w:val="20"/>
                <w:highlight w:val="none"/>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24858641">
            <w:pPr>
              <w:jc w:val="center"/>
              <w:rPr>
                <w:rFonts w:hint="eastAsia" w:ascii="宋体" w:hAnsi="宋体" w:eastAsia="宋体" w:cs="宋体"/>
                <w:b/>
                <w:bCs/>
                <w:i w:val="0"/>
                <w:iCs w:val="0"/>
                <w:color w:val="auto"/>
                <w:sz w:val="20"/>
                <w:szCs w:val="20"/>
                <w:highlight w:val="none"/>
                <w:u w:val="none"/>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A794EF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老人满意度</w:t>
            </w:r>
          </w:p>
        </w:tc>
        <w:tc>
          <w:tcPr>
            <w:tcW w:w="2262" w:type="dxa"/>
            <w:tcBorders>
              <w:top w:val="single" w:color="000000" w:sz="4" w:space="0"/>
              <w:left w:val="single" w:color="000000" w:sz="4" w:space="0"/>
              <w:bottom w:val="single" w:color="000000" w:sz="4" w:space="0"/>
              <w:right w:val="single" w:color="000000" w:sz="4" w:space="0"/>
            </w:tcBorders>
            <w:noWrap w:val="0"/>
            <w:vAlign w:val="top"/>
          </w:tcPr>
          <w:p w14:paraId="3F051C6D">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每年至少开展1次入住老人及家属满意度调查，满意度≥90%得5分；80%-89%得3分；70%-79%得1分；&lt;70%得0分。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E50592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83D2DEF">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3AC8D368">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2508E3D">
            <w:pPr>
              <w:jc w:val="center"/>
              <w:rPr>
                <w:rFonts w:hint="eastAsia" w:ascii="宋体" w:hAnsi="宋体" w:eastAsia="宋体" w:cs="宋体"/>
                <w:i w:val="0"/>
                <w:iCs w:val="0"/>
                <w:color w:val="auto"/>
                <w:sz w:val="20"/>
                <w:szCs w:val="20"/>
                <w:highlight w:val="none"/>
                <w:u w:val="none"/>
              </w:rPr>
            </w:pPr>
          </w:p>
        </w:tc>
      </w:tr>
      <w:tr w14:paraId="70433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61" w:type="dxa"/>
            <w:vMerge w:val="continue"/>
            <w:tcBorders>
              <w:left w:val="single" w:color="000000" w:sz="4" w:space="0"/>
              <w:bottom w:val="single" w:color="000000" w:sz="4" w:space="0"/>
              <w:right w:val="single" w:color="000000" w:sz="4" w:space="0"/>
            </w:tcBorders>
            <w:shd w:val="clear" w:color="auto" w:fill="auto"/>
            <w:noWrap w:val="0"/>
            <w:vAlign w:val="center"/>
          </w:tcPr>
          <w:p w14:paraId="1286215E">
            <w:pPr>
              <w:jc w:val="center"/>
              <w:rPr>
                <w:rFonts w:hint="eastAsia" w:ascii="宋体" w:hAnsi="宋体" w:eastAsia="宋体" w:cs="宋体"/>
                <w:i w:val="0"/>
                <w:iCs w:val="0"/>
                <w:color w:val="auto"/>
                <w:sz w:val="20"/>
                <w:szCs w:val="20"/>
                <w:highlight w:val="none"/>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3C13F675">
            <w:pPr>
              <w:jc w:val="center"/>
              <w:rPr>
                <w:rFonts w:hint="eastAsia" w:ascii="宋体" w:hAnsi="宋体" w:eastAsia="宋体" w:cs="宋体"/>
                <w:b/>
                <w:bCs/>
                <w:i w:val="0"/>
                <w:iCs w:val="0"/>
                <w:color w:val="auto"/>
                <w:sz w:val="20"/>
                <w:szCs w:val="20"/>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500CB95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投诉处理</w:t>
            </w:r>
          </w:p>
        </w:tc>
        <w:tc>
          <w:tcPr>
            <w:tcW w:w="2262" w:type="dxa"/>
            <w:tcBorders>
              <w:top w:val="single" w:color="000000" w:sz="4" w:space="0"/>
              <w:left w:val="single" w:color="000000" w:sz="4" w:space="0"/>
              <w:bottom w:val="single" w:color="000000" w:sz="4" w:space="0"/>
              <w:right w:val="single" w:color="000000" w:sz="4" w:space="0"/>
            </w:tcBorders>
            <w:shd w:val="clear" w:color="D6E4F0" w:fill="D6E4F0"/>
            <w:noWrap w:val="0"/>
            <w:vAlign w:val="top"/>
          </w:tcPr>
          <w:p w14:paraId="746A3E16">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建立投诉受理机制，投诉处理及时率100%得3分；每发生1起有效投诉未及时处理扣1分，扣完为止。</w:t>
            </w:r>
          </w:p>
        </w:tc>
        <w:tc>
          <w:tcPr>
            <w:tcW w:w="78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156060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72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3408ADE0">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B769F91">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01E91975">
            <w:pPr>
              <w:jc w:val="center"/>
              <w:rPr>
                <w:rFonts w:hint="eastAsia" w:ascii="宋体" w:hAnsi="宋体" w:eastAsia="宋体" w:cs="宋体"/>
                <w:i w:val="0"/>
                <w:iCs w:val="0"/>
                <w:color w:val="auto"/>
                <w:sz w:val="20"/>
                <w:szCs w:val="20"/>
                <w:highlight w:val="none"/>
                <w:u w:val="none"/>
              </w:rPr>
            </w:pPr>
          </w:p>
        </w:tc>
      </w:tr>
      <w:tr w14:paraId="781F1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6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85D5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118" w:type="dxa"/>
            <w:vMerge w:val="restart"/>
            <w:tcBorders>
              <w:top w:val="single" w:color="000000" w:sz="4" w:space="0"/>
              <w:left w:val="single" w:color="000000" w:sz="4" w:space="0"/>
              <w:bottom w:val="single" w:color="000000" w:sz="4" w:space="0"/>
              <w:right w:val="single" w:color="000000" w:sz="4" w:space="0"/>
            </w:tcBorders>
            <w:noWrap w:val="0"/>
            <w:vAlign w:val="center"/>
          </w:tcPr>
          <w:p w14:paraId="36F8297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四、安全管理考核</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（15分）</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BF033D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消防安全</w:t>
            </w:r>
          </w:p>
        </w:tc>
        <w:tc>
          <w:tcPr>
            <w:tcW w:w="2262" w:type="dxa"/>
            <w:tcBorders>
              <w:top w:val="single" w:color="000000" w:sz="4" w:space="0"/>
              <w:left w:val="single" w:color="000000" w:sz="4" w:space="0"/>
              <w:bottom w:val="single" w:color="000000" w:sz="4" w:space="0"/>
              <w:right w:val="single" w:color="000000" w:sz="4" w:space="0"/>
            </w:tcBorders>
            <w:noWrap w:val="0"/>
            <w:vAlign w:val="top"/>
          </w:tcPr>
          <w:p w14:paraId="45C0225C">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通过消防验收并取得合格证明得5分；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配备完善的消防设施设备并保持完好得3分；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定期开展消防演练（每年不少于1次）得2分。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401AB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9A35A9">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21ADB361">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054C335B">
            <w:pPr>
              <w:jc w:val="center"/>
              <w:rPr>
                <w:rFonts w:hint="eastAsia" w:ascii="宋体" w:hAnsi="宋体" w:eastAsia="宋体" w:cs="宋体"/>
                <w:i w:val="0"/>
                <w:iCs w:val="0"/>
                <w:color w:val="auto"/>
                <w:sz w:val="20"/>
                <w:szCs w:val="20"/>
                <w:highlight w:val="none"/>
                <w:u w:val="none"/>
              </w:rPr>
            </w:pPr>
          </w:p>
        </w:tc>
      </w:tr>
      <w:tr w14:paraId="7724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6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1F522">
            <w:pPr>
              <w:jc w:val="center"/>
              <w:rPr>
                <w:rFonts w:hint="eastAsia" w:ascii="宋体" w:hAnsi="宋体" w:eastAsia="宋体" w:cs="宋体"/>
                <w:i w:val="0"/>
                <w:iCs w:val="0"/>
                <w:color w:val="auto"/>
                <w:sz w:val="20"/>
                <w:szCs w:val="20"/>
                <w:highlight w:val="none"/>
                <w:u w:val="none"/>
              </w:rPr>
            </w:pPr>
          </w:p>
        </w:tc>
        <w:tc>
          <w:tcPr>
            <w:tcW w:w="11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B2690">
            <w:pPr>
              <w:jc w:val="center"/>
              <w:rPr>
                <w:rFonts w:hint="eastAsia" w:ascii="宋体" w:hAnsi="宋体" w:eastAsia="宋体" w:cs="宋体"/>
                <w:b/>
                <w:bCs/>
                <w:i w:val="0"/>
                <w:iCs w:val="0"/>
                <w:color w:val="auto"/>
                <w:sz w:val="20"/>
                <w:szCs w:val="20"/>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5C9124A3">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食品安全与卫生</w:t>
            </w:r>
          </w:p>
        </w:tc>
        <w:tc>
          <w:tcPr>
            <w:tcW w:w="2262" w:type="dxa"/>
            <w:tcBorders>
              <w:top w:val="single" w:color="000000" w:sz="4" w:space="0"/>
              <w:left w:val="single" w:color="000000" w:sz="4" w:space="0"/>
              <w:bottom w:val="single" w:color="000000" w:sz="4" w:space="0"/>
              <w:right w:val="single" w:color="000000" w:sz="4" w:space="0"/>
            </w:tcBorders>
            <w:shd w:val="clear" w:color="D6E4F0" w:fill="D6E4F0"/>
            <w:noWrap w:val="0"/>
            <w:vAlign w:val="top"/>
          </w:tcPr>
          <w:p w14:paraId="57F74BC9">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食堂取得食品经营许可证得2分；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食品采购台账齐全、留样规范得2分；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环境卫生达标、定期消杀得1分。</w:t>
            </w:r>
          </w:p>
        </w:tc>
        <w:tc>
          <w:tcPr>
            <w:tcW w:w="78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5D608C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72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6449168">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6A2ECC43">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272E6DE1">
            <w:pPr>
              <w:jc w:val="center"/>
              <w:rPr>
                <w:rFonts w:hint="eastAsia" w:ascii="宋体" w:hAnsi="宋体" w:eastAsia="宋体" w:cs="宋体"/>
                <w:i w:val="0"/>
                <w:iCs w:val="0"/>
                <w:color w:val="auto"/>
                <w:sz w:val="20"/>
                <w:szCs w:val="20"/>
                <w:highlight w:val="none"/>
                <w:u w:val="none"/>
              </w:rPr>
            </w:pPr>
          </w:p>
        </w:tc>
      </w:tr>
      <w:tr w14:paraId="29B36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61" w:type="dxa"/>
            <w:tcBorders>
              <w:top w:val="single" w:color="000000" w:sz="4" w:space="0"/>
              <w:left w:val="single" w:color="000000" w:sz="4" w:space="0"/>
              <w:bottom w:val="single" w:color="000000" w:sz="4" w:space="0"/>
              <w:right w:val="single" w:color="000000" w:sz="4" w:space="0"/>
            </w:tcBorders>
            <w:noWrap w:val="0"/>
            <w:vAlign w:val="center"/>
          </w:tcPr>
          <w:p w14:paraId="0789E8C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118" w:type="dxa"/>
            <w:tcBorders>
              <w:top w:val="single" w:color="000000" w:sz="4" w:space="0"/>
              <w:left w:val="single" w:color="000000" w:sz="4" w:space="0"/>
              <w:bottom w:val="single" w:color="000000" w:sz="4" w:space="0"/>
              <w:right w:val="single" w:color="000000" w:sz="4" w:space="0"/>
            </w:tcBorders>
            <w:noWrap w:val="0"/>
            <w:vAlign w:val="center"/>
          </w:tcPr>
          <w:p w14:paraId="45131EB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五、设施维护考核</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（10分）</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31EE07C">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资产维护管理</w:t>
            </w:r>
          </w:p>
        </w:tc>
        <w:tc>
          <w:tcPr>
            <w:tcW w:w="2262" w:type="dxa"/>
            <w:tcBorders>
              <w:top w:val="single" w:color="000000" w:sz="4" w:space="0"/>
              <w:left w:val="single" w:color="000000" w:sz="4" w:space="0"/>
              <w:bottom w:val="single" w:color="000000" w:sz="4" w:space="0"/>
              <w:right w:val="single" w:color="000000" w:sz="4" w:space="0"/>
            </w:tcBorders>
            <w:noWrap w:val="0"/>
            <w:vAlign w:val="top"/>
          </w:tcPr>
          <w:p w14:paraId="56109367">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国有资产设施设备完好率≥95%得4分；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建立设施设备的日常巡检和维护保养制度并执行得3分；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适老化设施完好、无障碍通道畅通得3分。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425C25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88B74A9">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3ABEE750">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6D1A9D8">
            <w:pPr>
              <w:jc w:val="center"/>
              <w:rPr>
                <w:rFonts w:hint="eastAsia" w:ascii="宋体" w:hAnsi="宋体" w:eastAsia="宋体" w:cs="宋体"/>
                <w:i w:val="0"/>
                <w:iCs w:val="0"/>
                <w:color w:val="auto"/>
                <w:sz w:val="20"/>
                <w:szCs w:val="20"/>
                <w:highlight w:val="none"/>
                <w:u w:val="none"/>
              </w:rPr>
            </w:pPr>
          </w:p>
        </w:tc>
      </w:tr>
      <w:tr w14:paraId="17D7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61"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18ACCA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111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0AC6823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六、合同履行考核</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（10分）</w:t>
            </w:r>
          </w:p>
        </w:tc>
        <w:tc>
          <w:tcPr>
            <w:tcW w:w="1173"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24B6428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合同条款执行</w:t>
            </w:r>
          </w:p>
        </w:tc>
        <w:tc>
          <w:tcPr>
            <w:tcW w:w="2262" w:type="dxa"/>
            <w:tcBorders>
              <w:top w:val="single" w:color="000000" w:sz="4" w:space="0"/>
              <w:left w:val="single" w:color="000000" w:sz="4" w:space="0"/>
              <w:bottom w:val="single" w:color="000000" w:sz="4" w:space="0"/>
              <w:right w:val="single" w:color="000000" w:sz="4" w:space="0"/>
            </w:tcBorders>
            <w:shd w:val="clear" w:color="D6E4F0" w:fill="D6E4F0"/>
            <w:noWrap w:val="0"/>
            <w:vAlign w:val="top"/>
          </w:tcPr>
          <w:p w14:paraId="7B7D062C">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履约保证金按时足额缴纳得3分；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未擅自转包/分包得3分；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按要求每月报送运营数据报表得2分；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4. 配合考核单位监督检查得2分。</w:t>
            </w:r>
          </w:p>
        </w:tc>
        <w:tc>
          <w:tcPr>
            <w:tcW w:w="78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5B87BC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20"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0ABD68F9">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3B219BFE">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shd w:val="clear" w:color="D6E4F0" w:fill="D6E4F0"/>
            <w:noWrap w:val="0"/>
            <w:vAlign w:val="center"/>
          </w:tcPr>
          <w:p w14:paraId="4ADC44D7">
            <w:pPr>
              <w:jc w:val="center"/>
              <w:rPr>
                <w:rFonts w:hint="eastAsia" w:ascii="宋体" w:hAnsi="宋体" w:eastAsia="宋体" w:cs="宋体"/>
                <w:i w:val="0"/>
                <w:iCs w:val="0"/>
                <w:color w:val="auto"/>
                <w:sz w:val="20"/>
                <w:szCs w:val="20"/>
                <w:highlight w:val="none"/>
                <w:u w:val="none"/>
              </w:rPr>
            </w:pPr>
          </w:p>
        </w:tc>
      </w:tr>
      <w:tr w14:paraId="5CBCC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561" w:type="dxa"/>
            <w:tcBorders>
              <w:top w:val="single" w:color="000000" w:sz="4" w:space="0"/>
              <w:left w:val="single" w:color="000000" w:sz="4" w:space="0"/>
              <w:bottom w:val="single" w:color="000000" w:sz="4" w:space="0"/>
              <w:right w:val="single" w:color="000000" w:sz="4" w:space="0"/>
            </w:tcBorders>
            <w:noWrap w:val="0"/>
            <w:vAlign w:val="center"/>
          </w:tcPr>
          <w:p w14:paraId="2AE9757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1118" w:type="dxa"/>
            <w:tcBorders>
              <w:top w:val="single" w:color="000000" w:sz="4" w:space="0"/>
              <w:left w:val="single" w:color="000000" w:sz="4" w:space="0"/>
              <w:bottom w:val="single" w:color="000000" w:sz="4" w:space="0"/>
              <w:right w:val="single" w:color="000000" w:sz="4" w:space="0"/>
            </w:tcBorders>
            <w:noWrap w:val="0"/>
            <w:vAlign w:val="center"/>
          </w:tcPr>
          <w:p w14:paraId="3D54E05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七、加分项</w:t>
            </w:r>
            <w:r>
              <w:rPr>
                <w:rFonts w:hint="eastAsia" w:ascii="宋体" w:hAnsi="宋体" w:eastAsia="宋体" w:cs="宋体"/>
                <w:b/>
                <w:bCs/>
                <w:i w:val="0"/>
                <w:iCs w:val="0"/>
                <w:color w:val="auto"/>
                <w:kern w:val="0"/>
                <w:sz w:val="20"/>
                <w:szCs w:val="20"/>
                <w:highlight w:val="none"/>
                <w:u w:val="none"/>
                <w:lang w:val="en-US" w:eastAsia="zh-CN" w:bidi="ar"/>
              </w:rPr>
              <w:br w:type="textWrapping"/>
            </w:r>
            <w:r>
              <w:rPr>
                <w:rFonts w:hint="eastAsia" w:ascii="宋体" w:hAnsi="宋体" w:eastAsia="宋体" w:cs="宋体"/>
                <w:b/>
                <w:bCs/>
                <w:i w:val="0"/>
                <w:iCs w:val="0"/>
                <w:color w:val="auto"/>
                <w:kern w:val="0"/>
                <w:sz w:val="20"/>
                <w:szCs w:val="20"/>
                <w:highlight w:val="none"/>
                <w:u w:val="none"/>
                <w:lang w:val="en-US" w:eastAsia="zh-CN" w:bidi="ar"/>
              </w:rPr>
              <w:t>（10分）</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35D1A06">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突出贡献与荣誉</w:t>
            </w:r>
          </w:p>
        </w:tc>
        <w:tc>
          <w:tcPr>
            <w:tcW w:w="2262" w:type="dxa"/>
            <w:tcBorders>
              <w:top w:val="single" w:color="000000" w:sz="4" w:space="0"/>
              <w:left w:val="single" w:color="000000" w:sz="4" w:space="0"/>
              <w:bottom w:val="single" w:color="000000" w:sz="4" w:space="0"/>
              <w:right w:val="single" w:color="000000" w:sz="4" w:space="0"/>
            </w:tcBorders>
            <w:noWrap w:val="0"/>
            <w:vAlign w:val="top"/>
          </w:tcPr>
          <w:p w14:paraId="770FB8CB">
            <w:pPr>
              <w:keepNext w:val="0"/>
              <w:keepLines w:val="0"/>
              <w:widowControl/>
              <w:suppressLineNumbers w:val="0"/>
              <w:jc w:val="left"/>
              <w:textAlignment w:val="top"/>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获得县级及以上政府部门表彰奖励，每项加3分，最多加9分；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2. 收到入住老人及家属书面表扬/锦旗，每次加1分，最多加4分；</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3. 创新服务模式获推广认可的，加5分。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73B30A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2D8BE8">
            <w:pPr>
              <w:jc w:val="center"/>
              <w:rPr>
                <w:rFonts w:hint="eastAsia" w:ascii="宋体" w:hAnsi="宋体" w:eastAsia="宋体" w:cs="宋体"/>
                <w:i w:val="0"/>
                <w:iCs w:val="0"/>
                <w:color w:val="auto"/>
                <w:sz w:val="20"/>
                <w:szCs w:val="20"/>
                <w:highlight w:val="none"/>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65D452D0">
            <w:pPr>
              <w:jc w:val="center"/>
              <w:rPr>
                <w:rFonts w:hint="eastAsia" w:ascii="宋体" w:hAnsi="宋体" w:eastAsia="宋体" w:cs="宋体"/>
                <w:i w:val="0"/>
                <w:iCs w:val="0"/>
                <w:color w:val="auto"/>
                <w:sz w:val="20"/>
                <w:szCs w:val="20"/>
                <w:highlight w:val="none"/>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5009CAC4">
            <w:pPr>
              <w:jc w:val="center"/>
              <w:rPr>
                <w:rFonts w:hint="eastAsia" w:ascii="宋体" w:hAnsi="宋体" w:eastAsia="宋体" w:cs="宋体"/>
                <w:i w:val="0"/>
                <w:iCs w:val="0"/>
                <w:color w:val="auto"/>
                <w:sz w:val="20"/>
                <w:szCs w:val="20"/>
                <w:highlight w:val="none"/>
                <w:u w:val="none"/>
              </w:rPr>
            </w:pPr>
          </w:p>
        </w:tc>
      </w:tr>
      <w:tr w14:paraId="458D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114" w:type="dxa"/>
            <w:gridSpan w:val="4"/>
            <w:tcBorders>
              <w:top w:val="single" w:color="000000" w:sz="4" w:space="0"/>
              <w:left w:val="single" w:color="000000" w:sz="4" w:space="0"/>
              <w:bottom w:val="single" w:color="000000" w:sz="4" w:space="0"/>
              <w:right w:val="single" w:color="000000" w:sz="4" w:space="0"/>
            </w:tcBorders>
            <w:noWrap w:val="0"/>
            <w:vAlign w:val="center"/>
          </w:tcPr>
          <w:p w14:paraId="4C196F2E">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合计（满分100分 + 加分项）</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8319508">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100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342B07D">
            <w:pPr>
              <w:jc w:val="center"/>
              <w:rPr>
                <w:rFonts w:hint="eastAsia" w:ascii="宋体" w:hAnsi="宋体" w:eastAsia="宋体" w:cs="宋体"/>
                <w:i w:val="0"/>
                <w:iCs w:val="0"/>
                <w:color w:val="auto"/>
                <w:sz w:val="22"/>
                <w:szCs w:val="22"/>
                <w:highlight w:val="none"/>
                <w:u w:val="none"/>
              </w:rPr>
            </w:pPr>
          </w:p>
        </w:tc>
        <w:tc>
          <w:tcPr>
            <w:tcW w:w="795" w:type="dxa"/>
            <w:tcBorders>
              <w:top w:val="single" w:color="000000" w:sz="4" w:space="0"/>
              <w:left w:val="single" w:color="000000" w:sz="4" w:space="0"/>
              <w:bottom w:val="single" w:color="000000" w:sz="4" w:space="0"/>
              <w:right w:val="single" w:color="000000" w:sz="4" w:space="0"/>
            </w:tcBorders>
            <w:noWrap w:val="0"/>
            <w:vAlign w:val="center"/>
          </w:tcPr>
          <w:p w14:paraId="1745C06C">
            <w:pPr>
              <w:jc w:val="center"/>
              <w:rPr>
                <w:rFonts w:hint="eastAsia" w:ascii="宋体" w:hAnsi="宋体" w:eastAsia="宋体" w:cs="宋体"/>
                <w:i w:val="0"/>
                <w:iCs w:val="0"/>
                <w:color w:val="auto"/>
                <w:sz w:val="22"/>
                <w:szCs w:val="22"/>
                <w:highlight w:val="none"/>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EB11984">
            <w:pPr>
              <w:jc w:val="center"/>
              <w:rPr>
                <w:rFonts w:hint="eastAsia" w:ascii="宋体" w:hAnsi="宋体" w:eastAsia="宋体" w:cs="宋体"/>
                <w:i w:val="0"/>
                <w:iCs w:val="0"/>
                <w:color w:val="auto"/>
                <w:sz w:val="22"/>
                <w:szCs w:val="22"/>
                <w:highlight w:val="none"/>
                <w:u w:val="none"/>
              </w:rPr>
            </w:pPr>
          </w:p>
        </w:tc>
      </w:tr>
      <w:tr w14:paraId="732B3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8967" w:type="dxa"/>
            <w:gridSpan w:val="8"/>
            <w:tcBorders>
              <w:top w:val="single" w:color="000000" w:sz="4" w:space="0"/>
              <w:left w:val="single" w:color="000000" w:sz="4" w:space="0"/>
              <w:bottom w:val="single" w:color="000000" w:sz="4" w:space="0"/>
              <w:right w:val="single" w:color="000000" w:sz="4" w:space="0"/>
            </w:tcBorders>
            <w:noWrap w:val="0"/>
            <w:vAlign w:val="center"/>
          </w:tcPr>
          <w:p w14:paraId="4E734382">
            <w:pPr>
              <w:keepNext w:val="0"/>
              <w:keepLines w:val="0"/>
              <w:widowControl/>
              <w:suppressLineNumbers w:val="0"/>
              <w:jc w:val="left"/>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考核结果判定：年度考核得分≥90分为"优秀"；80-89分为"合格"；低于80分为"不合格"。年度考核不合格，我司有权依据合同解除合作协议。</w:t>
            </w:r>
          </w:p>
        </w:tc>
      </w:tr>
      <w:tr w14:paraId="703ED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1" w:type="dxa"/>
            <w:tcBorders>
              <w:top w:val="nil"/>
              <w:left w:val="nil"/>
              <w:bottom w:val="nil"/>
              <w:right w:val="nil"/>
            </w:tcBorders>
            <w:noWrap/>
            <w:vAlign w:val="bottom"/>
          </w:tcPr>
          <w:p w14:paraId="65E23810">
            <w:pPr>
              <w:rPr>
                <w:rFonts w:hint="eastAsia" w:ascii="宋体" w:hAnsi="宋体" w:eastAsia="宋体" w:cs="宋体"/>
                <w:i w:val="0"/>
                <w:iCs w:val="0"/>
                <w:color w:val="auto"/>
                <w:sz w:val="22"/>
                <w:szCs w:val="22"/>
                <w:highlight w:val="none"/>
                <w:u w:val="none"/>
              </w:rPr>
            </w:pPr>
          </w:p>
        </w:tc>
        <w:tc>
          <w:tcPr>
            <w:tcW w:w="1118" w:type="dxa"/>
            <w:tcBorders>
              <w:top w:val="nil"/>
              <w:left w:val="nil"/>
              <w:bottom w:val="nil"/>
              <w:right w:val="nil"/>
            </w:tcBorders>
            <w:noWrap/>
            <w:vAlign w:val="bottom"/>
          </w:tcPr>
          <w:p w14:paraId="0E1FC490">
            <w:pPr>
              <w:rPr>
                <w:rFonts w:hint="eastAsia" w:ascii="宋体" w:hAnsi="宋体" w:eastAsia="宋体" w:cs="宋体"/>
                <w:i w:val="0"/>
                <w:iCs w:val="0"/>
                <w:color w:val="auto"/>
                <w:sz w:val="22"/>
                <w:szCs w:val="22"/>
                <w:highlight w:val="none"/>
                <w:u w:val="none"/>
              </w:rPr>
            </w:pPr>
          </w:p>
        </w:tc>
        <w:tc>
          <w:tcPr>
            <w:tcW w:w="1173" w:type="dxa"/>
            <w:tcBorders>
              <w:top w:val="nil"/>
              <w:left w:val="nil"/>
              <w:bottom w:val="nil"/>
              <w:right w:val="nil"/>
            </w:tcBorders>
            <w:noWrap/>
            <w:vAlign w:val="bottom"/>
          </w:tcPr>
          <w:p w14:paraId="24CF72C1">
            <w:pPr>
              <w:rPr>
                <w:rFonts w:hint="eastAsia" w:ascii="宋体" w:hAnsi="宋体" w:eastAsia="宋体" w:cs="宋体"/>
                <w:i w:val="0"/>
                <w:iCs w:val="0"/>
                <w:color w:val="auto"/>
                <w:sz w:val="22"/>
                <w:szCs w:val="22"/>
                <w:highlight w:val="none"/>
                <w:u w:val="none"/>
              </w:rPr>
            </w:pPr>
          </w:p>
        </w:tc>
        <w:tc>
          <w:tcPr>
            <w:tcW w:w="2262" w:type="dxa"/>
            <w:tcBorders>
              <w:top w:val="nil"/>
              <w:left w:val="nil"/>
              <w:bottom w:val="nil"/>
              <w:right w:val="nil"/>
            </w:tcBorders>
            <w:noWrap/>
            <w:vAlign w:val="bottom"/>
          </w:tcPr>
          <w:p w14:paraId="7C2FE3CF">
            <w:pPr>
              <w:rPr>
                <w:rFonts w:hint="eastAsia" w:ascii="宋体" w:hAnsi="宋体" w:eastAsia="宋体" w:cs="宋体"/>
                <w:i w:val="0"/>
                <w:iCs w:val="0"/>
                <w:color w:val="auto"/>
                <w:sz w:val="22"/>
                <w:szCs w:val="22"/>
                <w:highlight w:val="none"/>
                <w:u w:val="none"/>
              </w:rPr>
            </w:pPr>
          </w:p>
        </w:tc>
        <w:tc>
          <w:tcPr>
            <w:tcW w:w="780" w:type="dxa"/>
            <w:tcBorders>
              <w:top w:val="nil"/>
              <w:left w:val="nil"/>
              <w:bottom w:val="nil"/>
              <w:right w:val="nil"/>
            </w:tcBorders>
            <w:noWrap/>
            <w:vAlign w:val="bottom"/>
          </w:tcPr>
          <w:p w14:paraId="5B19CAC9">
            <w:pPr>
              <w:rPr>
                <w:rFonts w:hint="eastAsia" w:ascii="宋体" w:hAnsi="宋体" w:eastAsia="宋体" w:cs="宋体"/>
                <w:i w:val="0"/>
                <w:iCs w:val="0"/>
                <w:color w:val="auto"/>
                <w:sz w:val="22"/>
                <w:szCs w:val="22"/>
                <w:highlight w:val="none"/>
                <w:u w:val="none"/>
              </w:rPr>
            </w:pPr>
          </w:p>
        </w:tc>
        <w:tc>
          <w:tcPr>
            <w:tcW w:w="720" w:type="dxa"/>
            <w:tcBorders>
              <w:top w:val="nil"/>
              <w:left w:val="nil"/>
              <w:bottom w:val="nil"/>
              <w:right w:val="nil"/>
            </w:tcBorders>
            <w:noWrap/>
            <w:vAlign w:val="bottom"/>
          </w:tcPr>
          <w:p w14:paraId="12C318F0">
            <w:pPr>
              <w:rPr>
                <w:rFonts w:hint="eastAsia" w:ascii="宋体" w:hAnsi="宋体" w:eastAsia="宋体" w:cs="宋体"/>
                <w:i w:val="0"/>
                <w:iCs w:val="0"/>
                <w:color w:val="auto"/>
                <w:sz w:val="22"/>
                <w:szCs w:val="22"/>
                <w:highlight w:val="none"/>
                <w:u w:val="none"/>
              </w:rPr>
            </w:pPr>
          </w:p>
        </w:tc>
        <w:tc>
          <w:tcPr>
            <w:tcW w:w="795" w:type="dxa"/>
            <w:tcBorders>
              <w:top w:val="nil"/>
              <w:left w:val="nil"/>
              <w:bottom w:val="nil"/>
              <w:right w:val="nil"/>
            </w:tcBorders>
            <w:noWrap/>
            <w:vAlign w:val="bottom"/>
          </w:tcPr>
          <w:p w14:paraId="4D5629D5">
            <w:pPr>
              <w:rPr>
                <w:rFonts w:hint="eastAsia" w:ascii="宋体" w:hAnsi="宋体" w:eastAsia="宋体" w:cs="宋体"/>
                <w:i w:val="0"/>
                <w:iCs w:val="0"/>
                <w:color w:val="auto"/>
                <w:sz w:val="22"/>
                <w:szCs w:val="22"/>
                <w:highlight w:val="none"/>
                <w:u w:val="none"/>
              </w:rPr>
            </w:pPr>
          </w:p>
        </w:tc>
        <w:tc>
          <w:tcPr>
            <w:tcW w:w="1558" w:type="dxa"/>
            <w:tcBorders>
              <w:top w:val="nil"/>
              <w:left w:val="nil"/>
              <w:bottom w:val="nil"/>
              <w:right w:val="nil"/>
            </w:tcBorders>
            <w:noWrap/>
            <w:vAlign w:val="bottom"/>
          </w:tcPr>
          <w:p w14:paraId="2DBC842F">
            <w:pPr>
              <w:rPr>
                <w:rFonts w:hint="eastAsia" w:ascii="宋体" w:hAnsi="宋体" w:eastAsia="宋体" w:cs="宋体"/>
                <w:i w:val="0"/>
                <w:iCs w:val="0"/>
                <w:color w:val="auto"/>
                <w:sz w:val="22"/>
                <w:szCs w:val="22"/>
                <w:highlight w:val="none"/>
                <w:u w:val="none"/>
              </w:rPr>
            </w:pPr>
          </w:p>
        </w:tc>
      </w:tr>
      <w:tr w14:paraId="3C570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trPr>
        <w:tc>
          <w:tcPr>
            <w:tcW w:w="5114" w:type="dxa"/>
            <w:gridSpan w:val="4"/>
            <w:tcBorders>
              <w:top w:val="nil"/>
              <w:left w:val="nil"/>
              <w:bottom w:val="nil"/>
              <w:right w:val="nil"/>
            </w:tcBorders>
            <w:noWrap/>
            <w:vAlign w:val="center"/>
          </w:tcPr>
          <w:p w14:paraId="4CEC61EA">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考核单位（盖章）：            负责人签字：              </w:t>
            </w:r>
          </w:p>
          <w:p w14:paraId="40682DEF">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p w14:paraId="7EDCA45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日期：</w:t>
            </w:r>
          </w:p>
        </w:tc>
        <w:tc>
          <w:tcPr>
            <w:tcW w:w="780" w:type="dxa"/>
            <w:tcBorders>
              <w:top w:val="nil"/>
              <w:left w:val="nil"/>
              <w:bottom w:val="nil"/>
              <w:right w:val="nil"/>
            </w:tcBorders>
            <w:noWrap/>
            <w:vAlign w:val="bottom"/>
          </w:tcPr>
          <w:p w14:paraId="2F6A0FFA">
            <w:pPr>
              <w:rPr>
                <w:rFonts w:hint="eastAsia" w:ascii="宋体" w:hAnsi="宋体" w:eastAsia="宋体" w:cs="宋体"/>
                <w:i w:val="0"/>
                <w:iCs w:val="0"/>
                <w:color w:val="auto"/>
                <w:sz w:val="22"/>
                <w:szCs w:val="22"/>
                <w:highlight w:val="none"/>
                <w:u w:val="none"/>
              </w:rPr>
            </w:pPr>
          </w:p>
        </w:tc>
        <w:tc>
          <w:tcPr>
            <w:tcW w:w="720" w:type="dxa"/>
            <w:tcBorders>
              <w:top w:val="nil"/>
              <w:left w:val="nil"/>
              <w:bottom w:val="nil"/>
              <w:right w:val="nil"/>
            </w:tcBorders>
            <w:noWrap/>
            <w:vAlign w:val="bottom"/>
          </w:tcPr>
          <w:p w14:paraId="487A3DF7">
            <w:pPr>
              <w:rPr>
                <w:rFonts w:hint="eastAsia" w:ascii="宋体" w:hAnsi="宋体" w:eastAsia="宋体" w:cs="宋体"/>
                <w:i w:val="0"/>
                <w:iCs w:val="0"/>
                <w:color w:val="auto"/>
                <w:sz w:val="22"/>
                <w:szCs w:val="22"/>
                <w:highlight w:val="none"/>
                <w:u w:val="none"/>
              </w:rPr>
            </w:pPr>
          </w:p>
        </w:tc>
        <w:tc>
          <w:tcPr>
            <w:tcW w:w="795" w:type="dxa"/>
            <w:tcBorders>
              <w:top w:val="nil"/>
              <w:left w:val="nil"/>
              <w:bottom w:val="nil"/>
              <w:right w:val="nil"/>
            </w:tcBorders>
            <w:noWrap/>
            <w:vAlign w:val="bottom"/>
          </w:tcPr>
          <w:p w14:paraId="52429ADA">
            <w:pPr>
              <w:rPr>
                <w:rFonts w:hint="eastAsia" w:ascii="宋体" w:hAnsi="宋体" w:eastAsia="宋体" w:cs="宋体"/>
                <w:i w:val="0"/>
                <w:iCs w:val="0"/>
                <w:color w:val="auto"/>
                <w:sz w:val="22"/>
                <w:szCs w:val="22"/>
                <w:highlight w:val="none"/>
                <w:u w:val="none"/>
              </w:rPr>
            </w:pPr>
          </w:p>
        </w:tc>
        <w:tc>
          <w:tcPr>
            <w:tcW w:w="1558" w:type="dxa"/>
            <w:tcBorders>
              <w:top w:val="nil"/>
              <w:left w:val="nil"/>
              <w:bottom w:val="nil"/>
              <w:right w:val="nil"/>
            </w:tcBorders>
            <w:noWrap/>
            <w:vAlign w:val="bottom"/>
          </w:tcPr>
          <w:p w14:paraId="0F7FCDC2">
            <w:pPr>
              <w:rPr>
                <w:rFonts w:hint="eastAsia" w:ascii="宋体" w:hAnsi="宋体" w:eastAsia="宋体" w:cs="宋体"/>
                <w:i w:val="0"/>
                <w:iCs w:val="0"/>
                <w:color w:val="auto"/>
                <w:sz w:val="22"/>
                <w:szCs w:val="22"/>
                <w:highlight w:val="none"/>
                <w:u w:val="none"/>
              </w:rPr>
            </w:pPr>
          </w:p>
        </w:tc>
      </w:tr>
      <w:tr w14:paraId="4A3B9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5114" w:type="dxa"/>
            <w:gridSpan w:val="4"/>
            <w:tcBorders>
              <w:top w:val="nil"/>
              <w:left w:val="nil"/>
              <w:bottom w:val="nil"/>
              <w:right w:val="nil"/>
            </w:tcBorders>
            <w:noWrap/>
            <w:vAlign w:val="center"/>
          </w:tcPr>
          <w:p w14:paraId="7E2BCA5E">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 xml:space="preserve">运营方（盖章）：              负责人签字：              </w:t>
            </w:r>
          </w:p>
          <w:p w14:paraId="285C7CC4">
            <w:pPr>
              <w:keepNext w:val="0"/>
              <w:keepLines w:val="0"/>
              <w:widowControl/>
              <w:suppressLineNumbers w:val="0"/>
              <w:jc w:val="left"/>
              <w:textAlignment w:val="center"/>
              <w:rPr>
                <w:rFonts w:hint="eastAsia" w:ascii="宋体" w:hAnsi="宋体" w:eastAsia="宋体" w:cs="宋体"/>
                <w:i w:val="0"/>
                <w:iCs w:val="0"/>
                <w:color w:val="auto"/>
                <w:kern w:val="0"/>
                <w:sz w:val="20"/>
                <w:szCs w:val="20"/>
                <w:highlight w:val="none"/>
                <w:u w:val="none"/>
                <w:lang w:val="en-US" w:eastAsia="zh-CN" w:bidi="ar"/>
              </w:rPr>
            </w:pPr>
          </w:p>
          <w:p w14:paraId="77DBFDC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日期：</w:t>
            </w:r>
          </w:p>
        </w:tc>
        <w:tc>
          <w:tcPr>
            <w:tcW w:w="780" w:type="dxa"/>
            <w:tcBorders>
              <w:top w:val="nil"/>
              <w:left w:val="nil"/>
              <w:bottom w:val="nil"/>
              <w:right w:val="nil"/>
            </w:tcBorders>
            <w:noWrap/>
            <w:vAlign w:val="bottom"/>
          </w:tcPr>
          <w:p w14:paraId="05F84E68">
            <w:pPr>
              <w:rPr>
                <w:rFonts w:hint="eastAsia" w:ascii="宋体" w:hAnsi="宋体" w:eastAsia="宋体" w:cs="宋体"/>
                <w:i w:val="0"/>
                <w:iCs w:val="0"/>
                <w:color w:val="auto"/>
                <w:sz w:val="22"/>
                <w:szCs w:val="22"/>
                <w:highlight w:val="none"/>
                <w:u w:val="none"/>
              </w:rPr>
            </w:pPr>
          </w:p>
        </w:tc>
        <w:tc>
          <w:tcPr>
            <w:tcW w:w="720" w:type="dxa"/>
            <w:tcBorders>
              <w:top w:val="nil"/>
              <w:left w:val="nil"/>
              <w:bottom w:val="nil"/>
              <w:right w:val="nil"/>
            </w:tcBorders>
            <w:noWrap/>
            <w:vAlign w:val="bottom"/>
          </w:tcPr>
          <w:p w14:paraId="0E8E462B">
            <w:pPr>
              <w:rPr>
                <w:rFonts w:hint="eastAsia" w:ascii="宋体" w:hAnsi="宋体" w:eastAsia="宋体" w:cs="宋体"/>
                <w:i w:val="0"/>
                <w:iCs w:val="0"/>
                <w:color w:val="auto"/>
                <w:sz w:val="22"/>
                <w:szCs w:val="22"/>
                <w:highlight w:val="none"/>
                <w:u w:val="none"/>
              </w:rPr>
            </w:pPr>
          </w:p>
        </w:tc>
        <w:tc>
          <w:tcPr>
            <w:tcW w:w="795" w:type="dxa"/>
            <w:tcBorders>
              <w:top w:val="nil"/>
              <w:left w:val="nil"/>
              <w:bottom w:val="nil"/>
              <w:right w:val="nil"/>
            </w:tcBorders>
            <w:noWrap/>
            <w:vAlign w:val="bottom"/>
          </w:tcPr>
          <w:p w14:paraId="0FCC6285">
            <w:pPr>
              <w:rPr>
                <w:rFonts w:hint="eastAsia" w:ascii="宋体" w:hAnsi="宋体" w:eastAsia="宋体" w:cs="宋体"/>
                <w:i w:val="0"/>
                <w:iCs w:val="0"/>
                <w:color w:val="auto"/>
                <w:sz w:val="22"/>
                <w:szCs w:val="22"/>
                <w:highlight w:val="none"/>
                <w:u w:val="none"/>
              </w:rPr>
            </w:pPr>
          </w:p>
        </w:tc>
        <w:tc>
          <w:tcPr>
            <w:tcW w:w="1558" w:type="dxa"/>
            <w:tcBorders>
              <w:top w:val="nil"/>
              <w:left w:val="nil"/>
              <w:bottom w:val="nil"/>
              <w:right w:val="nil"/>
            </w:tcBorders>
            <w:noWrap/>
            <w:vAlign w:val="bottom"/>
          </w:tcPr>
          <w:p w14:paraId="2375B9F9">
            <w:pPr>
              <w:rPr>
                <w:rFonts w:hint="eastAsia" w:ascii="宋体" w:hAnsi="宋体" w:eastAsia="宋体" w:cs="宋体"/>
                <w:i w:val="0"/>
                <w:iCs w:val="0"/>
                <w:color w:val="auto"/>
                <w:sz w:val="22"/>
                <w:szCs w:val="22"/>
                <w:highlight w:val="none"/>
                <w:u w:val="none"/>
              </w:rPr>
            </w:pPr>
          </w:p>
        </w:tc>
      </w:tr>
      <w:tr w14:paraId="63742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1" w:type="dxa"/>
            <w:tcBorders>
              <w:top w:val="nil"/>
              <w:left w:val="nil"/>
              <w:bottom w:val="nil"/>
              <w:right w:val="nil"/>
            </w:tcBorders>
            <w:noWrap/>
            <w:vAlign w:val="bottom"/>
          </w:tcPr>
          <w:p w14:paraId="5802873F">
            <w:pPr>
              <w:rPr>
                <w:rFonts w:hint="eastAsia" w:ascii="宋体" w:hAnsi="宋体" w:eastAsia="宋体" w:cs="宋体"/>
                <w:i w:val="0"/>
                <w:iCs w:val="0"/>
                <w:color w:val="auto"/>
                <w:sz w:val="22"/>
                <w:szCs w:val="22"/>
                <w:highlight w:val="none"/>
                <w:u w:val="none"/>
              </w:rPr>
            </w:pPr>
          </w:p>
        </w:tc>
        <w:tc>
          <w:tcPr>
            <w:tcW w:w="1118" w:type="dxa"/>
            <w:tcBorders>
              <w:top w:val="nil"/>
              <w:left w:val="nil"/>
              <w:bottom w:val="nil"/>
              <w:right w:val="nil"/>
            </w:tcBorders>
            <w:noWrap/>
            <w:vAlign w:val="bottom"/>
          </w:tcPr>
          <w:p w14:paraId="4DC08BE6">
            <w:pPr>
              <w:rPr>
                <w:rFonts w:hint="eastAsia" w:ascii="宋体" w:hAnsi="宋体" w:eastAsia="宋体" w:cs="宋体"/>
                <w:i w:val="0"/>
                <w:iCs w:val="0"/>
                <w:color w:val="auto"/>
                <w:sz w:val="22"/>
                <w:szCs w:val="22"/>
                <w:highlight w:val="none"/>
                <w:u w:val="none"/>
              </w:rPr>
            </w:pPr>
          </w:p>
        </w:tc>
        <w:tc>
          <w:tcPr>
            <w:tcW w:w="1173" w:type="dxa"/>
            <w:tcBorders>
              <w:top w:val="nil"/>
              <w:left w:val="nil"/>
              <w:bottom w:val="nil"/>
              <w:right w:val="nil"/>
            </w:tcBorders>
            <w:noWrap/>
            <w:vAlign w:val="bottom"/>
          </w:tcPr>
          <w:p w14:paraId="2DD83F2F">
            <w:pPr>
              <w:rPr>
                <w:rFonts w:hint="eastAsia" w:ascii="宋体" w:hAnsi="宋体" w:eastAsia="宋体" w:cs="宋体"/>
                <w:i w:val="0"/>
                <w:iCs w:val="0"/>
                <w:color w:val="auto"/>
                <w:sz w:val="22"/>
                <w:szCs w:val="22"/>
                <w:highlight w:val="none"/>
                <w:u w:val="none"/>
              </w:rPr>
            </w:pPr>
          </w:p>
        </w:tc>
        <w:tc>
          <w:tcPr>
            <w:tcW w:w="2262" w:type="dxa"/>
            <w:tcBorders>
              <w:top w:val="nil"/>
              <w:left w:val="nil"/>
              <w:bottom w:val="nil"/>
              <w:right w:val="nil"/>
            </w:tcBorders>
            <w:noWrap/>
            <w:vAlign w:val="bottom"/>
          </w:tcPr>
          <w:p w14:paraId="73F636E8">
            <w:pPr>
              <w:rPr>
                <w:rFonts w:hint="eastAsia" w:ascii="宋体" w:hAnsi="宋体" w:eastAsia="宋体" w:cs="宋体"/>
                <w:i w:val="0"/>
                <w:iCs w:val="0"/>
                <w:color w:val="auto"/>
                <w:sz w:val="22"/>
                <w:szCs w:val="22"/>
                <w:highlight w:val="none"/>
                <w:u w:val="none"/>
              </w:rPr>
            </w:pPr>
          </w:p>
        </w:tc>
        <w:tc>
          <w:tcPr>
            <w:tcW w:w="780" w:type="dxa"/>
            <w:tcBorders>
              <w:top w:val="nil"/>
              <w:left w:val="nil"/>
              <w:bottom w:val="nil"/>
              <w:right w:val="nil"/>
            </w:tcBorders>
            <w:noWrap/>
            <w:vAlign w:val="bottom"/>
          </w:tcPr>
          <w:p w14:paraId="7E41B4FE">
            <w:pPr>
              <w:rPr>
                <w:rFonts w:hint="eastAsia" w:ascii="宋体" w:hAnsi="宋体" w:eastAsia="宋体" w:cs="宋体"/>
                <w:i w:val="0"/>
                <w:iCs w:val="0"/>
                <w:color w:val="auto"/>
                <w:sz w:val="22"/>
                <w:szCs w:val="22"/>
                <w:highlight w:val="none"/>
                <w:u w:val="none"/>
              </w:rPr>
            </w:pPr>
          </w:p>
        </w:tc>
        <w:tc>
          <w:tcPr>
            <w:tcW w:w="720" w:type="dxa"/>
            <w:tcBorders>
              <w:top w:val="nil"/>
              <w:left w:val="nil"/>
              <w:bottom w:val="nil"/>
              <w:right w:val="nil"/>
            </w:tcBorders>
            <w:noWrap/>
            <w:vAlign w:val="bottom"/>
          </w:tcPr>
          <w:p w14:paraId="3C9B9EB3">
            <w:pPr>
              <w:rPr>
                <w:rFonts w:hint="eastAsia" w:ascii="宋体" w:hAnsi="宋体" w:eastAsia="宋体" w:cs="宋体"/>
                <w:i w:val="0"/>
                <w:iCs w:val="0"/>
                <w:color w:val="auto"/>
                <w:sz w:val="22"/>
                <w:szCs w:val="22"/>
                <w:highlight w:val="none"/>
                <w:u w:val="none"/>
              </w:rPr>
            </w:pPr>
          </w:p>
        </w:tc>
        <w:tc>
          <w:tcPr>
            <w:tcW w:w="795" w:type="dxa"/>
            <w:tcBorders>
              <w:top w:val="nil"/>
              <w:left w:val="nil"/>
              <w:bottom w:val="nil"/>
              <w:right w:val="nil"/>
            </w:tcBorders>
            <w:noWrap/>
            <w:vAlign w:val="bottom"/>
          </w:tcPr>
          <w:p w14:paraId="579D073C">
            <w:pPr>
              <w:rPr>
                <w:rFonts w:hint="eastAsia" w:ascii="宋体" w:hAnsi="宋体" w:eastAsia="宋体" w:cs="宋体"/>
                <w:i w:val="0"/>
                <w:iCs w:val="0"/>
                <w:color w:val="auto"/>
                <w:sz w:val="22"/>
                <w:szCs w:val="22"/>
                <w:highlight w:val="none"/>
                <w:u w:val="none"/>
              </w:rPr>
            </w:pPr>
          </w:p>
        </w:tc>
        <w:tc>
          <w:tcPr>
            <w:tcW w:w="1558" w:type="dxa"/>
            <w:tcBorders>
              <w:top w:val="nil"/>
              <w:left w:val="nil"/>
              <w:bottom w:val="nil"/>
              <w:right w:val="nil"/>
            </w:tcBorders>
            <w:noWrap/>
            <w:vAlign w:val="bottom"/>
          </w:tcPr>
          <w:p w14:paraId="051A09B2">
            <w:pPr>
              <w:rPr>
                <w:rFonts w:hint="eastAsia" w:ascii="宋体" w:hAnsi="宋体" w:eastAsia="宋体" w:cs="宋体"/>
                <w:i w:val="0"/>
                <w:iCs w:val="0"/>
                <w:color w:val="auto"/>
                <w:sz w:val="22"/>
                <w:szCs w:val="22"/>
                <w:highlight w:val="none"/>
                <w:u w:val="none"/>
              </w:rPr>
            </w:pPr>
          </w:p>
        </w:tc>
      </w:tr>
      <w:tr w14:paraId="2EDC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967" w:type="dxa"/>
            <w:gridSpan w:val="8"/>
            <w:tcBorders>
              <w:top w:val="nil"/>
              <w:left w:val="nil"/>
              <w:bottom w:val="nil"/>
              <w:right w:val="nil"/>
            </w:tcBorders>
            <w:noWrap/>
            <w:vAlign w:val="bottom"/>
          </w:tcPr>
          <w:p w14:paraId="6B69CE5D">
            <w:pPr>
              <w:keepNext w:val="0"/>
              <w:keepLines w:val="0"/>
              <w:widowControl/>
              <w:suppressLineNumbers w:val="0"/>
              <w:jc w:val="left"/>
              <w:textAlignment w:val="bottom"/>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备注说明：</w:t>
            </w:r>
          </w:p>
        </w:tc>
      </w:tr>
      <w:tr w14:paraId="5728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2489CE0B">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1. 本考核表依据《林坊老卫生院综合楼与新卫生院医养结合病房楼养老项目合作运营合同》制定。</w:t>
            </w:r>
          </w:p>
        </w:tc>
      </w:tr>
      <w:tr w14:paraId="43801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5A69A09F">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2. 考核年度：指合作运营期间的每个完整自然年度。</w:t>
            </w:r>
          </w:p>
        </w:tc>
      </w:tr>
      <w:tr w14:paraId="15CBC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59140BC6">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3. 年平均入住率测算：年 年度实际占用总床日数 ÷ 年度核定可用总床日数 × 100%</w:t>
            </w:r>
          </w:p>
        </w:tc>
      </w:tr>
      <w:tr w14:paraId="6A750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6E84DDBE">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4. 营业额分成：</w:t>
            </w:r>
            <w:r>
              <w:rPr>
                <w:rFonts w:hint="eastAsia" w:ascii="宋体" w:hAnsi="宋体" w:eastAsia="宋体" w:cs="宋体"/>
                <w:i w:val="0"/>
                <w:iCs w:val="0"/>
                <w:color w:val="auto"/>
                <w:kern w:val="0"/>
                <w:sz w:val="20"/>
                <w:szCs w:val="20"/>
                <w:highlight w:val="none"/>
                <w:u w:val="none"/>
                <w:lang w:val="en-US" w:eastAsia="zh-CN" w:bidi="ar"/>
              </w:rPr>
              <w:t>福建阳康康养有限公司</w:t>
            </w:r>
            <w:r>
              <w:rPr>
                <w:rFonts w:hint="eastAsia" w:ascii="宋体" w:hAnsi="宋体" w:eastAsia="宋体" w:cs="宋体"/>
                <w:i w:val="0"/>
                <w:iCs w:val="0"/>
                <w:color w:val="auto"/>
                <w:kern w:val="0"/>
                <w:sz w:val="18"/>
                <w:szCs w:val="18"/>
                <w:highlight w:val="none"/>
                <w:u w:val="none"/>
                <w:lang w:val="en-US" w:eastAsia="zh-CN" w:bidi="ar"/>
              </w:rPr>
              <w:t>第1-5年按每月营业额的6%计提，第6-10年按每月营业额的8%计提。</w:t>
            </w:r>
          </w:p>
        </w:tc>
      </w:tr>
      <w:tr w14:paraId="2198E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1A28CFF8">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5. 履约保证金：10万元，合作期限10年。</w:t>
            </w:r>
          </w:p>
        </w:tc>
      </w:tr>
      <w:tr w14:paraId="7A394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4D0A253C">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6. 年度考核低于80分，我司有权依据合同解除合作协议。</w:t>
            </w:r>
          </w:p>
        </w:tc>
      </w:tr>
      <w:tr w14:paraId="1221A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25996290">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7. 入住率第1至5年累计2年不达标，或第6至10年累计2年不达标，我司有权解除合同。</w:t>
            </w:r>
          </w:p>
        </w:tc>
      </w:tr>
      <w:tr w14:paraId="6AA50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967" w:type="dxa"/>
            <w:gridSpan w:val="8"/>
            <w:tcBorders>
              <w:top w:val="nil"/>
              <w:left w:val="nil"/>
              <w:bottom w:val="nil"/>
              <w:right w:val="nil"/>
            </w:tcBorders>
            <w:noWrap w:val="0"/>
            <w:vAlign w:val="center"/>
          </w:tcPr>
          <w:p w14:paraId="740455DA">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8. 加分项最高10分，可叠加至总分，但总分不超过110分。</w:t>
            </w:r>
          </w:p>
        </w:tc>
      </w:tr>
    </w:tbl>
    <w:p w14:paraId="76DD0E9E">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507851BF">
      <w:pPr>
        <w:pStyle w:val="14"/>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仿宋_GB2312" w:cs="Times New Roman"/>
          <w:b w:val="0"/>
          <w:bCs w:val="0"/>
          <w:color w:val="auto"/>
          <w:sz w:val="32"/>
          <w:szCs w:val="32"/>
          <w:highlight w:val="none"/>
          <w:lang w:val="en-US" w:eastAsia="zh-CN"/>
        </w:rPr>
      </w:pPr>
    </w:p>
    <w:p w14:paraId="495C39B5">
      <w:pPr>
        <w:pStyle w:val="14"/>
        <w:adjustRightInd w:val="0"/>
        <w:snapToGrid w:val="0"/>
        <w:ind w:firstLine="0" w:firstLineChars="0"/>
        <w:rPr>
          <w:rFonts w:hint="eastAsia" w:hAnsi="宋体" w:cs="宋体"/>
          <w:color w:val="auto"/>
          <w:sz w:val="21"/>
          <w:szCs w:val="21"/>
          <w:highlight w:val="none"/>
        </w:rPr>
      </w:pPr>
    </w:p>
    <w:p w14:paraId="715FC3CC">
      <w:pPr>
        <w:pStyle w:val="14"/>
        <w:adjustRightInd w:val="0"/>
        <w:snapToGrid w:val="0"/>
        <w:ind w:firstLine="0" w:firstLineChars="0"/>
        <w:rPr>
          <w:rFonts w:hint="eastAsia" w:hAnsi="宋体" w:cs="宋体"/>
          <w:color w:val="auto"/>
          <w:sz w:val="21"/>
          <w:szCs w:val="21"/>
          <w:highlight w:val="none"/>
        </w:rPr>
      </w:pPr>
    </w:p>
    <w:p w14:paraId="708D0D6C">
      <w:pPr>
        <w:pStyle w:val="14"/>
        <w:adjustRightInd w:val="0"/>
        <w:snapToGrid w:val="0"/>
        <w:ind w:firstLine="0" w:firstLineChars="0"/>
        <w:rPr>
          <w:rFonts w:hint="eastAsia" w:hAnsi="宋体" w:cs="宋体"/>
          <w:color w:val="auto"/>
          <w:sz w:val="21"/>
          <w:szCs w:val="21"/>
          <w:highlight w:val="none"/>
        </w:rPr>
      </w:pPr>
    </w:p>
    <w:p w14:paraId="07515379">
      <w:pPr>
        <w:pStyle w:val="14"/>
        <w:adjustRightInd w:val="0"/>
        <w:snapToGrid w:val="0"/>
        <w:ind w:firstLine="0" w:firstLineChars="0"/>
        <w:rPr>
          <w:rFonts w:hint="eastAsia" w:hAnsi="宋体" w:cs="宋体"/>
          <w:color w:val="auto"/>
          <w:sz w:val="21"/>
          <w:szCs w:val="21"/>
          <w:highlight w:val="none"/>
        </w:rPr>
      </w:pPr>
    </w:p>
    <w:p w14:paraId="435A0E89">
      <w:pPr>
        <w:pStyle w:val="14"/>
        <w:adjustRightInd w:val="0"/>
        <w:snapToGrid w:val="0"/>
        <w:ind w:firstLine="0" w:firstLineChars="0"/>
        <w:rPr>
          <w:rFonts w:hint="eastAsia" w:hAnsi="宋体" w:cs="宋体"/>
          <w:color w:val="auto"/>
          <w:sz w:val="21"/>
          <w:szCs w:val="21"/>
          <w:highlight w:val="none"/>
        </w:rPr>
      </w:pPr>
    </w:p>
    <w:p w14:paraId="3CA7F693">
      <w:pPr>
        <w:pStyle w:val="14"/>
        <w:adjustRightInd w:val="0"/>
        <w:snapToGrid w:val="0"/>
        <w:ind w:firstLine="0" w:firstLineChars="0"/>
        <w:rPr>
          <w:rFonts w:hint="eastAsia" w:hAnsi="宋体" w:cs="宋体"/>
          <w:color w:val="auto"/>
          <w:sz w:val="21"/>
          <w:szCs w:val="21"/>
          <w:highlight w:val="none"/>
        </w:rPr>
      </w:pPr>
    </w:p>
    <w:p w14:paraId="3E32E9CB">
      <w:pPr>
        <w:pStyle w:val="14"/>
        <w:adjustRightInd w:val="0"/>
        <w:snapToGrid w:val="0"/>
        <w:ind w:firstLine="0" w:firstLineChars="0"/>
        <w:rPr>
          <w:rFonts w:hint="eastAsia" w:hAnsi="宋体" w:cs="宋体"/>
          <w:color w:val="auto"/>
          <w:sz w:val="21"/>
          <w:szCs w:val="21"/>
          <w:highlight w:val="none"/>
        </w:rPr>
      </w:pPr>
    </w:p>
    <w:p w14:paraId="31BE0B8D">
      <w:pPr>
        <w:pStyle w:val="14"/>
        <w:adjustRightInd w:val="0"/>
        <w:snapToGrid w:val="0"/>
        <w:ind w:firstLine="0" w:firstLineChars="0"/>
        <w:rPr>
          <w:rFonts w:hint="eastAsia" w:hAnsi="宋体" w:cs="宋体"/>
          <w:color w:val="auto"/>
          <w:sz w:val="21"/>
          <w:szCs w:val="21"/>
          <w:highlight w:val="none"/>
        </w:rPr>
      </w:pPr>
    </w:p>
    <w:p w14:paraId="6A7C5AD1">
      <w:pPr>
        <w:pStyle w:val="14"/>
        <w:adjustRightInd w:val="0"/>
        <w:snapToGrid w:val="0"/>
        <w:ind w:firstLine="0" w:firstLineChars="0"/>
        <w:rPr>
          <w:rFonts w:hint="eastAsia" w:hAnsi="宋体" w:cs="宋体"/>
          <w:color w:val="auto"/>
          <w:sz w:val="21"/>
          <w:szCs w:val="21"/>
          <w:highlight w:val="none"/>
        </w:rPr>
      </w:pPr>
    </w:p>
    <w:p w14:paraId="6975F413">
      <w:pPr>
        <w:pStyle w:val="14"/>
        <w:adjustRightInd w:val="0"/>
        <w:snapToGrid w:val="0"/>
        <w:ind w:firstLine="0" w:firstLineChars="0"/>
        <w:rPr>
          <w:rFonts w:hint="eastAsia" w:hAnsi="宋体" w:cs="宋体"/>
          <w:color w:val="auto"/>
          <w:sz w:val="21"/>
          <w:szCs w:val="21"/>
          <w:highlight w:val="none"/>
        </w:rPr>
      </w:pPr>
    </w:p>
    <w:p w14:paraId="1A9BB301">
      <w:pPr>
        <w:pStyle w:val="14"/>
        <w:adjustRightInd w:val="0"/>
        <w:snapToGrid w:val="0"/>
        <w:ind w:firstLine="0" w:firstLineChars="0"/>
        <w:rPr>
          <w:rFonts w:hint="eastAsia" w:hAnsi="宋体" w:cs="宋体"/>
          <w:color w:val="auto"/>
          <w:sz w:val="21"/>
          <w:szCs w:val="21"/>
          <w:highlight w:val="none"/>
        </w:rPr>
      </w:pPr>
    </w:p>
    <w:p w14:paraId="6F489514">
      <w:pPr>
        <w:pStyle w:val="14"/>
        <w:adjustRightInd w:val="0"/>
        <w:snapToGrid w:val="0"/>
        <w:ind w:firstLine="0" w:firstLineChars="0"/>
        <w:rPr>
          <w:rFonts w:hint="eastAsia" w:hAnsi="宋体" w:cs="宋体"/>
          <w:color w:val="auto"/>
          <w:sz w:val="21"/>
          <w:szCs w:val="21"/>
          <w:highlight w:val="none"/>
        </w:rPr>
      </w:pPr>
    </w:p>
    <w:p w14:paraId="417EB964">
      <w:pPr>
        <w:pStyle w:val="14"/>
        <w:adjustRightInd w:val="0"/>
        <w:snapToGrid w:val="0"/>
        <w:ind w:firstLine="0" w:firstLineChars="0"/>
        <w:rPr>
          <w:rFonts w:hint="eastAsia" w:hAnsi="宋体" w:cs="宋体"/>
          <w:color w:val="auto"/>
          <w:sz w:val="21"/>
          <w:szCs w:val="21"/>
          <w:highlight w:val="none"/>
        </w:rPr>
      </w:pPr>
    </w:p>
    <w:p w14:paraId="16C67609">
      <w:pPr>
        <w:pStyle w:val="14"/>
        <w:adjustRightInd w:val="0"/>
        <w:snapToGrid w:val="0"/>
        <w:ind w:firstLine="0" w:firstLineChars="0"/>
        <w:rPr>
          <w:rFonts w:hint="eastAsia" w:hAnsi="宋体" w:cs="宋体"/>
          <w:color w:val="auto"/>
          <w:sz w:val="21"/>
          <w:szCs w:val="21"/>
          <w:highlight w:val="none"/>
        </w:rPr>
      </w:pPr>
    </w:p>
    <w:p w14:paraId="703F1B52">
      <w:pPr>
        <w:pStyle w:val="14"/>
        <w:adjustRightInd w:val="0"/>
        <w:snapToGrid w:val="0"/>
        <w:ind w:firstLine="0" w:firstLineChars="0"/>
        <w:rPr>
          <w:rFonts w:hint="eastAsia" w:hAnsi="宋体" w:cs="宋体"/>
          <w:color w:val="auto"/>
          <w:sz w:val="21"/>
          <w:szCs w:val="21"/>
          <w:highlight w:val="none"/>
        </w:rPr>
      </w:pPr>
    </w:p>
    <w:p w14:paraId="3FB30418">
      <w:pPr>
        <w:pStyle w:val="14"/>
        <w:adjustRightInd w:val="0"/>
        <w:snapToGrid w:val="0"/>
        <w:ind w:firstLine="0" w:firstLineChars="0"/>
        <w:rPr>
          <w:rFonts w:hint="eastAsia" w:hAnsi="宋体" w:cs="宋体"/>
          <w:color w:val="auto"/>
          <w:sz w:val="21"/>
          <w:szCs w:val="21"/>
          <w:highlight w:val="none"/>
        </w:rPr>
      </w:pPr>
    </w:p>
    <w:p w14:paraId="5A4CED77">
      <w:pPr>
        <w:pStyle w:val="14"/>
        <w:adjustRightInd w:val="0"/>
        <w:snapToGrid w:val="0"/>
        <w:ind w:firstLine="0" w:firstLineChars="0"/>
        <w:rPr>
          <w:rFonts w:hint="eastAsia" w:hAnsi="宋体" w:cs="宋体"/>
          <w:color w:val="auto"/>
          <w:sz w:val="21"/>
          <w:szCs w:val="21"/>
          <w:highlight w:val="none"/>
        </w:rPr>
      </w:pPr>
    </w:p>
    <w:p w14:paraId="00E57015">
      <w:pPr>
        <w:pStyle w:val="14"/>
        <w:adjustRightInd w:val="0"/>
        <w:snapToGrid w:val="0"/>
        <w:ind w:firstLine="0" w:firstLineChars="0"/>
        <w:rPr>
          <w:rFonts w:hint="eastAsia" w:hAnsi="宋体" w:cs="宋体"/>
          <w:color w:val="auto"/>
          <w:sz w:val="21"/>
          <w:szCs w:val="21"/>
          <w:highlight w:val="none"/>
        </w:rPr>
      </w:pPr>
    </w:p>
    <w:p w14:paraId="116CE36D">
      <w:pPr>
        <w:pStyle w:val="14"/>
        <w:adjustRightInd w:val="0"/>
        <w:snapToGrid w:val="0"/>
        <w:ind w:firstLine="0" w:firstLineChars="0"/>
        <w:rPr>
          <w:rFonts w:hint="eastAsia" w:hAnsi="宋体" w:cs="宋体"/>
          <w:color w:val="auto"/>
          <w:sz w:val="21"/>
          <w:szCs w:val="21"/>
          <w:highlight w:val="none"/>
        </w:rPr>
      </w:pPr>
    </w:p>
    <w:p w14:paraId="0E9DB979">
      <w:pPr>
        <w:pStyle w:val="14"/>
        <w:adjustRightInd w:val="0"/>
        <w:snapToGrid w:val="0"/>
        <w:ind w:firstLine="0" w:firstLineChars="0"/>
        <w:rPr>
          <w:rFonts w:hint="eastAsia" w:hAnsi="宋体" w:cs="宋体"/>
          <w:color w:val="auto"/>
          <w:sz w:val="21"/>
          <w:szCs w:val="21"/>
          <w:highlight w:val="none"/>
        </w:rPr>
      </w:pPr>
    </w:p>
    <w:p w14:paraId="5B7197BA">
      <w:pPr>
        <w:pStyle w:val="14"/>
        <w:adjustRightInd w:val="0"/>
        <w:snapToGrid w:val="0"/>
        <w:ind w:firstLine="0" w:firstLineChars="0"/>
        <w:rPr>
          <w:rFonts w:hint="eastAsia" w:hAnsi="宋体" w:cs="宋体"/>
          <w:color w:val="auto"/>
          <w:sz w:val="21"/>
          <w:szCs w:val="21"/>
          <w:highlight w:val="none"/>
        </w:rPr>
      </w:pPr>
    </w:p>
    <w:p w14:paraId="4AD06DFD">
      <w:pPr>
        <w:pStyle w:val="14"/>
        <w:adjustRightInd w:val="0"/>
        <w:snapToGrid w:val="0"/>
        <w:ind w:firstLine="0" w:firstLineChars="0"/>
        <w:rPr>
          <w:rFonts w:hint="eastAsia" w:hAnsi="宋体" w:cs="宋体"/>
          <w:color w:val="auto"/>
          <w:sz w:val="21"/>
          <w:szCs w:val="21"/>
          <w:highlight w:val="none"/>
        </w:rPr>
      </w:pPr>
    </w:p>
    <w:p w14:paraId="27B04BAF">
      <w:pPr>
        <w:rPr>
          <w:color w:val="auto"/>
          <w:highlight w:val="none"/>
        </w:rPr>
      </w:pPr>
      <w:r>
        <w:rPr>
          <w:rFonts w:ascii="Times New Roman" w:hAnsi="Times New Roman" w:eastAsia="黑体"/>
          <w:b/>
          <w:color w:val="auto"/>
          <w:sz w:val="30"/>
          <w:highlight w:val="none"/>
        </w:rPr>
        <w:t>附件</w:t>
      </w:r>
      <w:r>
        <w:rPr>
          <w:rFonts w:hint="eastAsia" w:ascii="Times New Roman" w:hAnsi="Times New Roman" w:eastAsia="黑体"/>
          <w:b/>
          <w:color w:val="auto"/>
          <w:sz w:val="30"/>
          <w:highlight w:val="none"/>
          <w:lang w:val="en-US" w:eastAsia="zh-CN"/>
        </w:rPr>
        <w:t>4</w:t>
      </w:r>
      <w:r>
        <w:rPr>
          <w:rFonts w:ascii="Times New Roman" w:hAnsi="Times New Roman" w:eastAsia="黑体"/>
          <w:b/>
          <w:color w:val="auto"/>
          <w:sz w:val="30"/>
          <w:highlight w:val="none"/>
        </w:rPr>
        <w:t>：</w:t>
      </w:r>
    </w:p>
    <w:p w14:paraId="3E2A0AB4">
      <w:pPr>
        <w:spacing w:before="0" w:after="200" w:line="312" w:lineRule="auto"/>
        <w:jc w:val="center"/>
        <w:rPr>
          <w:color w:val="auto"/>
          <w:highlight w:val="none"/>
        </w:rPr>
      </w:pPr>
      <w:r>
        <w:rPr>
          <w:rFonts w:ascii="Times New Roman" w:hAnsi="Times New Roman" w:eastAsia="黑体"/>
          <w:b/>
          <w:color w:val="auto"/>
          <w:sz w:val="30"/>
          <w:highlight w:val="none"/>
        </w:rPr>
        <w:t>《资产返还确认书》</w:t>
      </w:r>
    </w:p>
    <w:p w14:paraId="4B2289DC">
      <w:pPr>
        <w:spacing w:before="0" w:after="40" w:line="312" w:lineRule="auto"/>
        <w:jc w:val="left"/>
        <w:rPr>
          <w:color w:val="auto"/>
          <w:highlight w:val="none"/>
        </w:rPr>
      </w:pPr>
      <w:r>
        <w:rPr>
          <w:rFonts w:ascii="Times New Roman" w:hAnsi="Times New Roman" w:eastAsia="宋体"/>
          <w:b w:val="0"/>
          <w:color w:val="auto"/>
          <w:sz w:val="24"/>
          <w:highlight w:val="none"/>
        </w:rPr>
        <w:t>返还方（乙方）：</w:t>
      </w:r>
    </w:p>
    <w:p w14:paraId="721D4055">
      <w:pPr>
        <w:spacing w:before="0" w:after="40" w:line="312" w:lineRule="auto"/>
        <w:jc w:val="left"/>
        <w:rPr>
          <w:color w:val="auto"/>
          <w:highlight w:val="none"/>
        </w:rPr>
      </w:pPr>
      <w:r>
        <w:rPr>
          <w:rFonts w:ascii="Times New Roman" w:hAnsi="Times New Roman" w:eastAsia="宋体"/>
          <w:b w:val="0"/>
          <w:color w:val="auto"/>
          <w:sz w:val="24"/>
          <w:highlight w:val="none"/>
        </w:rPr>
        <w:t>接收方（甲方）：</w:t>
      </w:r>
    </w:p>
    <w:p w14:paraId="567233DC">
      <w:pPr>
        <w:spacing w:before="0" w:after="120" w:line="312" w:lineRule="auto"/>
        <w:jc w:val="left"/>
        <w:rPr>
          <w:color w:val="auto"/>
          <w:highlight w:val="none"/>
        </w:rPr>
      </w:pPr>
      <w:r>
        <w:rPr>
          <w:rFonts w:ascii="Times New Roman" w:hAnsi="Times New Roman" w:eastAsia="宋体"/>
          <w:b w:val="0"/>
          <w:color w:val="auto"/>
          <w:sz w:val="24"/>
          <w:highlight w:val="none"/>
        </w:rPr>
        <w:t>关联合同：《林坊卫生院养老项目合作运营合同》</w:t>
      </w:r>
    </w:p>
    <w:p w14:paraId="3D2A8535">
      <w:pPr>
        <w:spacing w:before="0" w:after="120" w:line="312" w:lineRule="auto"/>
        <w:jc w:val="left"/>
        <w:rPr>
          <w:color w:val="auto"/>
          <w:highlight w:val="none"/>
        </w:rPr>
      </w:pPr>
      <w:r>
        <w:rPr>
          <w:rFonts w:ascii="Times New Roman" w:hAnsi="Times New Roman" w:eastAsia="宋体"/>
          <w:b w:val="0"/>
          <w:color w:val="auto"/>
          <w:sz w:val="24"/>
          <w:highlight w:val="none"/>
        </w:rPr>
        <w:t>依据合同第12条，因合作期限届满／合同提前解除，乙方于＿＿＿＿年＿＿月＿＿日将合作资产返还甲方，双方共同清点验收，确认如下：</w:t>
      </w:r>
    </w:p>
    <w:p w14:paraId="7B721E15">
      <w:pPr>
        <w:spacing w:before="0" w:after="80" w:line="312" w:lineRule="auto"/>
        <w:ind w:firstLine="480"/>
        <w:jc w:val="left"/>
        <w:rPr>
          <w:color w:val="auto"/>
          <w:highlight w:val="none"/>
        </w:rPr>
      </w:pPr>
      <w:r>
        <w:rPr>
          <w:rFonts w:ascii="Times New Roman" w:hAnsi="Times New Roman" w:eastAsia="宋体"/>
          <w:b w:val="0"/>
          <w:color w:val="auto"/>
          <w:sz w:val="24"/>
          <w:highlight w:val="none"/>
        </w:rPr>
        <w:t>一、乙方已按《资产移交确认书》及双方确认的《资产移交清单》，将合作资产及附属设备设施、甲方原有设备设施完好返还甲方（正常损耗除外）。</w:t>
      </w:r>
    </w:p>
    <w:p w14:paraId="7230E058">
      <w:pPr>
        <w:spacing w:before="0" w:after="80" w:line="312" w:lineRule="auto"/>
        <w:ind w:firstLine="480"/>
        <w:jc w:val="left"/>
        <w:rPr>
          <w:color w:val="auto"/>
          <w:highlight w:val="none"/>
        </w:rPr>
      </w:pPr>
      <w:r>
        <w:rPr>
          <w:rFonts w:ascii="Times New Roman" w:hAnsi="Times New Roman" w:eastAsia="宋体"/>
          <w:b w:val="0"/>
          <w:color w:val="auto"/>
          <w:sz w:val="24"/>
          <w:highlight w:val="none"/>
        </w:rPr>
        <w:t>二、乙方投资形成的不可移动装饰装修及附属设备设施无偿归甲方所有；可移动设备设施由乙方自行搬离，搬离未损坏房屋及附属设备设施。</w:t>
      </w:r>
    </w:p>
    <w:tbl>
      <w:tblPr>
        <w:tblStyle w:val="15"/>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67"/>
        <w:gridCol w:w="2835"/>
        <w:gridCol w:w="1928"/>
        <w:gridCol w:w="1474"/>
        <w:gridCol w:w="1247"/>
      </w:tblGrid>
      <w:tr w14:paraId="68856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shd w:val="clear" w:color="auto" w:fill="D9D9D9"/>
            <w:noWrap w:val="0"/>
            <w:vAlign w:val="top"/>
          </w:tcPr>
          <w:p w14:paraId="1F3D0858">
            <w:pPr>
              <w:jc w:val="center"/>
              <w:rPr>
                <w:color w:val="auto"/>
                <w:highlight w:val="none"/>
              </w:rPr>
            </w:pPr>
            <w:r>
              <w:rPr>
                <w:rFonts w:ascii="Times New Roman" w:hAnsi="Times New Roman" w:eastAsia="宋体"/>
                <w:b/>
                <w:color w:val="auto"/>
                <w:sz w:val="21"/>
                <w:highlight w:val="none"/>
              </w:rPr>
              <w:t>序号</w:t>
            </w:r>
          </w:p>
        </w:tc>
        <w:tc>
          <w:tcPr>
            <w:tcW w:w="2835" w:type="dxa"/>
            <w:shd w:val="clear" w:color="auto" w:fill="D9D9D9"/>
            <w:noWrap w:val="0"/>
            <w:vAlign w:val="top"/>
          </w:tcPr>
          <w:p w14:paraId="78C06CB4">
            <w:pPr>
              <w:jc w:val="center"/>
              <w:rPr>
                <w:color w:val="auto"/>
                <w:highlight w:val="none"/>
              </w:rPr>
            </w:pPr>
            <w:r>
              <w:rPr>
                <w:rFonts w:ascii="Times New Roman" w:hAnsi="Times New Roman" w:eastAsia="宋体"/>
                <w:b/>
                <w:color w:val="auto"/>
                <w:sz w:val="21"/>
                <w:highlight w:val="none"/>
              </w:rPr>
              <w:t>返还／移交项目</w:t>
            </w:r>
          </w:p>
        </w:tc>
        <w:tc>
          <w:tcPr>
            <w:tcW w:w="1928" w:type="dxa"/>
            <w:shd w:val="clear" w:color="auto" w:fill="D9D9D9"/>
            <w:noWrap w:val="0"/>
            <w:vAlign w:val="top"/>
          </w:tcPr>
          <w:p w14:paraId="41E7098F">
            <w:pPr>
              <w:jc w:val="center"/>
              <w:rPr>
                <w:color w:val="auto"/>
                <w:highlight w:val="none"/>
              </w:rPr>
            </w:pPr>
            <w:r>
              <w:rPr>
                <w:rFonts w:ascii="Times New Roman" w:hAnsi="Times New Roman" w:eastAsia="宋体"/>
                <w:b/>
                <w:color w:val="auto"/>
                <w:sz w:val="21"/>
                <w:highlight w:val="none"/>
              </w:rPr>
              <w:t>约定应返还</w:t>
            </w:r>
          </w:p>
        </w:tc>
        <w:tc>
          <w:tcPr>
            <w:tcW w:w="1474" w:type="dxa"/>
            <w:shd w:val="clear" w:color="auto" w:fill="D9D9D9"/>
            <w:noWrap w:val="0"/>
            <w:vAlign w:val="top"/>
          </w:tcPr>
          <w:p w14:paraId="200A866C">
            <w:pPr>
              <w:jc w:val="center"/>
              <w:rPr>
                <w:color w:val="auto"/>
                <w:highlight w:val="none"/>
              </w:rPr>
            </w:pPr>
            <w:r>
              <w:rPr>
                <w:rFonts w:ascii="Times New Roman" w:hAnsi="Times New Roman" w:eastAsia="宋体"/>
                <w:b/>
                <w:color w:val="auto"/>
                <w:sz w:val="21"/>
                <w:highlight w:val="none"/>
              </w:rPr>
              <w:t>实际返还情况</w:t>
            </w:r>
          </w:p>
        </w:tc>
        <w:tc>
          <w:tcPr>
            <w:tcW w:w="1247" w:type="dxa"/>
            <w:shd w:val="clear" w:color="auto" w:fill="D9D9D9"/>
            <w:noWrap w:val="0"/>
            <w:vAlign w:val="top"/>
          </w:tcPr>
          <w:p w14:paraId="24371A51">
            <w:pPr>
              <w:jc w:val="center"/>
              <w:rPr>
                <w:color w:val="auto"/>
                <w:highlight w:val="none"/>
              </w:rPr>
            </w:pPr>
            <w:r>
              <w:rPr>
                <w:rFonts w:ascii="Times New Roman" w:hAnsi="Times New Roman" w:eastAsia="宋体"/>
                <w:b/>
                <w:color w:val="auto"/>
                <w:sz w:val="21"/>
                <w:highlight w:val="none"/>
              </w:rPr>
              <w:t>状态确认</w:t>
            </w:r>
          </w:p>
        </w:tc>
      </w:tr>
      <w:tr w14:paraId="02E6A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79D24770">
            <w:pPr>
              <w:jc w:val="center"/>
              <w:rPr>
                <w:color w:val="auto"/>
                <w:highlight w:val="none"/>
              </w:rPr>
            </w:pPr>
            <w:r>
              <w:rPr>
                <w:rFonts w:ascii="Times New Roman" w:hAnsi="Times New Roman" w:eastAsia="宋体"/>
                <w:b w:val="0"/>
                <w:color w:val="auto"/>
                <w:sz w:val="21"/>
                <w:highlight w:val="none"/>
              </w:rPr>
              <w:t>1</w:t>
            </w:r>
          </w:p>
        </w:tc>
        <w:tc>
          <w:tcPr>
            <w:tcW w:w="2835" w:type="dxa"/>
            <w:noWrap w:val="0"/>
            <w:vAlign w:val="top"/>
          </w:tcPr>
          <w:p w14:paraId="4D10D5E0">
            <w:pPr>
              <w:jc w:val="center"/>
              <w:rPr>
                <w:color w:val="auto"/>
                <w:highlight w:val="none"/>
              </w:rPr>
            </w:pPr>
            <w:r>
              <w:rPr>
                <w:rFonts w:ascii="Times New Roman" w:hAnsi="Times New Roman" w:eastAsia="宋体"/>
                <w:b w:val="0"/>
                <w:color w:val="auto"/>
                <w:sz w:val="21"/>
                <w:highlight w:val="none"/>
              </w:rPr>
              <w:t>房屋及基础装修</w:t>
            </w:r>
          </w:p>
        </w:tc>
        <w:tc>
          <w:tcPr>
            <w:tcW w:w="1928" w:type="dxa"/>
            <w:noWrap w:val="0"/>
            <w:vAlign w:val="top"/>
          </w:tcPr>
          <w:p w14:paraId="5A0FFEED">
            <w:pPr>
              <w:jc w:val="center"/>
              <w:rPr>
                <w:color w:val="auto"/>
                <w:highlight w:val="none"/>
              </w:rPr>
            </w:pPr>
            <w:r>
              <w:rPr>
                <w:rFonts w:ascii="Times New Roman" w:hAnsi="Times New Roman" w:eastAsia="宋体"/>
                <w:b w:val="0"/>
                <w:color w:val="auto"/>
                <w:sz w:val="21"/>
                <w:highlight w:val="none"/>
              </w:rPr>
              <w:t>完好返还</w:t>
            </w:r>
          </w:p>
        </w:tc>
        <w:tc>
          <w:tcPr>
            <w:tcW w:w="1474" w:type="dxa"/>
            <w:noWrap w:val="0"/>
            <w:vAlign w:val="top"/>
          </w:tcPr>
          <w:p w14:paraId="3ABE1264">
            <w:pPr>
              <w:jc w:val="center"/>
              <w:rPr>
                <w:color w:val="auto"/>
                <w:highlight w:val="none"/>
              </w:rPr>
            </w:pPr>
          </w:p>
        </w:tc>
        <w:tc>
          <w:tcPr>
            <w:tcW w:w="1247" w:type="dxa"/>
            <w:noWrap w:val="0"/>
            <w:vAlign w:val="top"/>
          </w:tcPr>
          <w:p w14:paraId="7E155379">
            <w:pPr>
              <w:jc w:val="center"/>
              <w:rPr>
                <w:color w:val="auto"/>
                <w:highlight w:val="none"/>
              </w:rPr>
            </w:pPr>
            <w:r>
              <w:rPr>
                <w:rFonts w:ascii="Times New Roman" w:hAnsi="Times New Roman" w:eastAsia="宋体"/>
                <w:b w:val="0"/>
                <w:color w:val="auto"/>
                <w:sz w:val="21"/>
                <w:highlight w:val="none"/>
              </w:rPr>
              <w:t>□ 合格</w:t>
            </w:r>
          </w:p>
        </w:tc>
      </w:tr>
      <w:tr w14:paraId="60BEE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39A14EC1">
            <w:pPr>
              <w:jc w:val="center"/>
              <w:rPr>
                <w:color w:val="auto"/>
                <w:highlight w:val="none"/>
              </w:rPr>
            </w:pPr>
            <w:r>
              <w:rPr>
                <w:rFonts w:ascii="Times New Roman" w:hAnsi="Times New Roman" w:eastAsia="宋体"/>
                <w:b w:val="0"/>
                <w:color w:val="auto"/>
                <w:sz w:val="21"/>
                <w:highlight w:val="none"/>
              </w:rPr>
              <w:t>2</w:t>
            </w:r>
          </w:p>
        </w:tc>
        <w:tc>
          <w:tcPr>
            <w:tcW w:w="2835" w:type="dxa"/>
            <w:noWrap w:val="0"/>
            <w:vAlign w:val="top"/>
          </w:tcPr>
          <w:p w14:paraId="79106AE7">
            <w:pPr>
              <w:jc w:val="center"/>
              <w:rPr>
                <w:color w:val="auto"/>
                <w:highlight w:val="none"/>
              </w:rPr>
            </w:pPr>
            <w:r>
              <w:rPr>
                <w:rFonts w:ascii="Times New Roman" w:hAnsi="Times New Roman" w:eastAsia="宋体"/>
                <w:b w:val="0"/>
                <w:color w:val="auto"/>
                <w:sz w:val="21"/>
                <w:highlight w:val="none"/>
              </w:rPr>
              <w:t>甲方原有设备设施</w:t>
            </w:r>
          </w:p>
        </w:tc>
        <w:tc>
          <w:tcPr>
            <w:tcW w:w="1928" w:type="dxa"/>
            <w:noWrap w:val="0"/>
            <w:vAlign w:val="top"/>
          </w:tcPr>
          <w:p w14:paraId="66626025">
            <w:pPr>
              <w:jc w:val="center"/>
              <w:rPr>
                <w:color w:val="auto"/>
                <w:highlight w:val="none"/>
              </w:rPr>
            </w:pPr>
            <w:r>
              <w:rPr>
                <w:rFonts w:ascii="Times New Roman" w:hAnsi="Times New Roman" w:eastAsia="宋体"/>
                <w:b w:val="0"/>
                <w:color w:val="auto"/>
                <w:sz w:val="21"/>
                <w:highlight w:val="none"/>
              </w:rPr>
              <w:t>完好返还</w:t>
            </w:r>
          </w:p>
        </w:tc>
        <w:tc>
          <w:tcPr>
            <w:tcW w:w="1474" w:type="dxa"/>
            <w:noWrap w:val="0"/>
            <w:vAlign w:val="top"/>
          </w:tcPr>
          <w:p w14:paraId="0D2DA43C">
            <w:pPr>
              <w:jc w:val="center"/>
              <w:rPr>
                <w:color w:val="auto"/>
                <w:highlight w:val="none"/>
              </w:rPr>
            </w:pPr>
          </w:p>
        </w:tc>
        <w:tc>
          <w:tcPr>
            <w:tcW w:w="1247" w:type="dxa"/>
            <w:noWrap w:val="0"/>
            <w:vAlign w:val="top"/>
          </w:tcPr>
          <w:p w14:paraId="389115B1">
            <w:pPr>
              <w:jc w:val="center"/>
              <w:rPr>
                <w:color w:val="auto"/>
                <w:highlight w:val="none"/>
              </w:rPr>
            </w:pPr>
            <w:r>
              <w:rPr>
                <w:rFonts w:ascii="Times New Roman" w:hAnsi="Times New Roman" w:eastAsia="宋体"/>
                <w:b w:val="0"/>
                <w:color w:val="auto"/>
                <w:sz w:val="21"/>
                <w:highlight w:val="none"/>
              </w:rPr>
              <w:t>□ 合格</w:t>
            </w:r>
          </w:p>
        </w:tc>
      </w:tr>
      <w:tr w14:paraId="7D17C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1A272AAB">
            <w:pPr>
              <w:jc w:val="center"/>
              <w:rPr>
                <w:color w:val="auto"/>
                <w:highlight w:val="none"/>
              </w:rPr>
            </w:pPr>
            <w:r>
              <w:rPr>
                <w:rFonts w:ascii="Times New Roman" w:hAnsi="Times New Roman" w:eastAsia="宋体"/>
                <w:b w:val="0"/>
                <w:color w:val="auto"/>
                <w:sz w:val="21"/>
                <w:highlight w:val="none"/>
              </w:rPr>
              <w:t>3</w:t>
            </w:r>
          </w:p>
        </w:tc>
        <w:tc>
          <w:tcPr>
            <w:tcW w:w="2835" w:type="dxa"/>
            <w:noWrap w:val="0"/>
            <w:vAlign w:val="top"/>
          </w:tcPr>
          <w:p w14:paraId="2742AB9B">
            <w:pPr>
              <w:jc w:val="center"/>
              <w:rPr>
                <w:color w:val="auto"/>
                <w:highlight w:val="none"/>
              </w:rPr>
            </w:pPr>
            <w:r>
              <w:rPr>
                <w:rFonts w:ascii="Times New Roman" w:hAnsi="Times New Roman" w:eastAsia="宋体"/>
                <w:b w:val="0"/>
                <w:color w:val="auto"/>
                <w:sz w:val="21"/>
                <w:highlight w:val="none"/>
              </w:rPr>
              <w:t>不可移动装饰装修及附属设施</w:t>
            </w:r>
          </w:p>
        </w:tc>
        <w:tc>
          <w:tcPr>
            <w:tcW w:w="1928" w:type="dxa"/>
            <w:noWrap w:val="0"/>
            <w:vAlign w:val="top"/>
          </w:tcPr>
          <w:p w14:paraId="1F21912B">
            <w:pPr>
              <w:jc w:val="center"/>
              <w:rPr>
                <w:color w:val="auto"/>
                <w:highlight w:val="none"/>
              </w:rPr>
            </w:pPr>
            <w:r>
              <w:rPr>
                <w:rFonts w:ascii="Times New Roman" w:hAnsi="Times New Roman" w:eastAsia="宋体"/>
                <w:b w:val="0"/>
                <w:color w:val="auto"/>
                <w:sz w:val="21"/>
                <w:highlight w:val="none"/>
              </w:rPr>
              <w:t>无偿归甲方</w:t>
            </w:r>
          </w:p>
        </w:tc>
        <w:tc>
          <w:tcPr>
            <w:tcW w:w="1474" w:type="dxa"/>
            <w:noWrap w:val="0"/>
            <w:vAlign w:val="top"/>
          </w:tcPr>
          <w:p w14:paraId="33B0CBF7">
            <w:pPr>
              <w:jc w:val="center"/>
              <w:rPr>
                <w:color w:val="auto"/>
                <w:highlight w:val="none"/>
              </w:rPr>
            </w:pPr>
          </w:p>
        </w:tc>
        <w:tc>
          <w:tcPr>
            <w:tcW w:w="1247" w:type="dxa"/>
            <w:noWrap w:val="0"/>
            <w:vAlign w:val="top"/>
          </w:tcPr>
          <w:p w14:paraId="5D9D4840">
            <w:pPr>
              <w:jc w:val="center"/>
              <w:rPr>
                <w:color w:val="auto"/>
                <w:highlight w:val="none"/>
              </w:rPr>
            </w:pPr>
            <w:r>
              <w:rPr>
                <w:rFonts w:ascii="Times New Roman" w:hAnsi="Times New Roman" w:eastAsia="宋体"/>
                <w:b w:val="0"/>
                <w:color w:val="auto"/>
                <w:sz w:val="21"/>
                <w:highlight w:val="none"/>
              </w:rPr>
              <w:t>□ 合格</w:t>
            </w:r>
          </w:p>
        </w:tc>
      </w:tr>
      <w:tr w14:paraId="39A0A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6907B473">
            <w:pPr>
              <w:jc w:val="center"/>
              <w:rPr>
                <w:color w:val="auto"/>
                <w:highlight w:val="none"/>
              </w:rPr>
            </w:pPr>
            <w:r>
              <w:rPr>
                <w:rFonts w:ascii="Times New Roman" w:hAnsi="Times New Roman" w:eastAsia="宋体"/>
                <w:b w:val="0"/>
                <w:color w:val="auto"/>
                <w:sz w:val="21"/>
                <w:highlight w:val="none"/>
              </w:rPr>
              <w:t>4</w:t>
            </w:r>
          </w:p>
        </w:tc>
        <w:tc>
          <w:tcPr>
            <w:tcW w:w="2835" w:type="dxa"/>
            <w:noWrap w:val="0"/>
            <w:vAlign w:val="top"/>
          </w:tcPr>
          <w:p w14:paraId="265CC5B4">
            <w:pPr>
              <w:jc w:val="center"/>
              <w:rPr>
                <w:color w:val="auto"/>
                <w:highlight w:val="none"/>
              </w:rPr>
            </w:pPr>
            <w:r>
              <w:rPr>
                <w:rFonts w:ascii="Times New Roman" w:hAnsi="Times New Roman" w:eastAsia="宋体"/>
                <w:b w:val="0"/>
                <w:color w:val="auto"/>
                <w:sz w:val="21"/>
                <w:highlight w:val="none"/>
              </w:rPr>
              <w:t>水／电／燃气费用</w:t>
            </w:r>
          </w:p>
        </w:tc>
        <w:tc>
          <w:tcPr>
            <w:tcW w:w="1928" w:type="dxa"/>
            <w:noWrap w:val="0"/>
            <w:vAlign w:val="top"/>
          </w:tcPr>
          <w:p w14:paraId="4948CBCA">
            <w:pPr>
              <w:jc w:val="center"/>
              <w:rPr>
                <w:color w:val="auto"/>
                <w:highlight w:val="none"/>
              </w:rPr>
            </w:pPr>
            <w:r>
              <w:rPr>
                <w:rFonts w:ascii="Times New Roman" w:hAnsi="Times New Roman" w:eastAsia="宋体"/>
                <w:b w:val="0"/>
                <w:color w:val="auto"/>
                <w:sz w:val="21"/>
                <w:highlight w:val="none"/>
              </w:rPr>
              <w:t>结清至返还之日</w:t>
            </w:r>
          </w:p>
        </w:tc>
        <w:tc>
          <w:tcPr>
            <w:tcW w:w="1474" w:type="dxa"/>
            <w:noWrap w:val="0"/>
            <w:vAlign w:val="top"/>
          </w:tcPr>
          <w:p w14:paraId="068D993E">
            <w:pPr>
              <w:jc w:val="center"/>
              <w:rPr>
                <w:color w:val="auto"/>
                <w:highlight w:val="none"/>
              </w:rPr>
            </w:pPr>
          </w:p>
        </w:tc>
        <w:tc>
          <w:tcPr>
            <w:tcW w:w="1247" w:type="dxa"/>
            <w:noWrap w:val="0"/>
            <w:vAlign w:val="top"/>
          </w:tcPr>
          <w:p w14:paraId="6EA8F749">
            <w:pPr>
              <w:jc w:val="center"/>
              <w:rPr>
                <w:color w:val="auto"/>
                <w:highlight w:val="none"/>
              </w:rPr>
            </w:pPr>
            <w:r>
              <w:rPr>
                <w:rFonts w:ascii="Times New Roman" w:hAnsi="Times New Roman" w:eastAsia="宋体"/>
                <w:b w:val="0"/>
                <w:color w:val="auto"/>
                <w:sz w:val="21"/>
                <w:highlight w:val="none"/>
              </w:rPr>
              <w:t>□ 结清</w:t>
            </w:r>
          </w:p>
        </w:tc>
      </w:tr>
      <w:tr w14:paraId="58D0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1A5ADEC8">
            <w:pPr>
              <w:jc w:val="center"/>
              <w:rPr>
                <w:color w:val="auto"/>
                <w:highlight w:val="none"/>
              </w:rPr>
            </w:pPr>
            <w:r>
              <w:rPr>
                <w:rFonts w:ascii="Times New Roman" w:hAnsi="Times New Roman" w:eastAsia="宋体"/>
                <w:b w:val="0"/>
                <w:color w:val="auto"/>
                <w:sz w:val="21"/>
                <w:highlight w:val="none"/>
              </w:rPr>
              <w:t>5</w:t>
            </w:r>
          </w:p>
        </w:tc>
        <w:tc>
          <w:tcPr>
            <w:tcW w:w="2835" w:type="dxa"/>
            <w:noWrap w:val="0"/>
            <w:vAlign w:val="top"/>
          </w:tcPr>
          <w:p w14:paraId="12914C27">
            <w:pPr>
              <w:jc w:val="center"/>
              <w:rPr>
                <w:color w:val="auto"/>
                <w:highlight w:val="none"/>
              </w:rPr>
            </w:pPr>
            <w:r>
              <w:rPr>
                <w:rFonts w:ascii="Times New Roman" w:hAnsi="Times New Roman" w:eastAsia="宋体"/>
                <w:b w:val="0"/>
                <w:color w:val="auto"/>
                <w:sz w:val="21"/>
                <w:highlight w:val="none"/>
              </w:rPr>
              <w:t>物业费</w:t>
            </w:r>
          </w:p>
        </w:tc>
        <w:tc>
          <w:tcPr>
            <w:tcW w:w="1928" w:type="dxa"/>
            <w:noWrap w:val="0"/>
            <w:vAlign w:val="top"/>
          </w:tcPr>
          <w:p w14:paraId="2E847B01">
            <w:pPr>
              <w:jc w:val="center"/>
              <w:rPr>
                <w:color w:val="auto"/>
                <w:highlight w:val="none"/>
              </w:rPr>
            </w:pPr>
            <w:r>
              <w:rPr>
                <w:rFonts w:ascii="Times New Roman" w:hAnsi="Times New Roman" w:eastAsia="宋体"/>
                <w:b w:val="0"/>
                <w:color w:val="auto"/>
                <w:sz w:val="21"/>
                <w:highlight w:val="none"/>
              </w:rPr>
              <w:t>结清至返还之日</w:t>
            </w:r>
          </w:p>
        </w:tc>
        <w:tc>
          <w:tcPr>
            <w:tcW w:w="1474" w:type="dxa"/>
            <w:noWrap w:val="0"/>
            <w:vAlign w:val="top"/>
          </w:tcPr>
          <w:p w14:paraId="179A223C">
            <w:pPr>
              <w:jc w:val="center"/>
              <w:rPr>
                <w:color w:val="auto"/>
                <w:highlight w:val="none"/>
              </w:rPr>
            </w:pPr>
          </w:p>
        </w:tc>
        <w:tc>
          <w:tcPr>
            <w:tcW w:w="1247" w:type="dxa"/>
            <w:noWrap w:val="0"/>
            <w:vAlign w:val="top"/>
          </w:tcPr>
          <w:p w14:paraId="2432A94D">
            <w:pPr>
              <w:jc w:val="center"/>
              <w:rPr>
                <w:color w:val="auto"/>
                <w:highlight w:val="none"/>
              </w:rPr>
            </w:pPr>
            <w:r>
              <w:rPr>
                <w:rFonts w:ascii="Times New Roman" w:hAnsi="Times New Roman" w:eastAsia="宋体"/>
                <w:b w:val="0"/>
                <w:color w:val="auto"/>
                <w:sz w:val="21"/>
                <w:highlight w:val="none"/>
              </w:rPr>
              <w:t>□ 结清</w:t>
            </w:r>
          </w:p>
        </w:tc>
      </w:tr>
      <w:tr w14:paraId="7ED7F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6D586911">
            <w:pPr>
              <w:jc w:val="center"/>
              <w:rPr>
                <w:color w:val="auto"/>
                <w:highlight w:val="none"/>
              </w:rPr>
            </w:pPr>
            <w:r>
              <w:rPr>
                <w:rFonts w:ascii="Times New Roman" w:hAnsi="Times New Roman" w:eastAsia="宋体"/>
                <w:b w:val="0"/>
                <w:color w:val="auto"/>
                <w:sz w:val="21"/>
                <w:highlight w:val="none"/>
              </w:rPr>
              <w:t>6</w:t>
            </w:r>
          </w:p>
        </w:tc>
        <w:tc>
          <w:tcPr>
            <w:tcW w:w="2835" w:type="dxa"/>
            <w:noWrap w:val="0"/>
            <w:vAlign w:val="top"/>
          </w:tcPr>
          <w:p w14:paraId="46556C59">
            <w:pPr>
              <w:jc w:val="center"/>
              <w:rPr>
                <w:color w:val="auto"/>
                <w:highlight w:val="none"/>
              </w:rPr>
            </w:pPr>
            <w:r>
              <w:rPr>
                <w:rFonts w:ascii="Times New Roman" w:hAnsi="Times New Roman" w:eastAsia="宋体"/>
                <w:b w:val="0"/>
                <w:color w:val="auto"/>
                <w:sz w:val="21"/>
                <w:highlight w:val="none"/>
              </w:rPr>
              <w:t>人员工资</w:t>
            </w:r>
          </w:p>
        </w:tc>
        <w:tc>
          <w:tcPr>
            <w:tcW w:w="1928" w:type="dxa"/>
            <w:noWrap w:val="0"/>
            <w:vAlign w:val="top"/>
          </w:tcPr>
          <w:p w14:paraId="7DF0BEAD">
            <w:pPr>
              <w:jc w:val="center"/>
              <w:rPr>
                <w:color w:val="auto"/>
                <w:highlight w:val="none"/>
              </w:rPr>
            </w:pPr>
            <w:r>
              <w:rPr>
                <w:rFonts w:ascii="Times New Roman" w:hAnsi="Times New Roman" w:eastAsia="宋体"/>
                <w:b w:val="0"/>
                <w:color w:val="auto"/>
                <w:sz w:val="21"/>
                <w:highlight w:val="none"/>
              </w:rPr>
              <w:t>乙方自行结清</w:t>
            </w:r>
          </w:p>
        </w:tc>
        <w:tc>
          <w:tcPr>
            <w:tcW w:w="1474" w:type="dxa"/>
            <w:noWrap w:val="0"/>
            <w:vAlign w:val="top"/>
          </w:tcPr>
          <w:p w14:paraId="5D655B67">
            <w:pPr>
              <w:jc w:val="center"/>
              <w:rPr>
                <w:color w:val="auto"/>
                <w:highlight w:val="none"/>
              </w:rPr>
            </w:pPr>
          </w:p>
        </w:tc>
        <w:tc>
          <w:tcPr>
            <w:tcW w:w="1247" w:type="dxa"/>
            <w:noWrap w:val="0"/>
            <w:vAlign w:val="top"/>
          </w:tcPr>
          <w:p w14:paraId="76493071">
            <w:pPr>
              <w:jc w:val="center"/>
              <w:rPr>
                <w:color w:val="auto"/>
                <w:highlight w:val="none"/>
              </w:rPr>
            </w:pPr>
            <w:r>
              <w:rPr>
                <w:rFonts w:ascii="Times New Roman" w:hAnsi="Times New Roman" w:eastAsia="宋体"/>
                <w:b w:val="0"/>
                <w:color w:val="auto"/>
                <w:sz w:val="21"/>
                <w:highlight w:val="none"/>
              </w:rPr>
              <w:t>□ 结清</w:t>
            </w:r>
          </w:p>
        </w:tc>
      </w:tr>
      <w:tr w14:paraId="3EB21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567" w:type="dxa"/>
            <w:noWrap w:val="0"/>
            <w:vAlign w:val="top"/>
          </w:tcPr>
          <w:p w14:paraId="73D764E8">
            <w:pPr>
              <w:jc w:val="center"/>
              <w:rPr>
                <w:color w:val="auto"/>
                <w:highlight w:val="none"/>
              </w:rPr>
            </w:pPr>
            <w:r>
              <w:rPr>
                <w:rFonts w:ascii="Times New Roman" w:hAnsi="Times New Roman" w:eastAsia="宋体"/>
                <w:b w:val="0"/>
                <w:color w:val="auto"/>
                <w:sz w:val="21"/>
                <w:highlight w:val="none"/>
              </w:rPr>
              <w:t>7</w:t>
            </w:r>
          </w:p>
        </w:tc>
        <w:tc>
          <w:tcPr>
            <w:tcW w:w="2835" w:type="dxa"/>
            <w:noWrap w:val="0"/>
            <w:vAlign w:val="top"/>
          </w:tcPr>
          <w:p w14:paraId="60324884">
            <w:pPr>
              <w:jc w:val="center"/>
              <w:rPr>
                <w:color w:val="auto"/>
                <w:highlight w:val="none"/>
              </w:rPr>
            </w:pPr>
            <w:r>
              <w:rPr>
                <w:rFonts w:ascii="Times New Roman" w:hAnsi="Times New Roman" w:eastAsia="宋体"/>
                <w:b w:val="0"/>
                <w:color w:val="auto"/>
                <w:sz w:val="21"/>
                <w:highlight w:val="none"/>
              </w:rPr>
              <w:t>运营档案／客户资料／财务账目</w:t>
            </w:r>
          </w:p>
        </w:tc>
        <w:tc>
          <w:tcPr>
            <w:tcW w:w="1928" w:type="dxa"/>
            <w:noWrap w:val="0"/>
            <w:vAlign w:val="top"/>
          </w:tcPr>
          <w:p w14:paraId="7B9984FF">
            <w:pPr>
              <w:jc w:val="center"/>
              <w:rPr>
                <w:color w:val="auto"/>
                <w:highlight w:val="none"/>
              </w:rPr>
            </w:pPr>
            <w:r>
              <w:rPr>
                <w:rFonts w:ascii="Times New Roman" w:hAnsi="Times New Roman" w:eastAsia="宋体"/>
                <w:b w:val="0"/>
                <w:color w:val="auto"/>
                <w:sz w:val="21"/>
                <w:highlight w:val="none"/>
              </w:rPr>
              <w:t>完整移交</w:t>
            </w:r>
          </w:p>
        </w:tc>
        <w:tc>
          <w:tcPr>
            <w:tcW w:w="1474" w:type="dxa"/>
            <w:noWrap w:val="0"/>
            <w:vAlign w:val="top"/>
          </w:tcPr>
          <w:p w14:paraId="500E6649">
            <w:pPr>
              <w:jc w:val="center"/>
              <w:rPr>
                <w:color w:val="auto"/>
                <w:highlight w:val="none"/>
              </w:rPr>
            </w:pPr>
          </w:p>
        </w:tc>
        <w:tc>
          <w:tcPr>
            <w:tcW w:w="1247" w:type="dxa"/>
            <w:noWrap w:val="0"/>
            <w:vAlign w:val="top"/>
          </w:tcPr>
          <w:p w14:paraId="727CB201">
            <w:pPr>
              <w:jc w:val="center"/>
              <w:rPr>
                <w:color w:val="auto"/>
                <w:highlight w:val="none"/>
              </w:rPr>
            </w:pPr>
            <w:r>
              <w:rPr>
                <w:rFonts w:ascii="Times New Roman" w:hAnsi="Times New Roman" w:eastAsia="宋体"/>
                <w:b w:val="0"/>
                <w:color w:val="auto"/>
                <w:sz w:val="21"/>
                <w:highlight w:val="none"/>
              </w:rPr>
              <w:t>□ 已移交</w:t>
            </w:r>
          </w:p>
        </w:tc>
      </w:tr>
    </w:tbl>
    <w:p w14:paraId="5D071649">
      <w:pPr>
        <w:spacing w:before="0" w:after="80" w:line="312" w:lineRule="auto"/>
        <w:ind w:firstLine="480"/>
        <w:jc w:val="left"/>
        <w:rPr>
          <w:color w:val="auto"/>
          <w:highlight w:val="none"/>
        </w:rPr>
      </w:pPr>
      <w:r>
        <w:rPr>
          <w:rFonts w:ascii="Times New Roman" w:hAnsi="Times New Roman" w:eastAsia="宋体"/>
          <w:b w:val="0"/>
          <w:color w:val="auto"/>
          <w:sz w:val="24"/>
          <w:highlight w:val="none"/>
        </w:rPr>
        <w:t>三、乙方已结清截至返还之日的全部费用（水电、物业、人员工资等），并移交运营档案、客户资料、财务账目等资料，不得以任何理由留置合作资产或拒绝返还（合同第12.3、12.4条）。</w:t>
      </w:r>
    </w:p>
    <w:p w14:paraId="1AC6E402">
      <w:pPr>
        <w:spacing w:before="0" w:after="200" w:line="312" w:lineRule="auto"/>
        <w:ind w:firstLine="480"/>
        <w:jc w:val="left"/>
        <w:rPr>
          <w:color w:val="auto"/>
          <w:highlight w:val="none"/>
        </w:rPr>
      </w:pPr>
      <w:r>
        <w:rPr>
          <w:rFonts w:ascii="Times New Roman" w:hAnsi="Times New Roman" w:eastAsia="宋体"/>
          <w:b w:val="0"/>
          <w:color w:val="auto"/>
          <w:sz w:val="24"/>
          <w:highlight w:val="none"/>
        </w:rPr>
        <w:t>四、本确认书一式四份，甲乙双方各执二份，作为合同附件与合同具有同等法律效力。</w:t>
      </w:r>
    </w:p>
    <w:p w14:paraId="0B418B53">
      <w:pPr>
        <w:spacing w:before="0" w:after="60" w:line="312" w:lineRule="auto"/>
        <w:jc w:val="left"/>
        <w:rPr>
          <w:color w:val="auto"/>
          <w:highlight w:val="none"/>
        </w:rPr>
      </w:pPr>
      <w:r>
        <w:rPr>
          <w:rFonts w:ascii="Times New Roman" w:hAnsi="Times New Roman" w:eastAsia="宋体"/>
          <w:b w:val="0"/>
          <w:color w:val="auto"/>
          <w:sz w:val="24"/>
          <w:highlight w:val="none"/>
        </w:rPr>
        <w:t>返还方（乙方盖章）：            法定代表人／授权代表（签字）：</w:t>
      </w:r>
    </w:p>
    <w:p w14:paraId="61A15039">
      <w:pPr>
        <w:spacing w:before="0" w:after="160" w:line="312" w:lineRule="auto"/>
        <w:jc w:val="left"/>
        <w:rPr>
          <w:color w:val="auto"/>
          <w:highlight w:val="none"/>
        </w:rPr>
      </w:pPr>
      <w:r>
        <w:rPr>
          <w:rFonts w:ascii="Times New Roman" w:hAnsi="Times New Roman" w:eastAsia="宋体"/>
          <w:b w:val="0"/>
          <w:color w:val="auto"/>
          <w:sz w:val="24"/>
          <w:highlight w:val="none"/>
        </w:rPr>
        <w:t>日期：＿＿＿＿年＿＿月＿＿日</w:t>
      </w:r>
    </w:p>
    <w:p w14:paraId="3C7148EC">
      <w:pPr>
        <w:spacing w:before="0" w:after="60" w:line="312" w:lineRule="auto"/>
        <w:jc w:val="left"/>
        <w:rPr>
          <w:color w:val="auto"/>
          <w:highlight w:val="none"/>
        </w:rPr>
      </w:pPr>
      <w:r>
        <w:rPr>
          <w:rFonts w:ascii="Times New Roman" w:hAnsi="Times New Roman" w:eastAsia="宋体"/>
          <w:b w:val="0"/>
          <w:color w:val="auto"/>
          <w:sz w:val="24"/>
          <w:highlight w:val="none"/>
        </w:rPr>
        <w:t>接收方（甲方盖章）：            法定代表人／授权代表（签字）：</w:t>
      </w:r>
    </w:p>
    <w:p w14:paraId="51274042">
      <w:pPr>
        <w:spacing w:before="0" w:after="160" w:line="312" w:lineRule="auto"/>
        <w:jc w:val="left"/>
        <w:rPr>
          <w:rFonts w:hint="eastAsia"/>
          <w:color w:val="auto"/>
          <w:highlight w:val="none"/>
        </w:rPr>
      </w:pPr>
      <w:r>
        <w:rPr>
          <w:rFonts w:ascii="Times New Roman" w:hAnsi="Times New Roman" w:eastAsia="宋体"/>
          <w:b w:val="0"/>
          <w:color w:val="auto"/>
          <w:sz w:val="24"/>
          <w:highlight w:val="none"/>
        </w:rPr>
        <w:t>日期：＿＿＿＿年＿＿月＿＿日</w:t>
      </w:r>
    </w:p>
    <w:p w14:paraId="75223849">
      <w:pPr>
        <w:rPr>
          <w:rFonts w:hint="default" w:ascii="宋体" w:hAnsi="宋体" w:cs="宋体"/>
          <w:color w:val="auto"/>
          <w:sz w:val="28"/>
          <w:szCs w:val="28"/>
          <w:highlight w:val="none"/>
          <w:lang w:val="en-US" w:eastAsia="zh-CN"/>
        </w:rPr>
      </w:pPr>
    </w:p>
    <w:sectPr>
      <w:footerReference r:id="rId3" w:type="default"/>
      <w:pgSz w:w="11906" w:h="16838"/>
      <w:pgMar w:top="1383" w:right="1587" w:bottom="1383"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0"/>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3360F"/>
    <w:multiLevelType w:val="singleLevel"/>
    <w:tmpl w:val="F7D3360F"/>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2"/>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A43050"/>
    <w:rsid w:val="03306448"/>
    <w:rsid w:val="039E3DB5"/>
    <w:rsid w:val="047F0FEB"/>
    <w:rsid w:val="04973358"/>
    <w:rsid w:val="060E735C"/>
    <w:rsid w:val="076D2FEB"/>
    <w:rsid w:val="0804406F"/>
    <w:rsid w:val="081C4C9C"/>
    <w:rsid w:val="0834033F"/>
    <w:rsid w:val="085D5D81"/>
    <w:rsid w:val="0AD43D25"/>
    <w:rsid w:val="0AEE0C79"/>
    <w:rsid w:val="0AF67B2D"/>
    <w:rsid w:val="0C0C7087"/>
    <w:rsid w:val="0C9C0329"/>
    <w:rsid w:val="0CA830A9"/>
    <w:rsid w:val="0CDA1129"/>
    <w:rsid w:val="0D0C3638"/>
    <w:rsid w:val="0D724C37"/>
    <w:rsid w:val="0E6A79B6"/>
    <w:rsid w:val="0E8467A8"/>
    <w:rsid w:val="0F153787"/>
    <w:rsid w:val="10376C1E"/>
    <w:rsid w:val="10554859"/>
    <w:rsid w:val="105B0B5E"/>
    <w:rsid w:val="108A4FA0"/>
    <w:rsid w:val="115251AE"/>
    <w:rsid w:val="128A572B"/>
    <w:rsid w:val="137205A3"/>
    <w:rsid w:val="138E2060"/>
    <w:rsid w:val="14416FC6"/>
    <w:rsid w:val="149A59CD"/>
    <w:rsid w:val="14DE0881"/>
    <w:rsid w:val="15474BF8"/>
    <w:rsid w:val="1569686F"/>
    <w:rsid w:val="16052A7F"/>
    <w:rsid w:val="167C30C3"/>
    <w:rsid w:val="169951BC"/>
    <w:rsid w:val="177B6D2A"/>
    <w:rsid w:val="18136AFE"/>
    <w:rsid w:val="183B56FD"/>
    <w:rsid w:val="18AE0B48"/>
    <w:rsid w:val="18EF3710"/>
    <w:rsid w:val="1A0E09F0"/>
    <w:rsid w:val="1A394265"/>
    <w:rsid w:val="1B036E7C"/>
    <w:rsid w:val="1B215742"/>
    <w:rsid w:val="1CC932F4"/>
    <w:rsid w:val="1E303C84"/>
    <w:rsid w:val="1EA56673"/>
    <w:rsid w:val="1EF00CA7"/>
    <w:rsid w:val="1F633F72"/>
    <w:rsid w:val="1FB913FE"/>
    <w:rsid w:val="203C362E"/>
    <w:rsid w:val="20E02F65"/>
    <w:rsid w:val="211A411E"/>
    <w:rsid w:val="21D10A49"/>
    <w:rsid w:val="21E464DA"/>
    <w:rsid w:val="226244CC"/>
    <w:rsid w:val="22950329"/>
    <w:rsid w:val="22A30872"/>
    <w:rsid w:val="234F36E4"/>
    <w:rsid w:val="236A7C99"/>
    <w:rsid w:val="23761465"/>
    <w:rsid w:val="246A52EB"/>
    <w:rsid w:val="24741525"/>
    <w:rsid w:val="249C78F6"/>
    <w:rsid w:val="24AF2DCF"/>
    <w:rsid w:val="25AD5A5E"/>
    <w:rsid w:val="25F64131"/>
    <w:rsid w:val="264F6618"/>
    <w:rsid w:val="265414C0"/>
    <w:rsid w:val="26945745"/>
    <w:rsid w:val="285634CF"/>
    <w:rsid w:val="2861758C"/>
    <w:rsid w:val="2892098A"/>
    <w:rsid w:val="297E0FC2"/>
    <w:rsid w:val="297F6480"/>
    <w:rsid w:val="298F31CF"/>
    <w:rsid w:val="2A8C2B55"/>
    <w:rsid w:val="2AC415FD"/>
    <w:rsid w:val="2AF716E5"/>
    <w:rsid w:val="2B023949"/>
    <w:rsid w:val="2B474184"/>
    <w:rsid w:val="2B9065B4"/>
    <w:rsid w:val="2C2A04A0"/>
    <w:rsid w:val="2C4C065B"/>
    <w:rsid w:val="2C5C26DC"/>
    <w:rsid w:val="2CC118F2"/>
    <w:rsid w:val="2CDF621C"/>
    <w:rsid w:val="2D697A29"/>
    <w:rsid w:val="2E0D3F6A"/>
    <w:rsid w:val="2E247419"/>
    <w:rsid w:val="2E293BF2"/>
    <w:rsid w:val="2E301AB4"/>
    <w:rsid w:val="2E7E609A"/>
    <w:rsid w:val="2F3740ED"/>
    <w:rsid w:val="2F866E22"/>
    <w:rsid w:val="2FF9333B"/>
    <w:rsid w:val="300F15EE"/>
    <w:rsid w:val="3062140F"/>
    <w:rsid w:val="31496EC2"/>
    <w:rsid w:val="31E57E30"/>
    <w:rsid w:val="31F6203D"/>
    <w:rsid w:val="31F97F82"/>
    <w:rsid w:val="32165023"/>
    <w:rsid w:val="33B379FC"/>
    <w:rsid w:val="33BB5A80"/>
    <w:rsid w:val="33F95E15"/>
    <w:rsid w:val="348738A9"/>
    <w:rsid w:val="354D07DD"/>
    <w:rsid w:val="36070CBD"/>
    <w:rsid w:val="366756A0"/>
    <w:rsid w:val="371B5B3B"/>
    <w:rsid w:val="3741602B"/>
    <w:rsid w:val="38673C95"/>
    <w:rsid w:val="389225D9"/>
    <w:rsid w:val="38A87E0A"/>
    <w:rsid w:val="39B0099C"/>
    <w:rsid w:val="39C752B8"/>
    <w:rsid w:val="3A0C4B4E"/>
    <w:rsid w:val="3C700EFF"/>
    <w:rsid w:val="3CDB07AE"/>
    <w:rsid w:val="3D143517"/>
    <w:rsid w:val="3D3F6CF4"/>
    <w:rsid w:val="3D71306C"/>
    <w:rsid w:val="3DC87AC0"/>
    <w:rsid w:val="3E166E94"/>
    <w:rsid w:val="3E21674B"/>
    <w:rsid w:val="3FA56A13"/>
    <w:rsid w:val="410835EE"/>
    <w:rsid w:val="418B6AEE"/>
    <w:rsid w:val="42030652"/>
    <w:rsid w:val="423D177E"/>
    <w:rsid w:val="424010B3"/>
    <w:rsid w:val="42890CAC"/>
    <w:rsid w:val="429531AD"/>
    <w:rsid w:val="42E9200F"/>
    <w:rsid w:val="432E70E3"/>
    <w:rsid w:val="449B0822"/>
    <w:rsid w:val="44B738AE"/>
    <w:rsid w:val="44E55E41"/>
    <w:rsid w:val="45A2046C"/>
    <w:rsid w:val="46797B93"/>
    <w:rsid w:val="46965745"/>
    <w:rsid w:val="46DF70EC"/>
    <w:rsid w:val="4758626E"/>
    <w:rsid w:val="47CB141F"/>
    <w:rsid w:val="47ED28F0"/>
    <w:rsid w:val="483C5C8A"/>
    <w:rsid w:val="48556CDA"/>
    <w:rsid w:val="485D0F10"/>
    <w:rsid w:val="48C42A3E"/>
    <w:rsid w:val="4A58410E"/>
    <w:rsid w:val="4ACA1E61"/>
    <w:rsid w:val="4B42467C"/>
    <w:rsid w:val="4B5160DF"/>
    <w:rsid w:val="4C6355B6"/>
    <w:rsid w:val="4D235499"/>
    <w:rsid w:val="4D2550DF"/>
    <w:rsid w:val="4D515A96"/>
    <w:rsid w:val="4DA2556F"/>
    <w:rsid w:val="4E097504"/>
    <w:rsid w:val="4E143612"/>
    <w:rsid w:val="4E661F86"/>
    <w:rsid w:val="4E997C57"/>
    <w:rsid w:val="4E9D3635"/>
    <w:rsid w:val="4ED62599"/>
    <w:rsid w:val="4F4F373F"/>
    <w:rsid w:val="51A703F2"/>
    <w:rsid w:val="51AA471F"/>
    <w:rsid w:val="522E2CD6"/>
    <w:rsid w:val="524A20F8"/>
    <w:rsid w:val="524E2EDF"/>
    <w:rsid w:val="53A04DAC"/>
    <w:rsid w:val="53CB6FAB"/>
    <w:rsid w:val="54150CBD"/>
    <w:rsid w:val="542826BF"/>
    <w:rsid w:val="542B7AC3"/>
    <w:rsid w:val="545B5616"/>
    <w:rsid w:val="55915C48"/>
    <w:rsid w:val="56DC71A4"/>
    <w:rsid w:val="56EB10E9"/>
    <w:rsid w:val="58DE7204"/>
    <w:rsid w:val="59A9494B"/>
    <w:rsid w:val="59AF6DF2"/>
    <w:rsid w:val="59E02F96"/>
    <w:rsid w:val="5A10637D"/>
    <w:rsid w:val="5A244F70"/>
    <w:rsid w:val="5B280C0A"/>
    <w:rsid w:val="5BA1276A"/>
    <w:rsid w:val="5BE82147"/>
    <w:rsid w:val="5C1B076F"/>
    <w:rsid w:val="5C2441D3"/>
    <w:rsid w:val="5C836E64"/>
    <w:rsid w:val="5C9245A9"/>
    <w:rsid w:val="5C9A35A3"/>
    <w:rsid w:val="5D434E88"/>
    <w:rsid w:val="5DBB508D"/>
    <w:rsid w:val="5E047FD0"/>
    <w:rsid w:val="5E0778E1"/>
    <w:rsid w:val="5E2B369E"/>
    <w:rsid w:val="5EA42C9D"/>
    <w:rsid w:val="5F1519BF"/>
    <w:rsid w:val="602A7EDE"/>
    <w:rsid w:val="610F5540"/>
    <w:rsid w:val="616E7593"/>
    <w:rsid w:val="6189617B"/>
    <w:rsid w:val="620F4C9D"/>
    <w:rsid w:val="636B6B43"/>
    <w:rsid w:val="63F56C8F"/>
    <w:rsid w:val="63F81C8C"/>
    <w:rsid w:val="640D0C57"/>
    <w:rsid w:val="64433D8E"/>
    <w:rsid w:val="64C574CA"/>
    <w:rsid w:val="64D67929"/>
    <w:rsid w:val="64E01296"/>
    <w:rsid w:val="664066EE"/>
    <w:rsid w:val="664A0B53"/>
    <w:rsid w:val="67A07D7A"/>
    <w:rsid w:val="67B160B6"/>
    <w:rsid w:val="680A030D"/>
    <w:rsid w:val="69113EED"/>
    <w:rsid w:val="6A0A1171"/>
    <w:rsid w:val="6B776A6D"/>
    <w:rsid w:val="6BCB02F6"/>
    <w:rsid w:val="6CA81B7D"/>
    <w:rsid w:val="6D0C4652"/>
    <w:rsid w:val="6D7B66F3"/>
    <w:rsid w:val="6E661D1D"/>
    <w:rsid w:val="7007345D"/>
    <w:rsid w:val="706E1953"/>
    <w:rsid w:val="707966E1"/>
    <w:rsid w:val="729A0B48"/>
    <w:rsid w:val="729B4033"/>
    <w:rsid w:val="74BC7EEB"/>
    <w:rsid w:val="75A82C1C"/>
    <w:rsid w:val="75C93329"/>
    <w:rsid w:val="77354B5A"/>
    <w:rsid w:val="77875CB0"/>
    <w:rsid w:val="77CE5972"/>
    <w:rsid w:val="786F5C73"/>
    <w:rsid w:val="78EB1D38"/>
    <w:rsid w:val="78F75F2F"/>
    <w:rsid w:val="79162DAA"/>
    <w:rsid w:val="7956473D"/>
    <w:rsid w:val="79B76855"/>
    <w:rsid w:val="7AD654A8"/>
    <w:rsid w:val="7B770E2E"/>
    <w:rsid w:val="7BB939B3"/>
    <w:rsid w:val="7C207AE9"/>
    <w:rsid w:val="7C435390"/>
    <w:rsid w:val="7CB92DCF"/>
    <w:rsid w:val="7CE44BA4"/>
    <w:rsid w:val="7E040C0B"/>
    <w:rsid w:val="7E663674"/>
    <w:rsid w:val="7F16200C"/>
    <w:rsid w:val="7F314DC2"/>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ind w:firstLine="420"/>
    </w:pPr>
    <w:rPr>
      <w:szCs w:val="20"/>
    </w:rPr>
  </w:style>
  <w:style w:type="paragraph" w:styleId="4">
    <w:name w:val="Body Text"/>
    <w:basedOn w:val="1"/>
    <w:next w:val="5"/>
    <w:qFormat/>
    <w:uiPriority w:val="0"/>
    <w:pPr>
      <w:spacing w:line="380" w:lineRule="exact"/>
    </w:pPr>
    <w:rPr>
      <w:sz w:val="24"/>
    </w:rPr>
  </w:style>
  <w:style w:type="paragraph" w:customStyle="1" w:styleId="5">
    <w:name w:val="样式 表格正文 + 两端对齐"/>
    <w:basedOn w:val="1"/>
    <w:next w:val="6"/>
    <w:qFormat/>
    <w:uiPriority w:val="0"/>
    <w:pPr>
      <w:spacing w:line="300" w:lineRule="auto"/>
    </w:pPr>
  </w:style>
  <w:style w:type="paragraph" w:customStyle="1" w:styleId="6">
    <w:name w:val="正文1"/>
    <w:basedOn w:val="1"/>
    <w:qFormat/>
    <w:uiPriority w:val="0"/>
    <w:pPr>
      <w:spacing w:line="480" w:lineRule="exact"/>
      <w:ind w:firstLine="567"/>
    </w:pPr>
    <w:rPr>
      <w:rFonts w:ascii="幼圆" w:eastAsia="幼圆"/>
      <w:sz w:val="28"/>
      <w:szCs w:val="20"/>
    </w:rPr>
  </w:style>
  <w:style w:type="paragraph" w:styleId="7">
    <w:name w:val="Body Text Indent"/>
    <w:basedOn w:val="1"/>
    <w:next w:val="1"/>
    <w:qFormat/>
    <w:uiPriority w:val="0"/>
    <w:pPr>
      <w:ind w:firstLine="200" w:firstLineChars="200"/>
    </w:pPr>
    <w:rPr>
      <w:rFonts w:ascii="宋体"/>
      <w:sz w:val="28"/>
      <w:szCs w:val="28"/>
    </w:rPr>
  </w:style>
  <w:style w:type="paragraph" w:styleId="8">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9">
    <w:name w:val="Balloon Text"/>
    <w:basedOn w:val="1"/>
    <w:link w:val="22"/>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3"/>
    <w:qFormat/>
    <w:uiPriority w:val="0"/>
    <w:pPr>
      <w:spacing w:before="100" w:beforeAutospacing="1" w:after="100" w:afterAutospacing="1"/>
      <w:jc w:val="left"/>
    </w:pPr>
    <w:rPr>
      <w:rFonts w:cs="Times New Roman"/>
      <w:kern w:val="0"/>
      <w:sz w:val="24"/>
    </w:rPr>
  </w:style>
  <w:style w:type="paragraph" w:customStyle="1" w:styleId="13">
    <w:name w:val="样式 标题 3 + (中文) 黑体 小四 非加粗 段前: 7.8 磅 段后: 0 磅 行距: 固定值 20 磅"/>
    <w:basedOn w:val="2"/>
    <w:qFormat/>
    <w:uiPriority w:val="0"/>
    <w:pPr>
      <w:spacing w:before="0" w:after="0" w:line="400" w:lineRule="exact"/>
    </w:pPr>
    <w:rPr>
      <w:rFonts w:eastAsia="黑体" w:cs="宋体"/>
      <w:b w:val="0"/>
      <w:bCs w:val="0"/>
      <w:sz w:val="24"/>
      <w:szCs w:val="20"/>
    </w:rPr>
  </w:style>
  <w:style w:type="paragraph" w:styleId="14">
    <w:name w:val="Body Text First Indent 2"/>
    <w:basedOn w:val="7"/>
    <w:qFormat/>
    <w:uiPriority w:val="0"/>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page number"/>
    <w:basedOn w:val="17"/>
    <w:qFormat/>
    <w:uiPriority w:val="0"/>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2">
    <w:name w:val="批注框文本 Char"/>
    <w:basedOn w:val="17"/>
    <w:link w:val="9"/>
    <w:qFormat/>
    <w:uiPriority w:val="0"/>
    <w:rPr>
      <w:rFonts w:ascii="Calibri" w:hAnsi="Calibri" w:eastAsia="宋体" w:cs="Arial"/>
      <w:kern w:val="2"/>
      <w:sz w:val="18"/>
      <w:szCs w:val="18"/>
    </w:rPr>
  </w:style>
  <w:style w:type="paragraph" w:customStyle="1" w:styleId="23">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character" w:customStyle="1" w:styleId="25">
    <w:name w:val="font101"/>
    <w:basedOn w:val="17"/>
    <w:qFormat/>
    <w:uiPriority w:val="0"/>
    <w:rPr>
      <w:rFonts w:hint="eastAsia" w:ascii="宋体" w:hAnsi="宋体" w:eastAsia="宋体" w:cs="宋体"/>
      <w:color w:val="000000"/>
      <w:sz w:val="20"/>
      <w:szCs w:val="20"/>
      <w:u w:val="none"/>
    </w:rPr>
  </w:style>
  <w:style w:type="character" w:customStyle="1" w:styleId="26">
    <w:name w:val="font11"/>
    <w:basedOn w:val="17"/>
    <w:qFormat/>
    <w:uiPriority w:val="0"/>
    <w:rPr>
      <w:rFonts w:hint="eastAsia" w:ascii="微软雅黑" w:hAnsi="微软雅黑" w:eastAsia="微软雅黑" w:cs="微软雅黑"/>
      <w:color w:val="000000"/>
      <w:sz w:val="20"/>
      <w:szCs w:val="20"/>
      <w:u w:val="none"/>
    </w:rPr>
  </w:style>
  <w:style w:type="paragraph" w:customStyle="1" w:styleId="27">
    <w:name w:val="样式3"/>
    <w:basedOn w:val="8"/>
    <w:qFormat/>
    <w:uiPriority w:val="0"/>
    <w:pPr>
      <w:spacing w:line="0" w:lineRule="atLeast"/>
      <w:outlineLvl w:val="0"/>
    </w:pPr>
    <w:rPr>
      <w:sz w:val="28"/>
    </w:rPr>
  </w:style>
  <w:style w:type="character" w:customStyle="1" w:styleId="28">
    <w:name w:val="font131"/>
    <w:basedOn w:val="17"/>
    <w:qFormat/>
    <w:uiPriority w:val="0"/>
    <w:rPr>
      <w:rFonts w:hint="eastAsia" w:ascii="宋体" w:hAnsi="宋体" w:eastAsia="宋体" w:cs="宋体"/>
      <w:color w:val="000000"/>
      <w:sz w:val="20"/>
      <w:szCs w:val="20"/>
      <w:u w:val="none"/>
    </w:rPr>
  </w:style>
  <w:style w:type="character" w:customStyle="1" w:styleId="29">
    <w:name w:val="font121"/>
    <w:basedOn w:val="17"/>
    <w:qFormat/>
    <w:uiPriority w:val="0"/>
    <w:rPr>
      <w:rFonts w:hint="eastAsia" w:ascii="宋体" w:hAnsi="宋体" w:eastAsia="宋体" w:cs="宋体"/>
      <w:color w:val="000000"/>
      <w:sz w:val="20"/>
      <w:szCs w:val="20"/>
      <w:u w:val="none"/>
    </w:rPr>
  </w:style>
  <w:style w:type="character" w:customStyle="1" w:styleId="30">
    <w:name w:val="font51"/>
    <w:basedOn w:val="17"/>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1777</Words>
  <Characters>1926</Characters>
  <Lines>4</Lines>
  <Paragraphs>7</Paragraphs>
  <TotalTime>4</TotalTime>
  <ScaleCrop>false</ScaleCrop>
  <LinksUpToDate>false</LinksUpToDate>
  <CharactersWithSpaces>1928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2026-06-24T02:54:00Z</cp:lastPrinted>
  <dcterms:modified xsi:type="dcterms:W3CDTF">2026-11-04T08:13:59Z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F5BD4CC3803246628E2D83D9946904C2_13</vt:lpwstr>
  </property>
  <property fmtid="{D5CDD505-2E9C-101B-9397-08002B2CF9AE}" pid="4" name="KSOTemplateDocerSaveRecord">
    <vt:lpwstr>eyJoZGlkIjoiMmY5M2NkNzgzMTNhYzNmYjU2NTc2OGQwMGFkNmU3N2MiLCJ1c2VySWQiOiIxNTc4Njk4MDQ3In0=</vt:lpwstr>
  </property>
</Properties>
</file>