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highlight w:val="none"/>
        </w:rPr>
      </w:pPr>
      <w:r>
        <w:rPr>
          <w:rFonts w:hint="eastAsia" w:ascii="宋体" w:hAnsi="宋体" w:cs="宋体"/>
          <w:b/>
          <w:bCs/>
          <w:color w:val="auto"/>
          <w:kern w:val="0"/>
          <w:sz w:val="44"/>
          <w:szCs w:val="44"/>
          <w:highlight w:val="none"/>
          <w:shd w:val="clear" w:color="auto" w:fill="FFFFFF"/>
          <w:lang w:val="en-US" w:eastAsia="zh-CN"/>
        </w:rPr>
        <w:t xml:space="preserve"> </w:t>
      </w:r>
      <w:r>
        <w:rPr>
          <w:rFonts w:hint="eastAsia" w:ascii="宋体" w:hAnsi="宋体" w:eastAsia="宋体" w:cs="宋体"/>
          <w:b/>
          <w:bCs/>
          <w:color w:val="auto"/>
          <w:kern w:val="0"/>
          <w:sz w:val="44"/>
          <w:szCs w:val="44"/>
          <w:highlight w:val="none"/>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kern w:val="0"/>
          <w:sz w:val="28"/>
          <w:szCs w:val="28"/>
          <w:highlight w:val="none"/>
          <w:shd w:val="clear" w:color="auto" w:fill="FFFFFF"/>
        </w:rPr>
        <w:t>（项目编号:</w:t>
      </w:r>
      <w:r>
        <w:rPr>
          <w:rFonts w:hint="eastAsia" w:ascii="宋体" w:hAnsi="宋体" w:cs="宋体"/>
          <w:b/>
          <w:bCs/>
          <w:color w:val="auto"/>
          <w:kern w:val="0"/>
          <w:sz w:val="28"/>
          <w:szCs w:val="28"/>
          <w:highlight w:val="none"/>
          <w:shd w:val="clear" w:color="auto" w:fill="FFFFFF"/>
          <w:lang w:eastAsia="zh-CN"/>
        </w:rPr>
        <w:t>LCCQJJ20261030-2</w:t>
      </w:r>
      <w:r>
        <w:rPr>
          <w:rFonts w:hint="eastAsia" w:ascii="宋体" w:hAnsi="宋体" w:eastAsia="宋体" w:cs="宋体"/>
          <w:b/>
          <w:bCs/>
          <w:color w:val="auto"/>
          <w:kern w:val="0"/>
          <w:sz w:val="28"/>
          <w:szCs w:val="28"/>
          <w:highlight w:val="none"/>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一、公开竞价、报名时间、地点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w:t>
      </w:r>
      <w:r>
        <w:rPr>
          <w:rFonts w:hint="eastAsia" w:ascii="宋体" w:hAnsi="宋体" w:cs="宋体"/>
          <w:color w:val="auto"/>
          <w:sz w:val="28"/>
          <w:szCs w:val="28"/>
          <w:highlight w:val="none"/>
          <w:lang w:val="en-US" w:eastAsia="zh-CN"/>
        </w:rPr>
        <w:t>截</w:t>
      </w:r>
      <w:r>
        <w:rPr>
          <w:rFonts w:hint="eastAsia" w:ascii="宋体" w:hAnsi="宋体" w:eastAsia="宋体" w:cs="宋体"/>
          <w:color w:val="auto"/>
          <w:sz w:val="28"/>
          <w:szCs w:val="28"/>
          <w:highlight w:val="none"/>
          <w:lang w:val="en-US" w:eastAsia="zh-CN"/>
        </w:rPr>
        <w:t>止时间：</w:t>
      </w:r>
      <w:r>
        <w:rPr>
          <w:rFonts w:hint="eastAsia" w:ascii="宋体" w:hAnsi="宋体" w:cs="宋体"/>
          <w:color w:val="auto"/>
          <w:sz w:val="28"/>
          <w:szCs w:val="28"/>
          <w:highlight w:val="none"/>
          <w:lang w:val="en-US" w:eastAsia="zh-CN"/>
        </w:rPr>
        <w:t>2026年10月30日10:00止</w:t>
      </w:r>
      <w:r>
        <w:rPr>
          <w:rFonts w:hint="eastAsia" w:ascii="宋体" w:hAnsi="宋体" w:eastAsia="宋体" w:cs="宋体"/>
          <w:color w:val="auto"/>
          <w:sz w:val="28"/>
          <w:szCs w:val="28"/>
          <w:highlight w:val="none"/>
          <w:lang w:val="en-US" w:eastAsia="zh-CN"/>
        </w:rPr>
        <w:t>。</w:t>
      </w:r>
    </w:p>
    <w:p w14:paraId="5A1DB88E">
      <w:pPr>
        <w:keepNext w:val="0"/>
        <w:keepLines/>
        <w:pageBreakBefore w:val="0"/>
        <w:widowControl w:val="0"/>
        <w:kinsoku/>
        <w:wordWrap w:val="0"/>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竞价地点：</w:t>
      </w:r>
      <w:r>
        <w:rPr>
          <w:rFonts w:hint="eastAsia" w:ascii="宋体" w:hAnsi="宋体" w:eastAsia="宋体" w:cs="宋体"/>
          <w:color w:val="auto"/>
          <w:sz w:val="28"/>
          <w:szCs w:val="28"/>
          <w:highlight w:val="none"/>
          <w:lang w:eastAsia="zh-CN"/>
        </w:rPr>
        <w:t>连城县招标投标交易平台</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https://lcyjy.enjoy5191.com/home</w:t>
      </w:r>
      <w:r>
        <w:rPr>
          <w:rFonts w:hint="eastAsia" w:ascii="宋体" w:hAnsi="宋体" w:eastAsia="宋体" w:cs="宋体"/>
          <w:color w:val="auto"/>
          <w:sz w:val="28"/>
          <w:szCs w:val="28"/>
          <w:highlight w:val="none"/>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w:t>
      </w:r>
      <w:r>
        <w:rPr>
          <w:rFonts w:hint="eastAsia" w:ascii="宋体" w:hAnsi="宋体" w:cs="宋体"/>
          <w:color w:val="auto"/>
          <w:sz w:val="28"/>
          <w:szCs w:val="28"/>
          <w:highlight w:val="none"/>
          <w:lang w:val="en-US" w:eastAsia="zh-CN"/>
        </w:rPr>
        <w:t>截止</w:t>
      </w:r>
      <w:r>
        <w:rPr>
          <w:rFonts w:hint="eastAsia" w:ascii="宋体" w:hAnsi="宋体" w:eastAsia="宋体" w:cs="宋体"/>
          <w:color w:val="auto"/>
          <w:sz w:val="28"/>
          <w:szCs w:val="28"/>
          <w:highlight w:val="none"/>
          <w:lang w:val="en-US" w:eastAsia="zh-CN"/>
        </w:rPr>
        <w:t>时间：</w:t>
      </w:r>
      <w:r>
        <w:rPr>
          <w:rFonts w:hint="eastAsia" w:ascii="宋体" w:hAnsi="宋体" w:cs="宋体"/>
          <w:color w:val="auto"/>
          <w:sz w:val="28"/>
          <w:szCs w:val="28"/>
          <w:highlight w:val="none"/>
          <w:lang w:val="en-US" w:eastAsia="zh-CN"/>
        </w:rPr>
        <w:t>2026年10月30日10:00</w:t>
      </w:r>
      <w:r>
        <w:rPr>
          <w:rFonts w:hint="eastAsia" w:ascii="宋体" w:hAnsi="宋体" w:eastAsia="宋体" w:cs="宋体"/>
          <w:color w:val="auto"/>
          <w:sz w:val="28"/>
          <w:szCs w:val="28"/>
          <w:highlight w:val="none"/>
          <w:lang w:val="en-US" w:eastAsia="zh-CN"/>
        </w:rPr>
        <w:t>止</w:t>
      </w:r>
      <w:r>
        <w:rPr>
          <w:rFonts w:hint="eastAsia" w:ascii="宋体" w:hAnsi="宋体" w:cs="宋体"/>
          <w:color w:val="auto"/>
          <w:sz w:val="28"/>
          <w:szCs w:val="28"/>
          <w:highlight w:val="none"/>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连城产权联系</w:t>
      </w:r>
      <w:r>
        <w:rPr>
          <w:rFonts w:hint="eastAsia" w:ascii="宋体" w:hAnsi="宋体" w:cs="宋体"/>
          <w:color w:val="auto"/>
          <w:sz w:val="28"/>
          <w:szCs w:val="28"/>
          <w:highlight w:val="none"/>
          <w:lang w:val="en-US" w:eastAsia="zh-CN"/>
        </w:rPr>
        <w:t>人及</w:t>
      </w: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二、项目概况及工作要求</w:t>
      </w:r>
    </w:p>
    <w:p w14:paraId="6644DDE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1.项目名称：</w:t>
      </w:r>
      <w:r>
        <w:rPr>
          <w:rFonts w:hint="eastAsia" w:ascii="宋体" w:hAnsi="宋体" w:cs="宋体"/>
          <w:color w:val="auto"/>
          <w:sz w:val="28"/>
          <w:szCs w:val="28"/>
          <w:lang w:val="en-US" w:eastAsia="zh-CN"/>
        </w:rPr>
        <w:t>连城县2026年增殖放流采购项目（鳙鱼）</w:t>
      </w:r>
    </w:p>
    <w:p w14:paraId="02DE43E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w:t>
      </w:r>
      <w:r>
        <w:rPr>
          <w:rFonts w:hint="eastAsia" w:ascii="宋体" w:hAnsi="宋体" w:cs="宋体"/>
          <w:color w:val="auto"/>
          <w:sz w:val="28"/>
          <w:szCs w:val="28"/>
          <w:lang w:val="en-US" w:eastAsia="zh-CN"/>
        </w:rPr>
        <w:t>增殖流放地点</w:t>
      </w:r>
      <w:r>
        <w:rPr>
          <w:rFonts w:hint="eastAsia" w:ascii="宋体" w:hAnsi="宋体" w:eastAsia="宋体" w:cs="宋体"/>
          <w:color w:val="auto"/>
          <w:sz w:val="28"/>
          <w:szCs w:val="28"/>
          <w:lang w:val="en-US" w:eastAsia="zh-CN"/>
        </w:rPr>
        <w:t>：县辖区各乡（镇）闽江、汀江及九龙江流域支流，主要为文川河、北团河、姑田河、莒溪河、朋口河、新泉河、庙前河、蒲竹溪、罗家溪等河段，包括前述各溪河所在支流及水库，具体地点等信息将提前公示。</w:t>
      </w:r>
    </w:p>
    <w:p w14:paraId="4E885AA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w:t>
      </w:r>
      <w:r>
        <w:rPr>
          <w:rFonts w:hint="eastAsia" w:ascii="宋体" w:hAnsi="宋体" w:cs="宋体"/>
          <w:color w:val="auto"/>
          <w:sz w:val="28"/>
          <w:szCs w:val="28"/>
          <w:lang w:val="en-US" w:eastAsia="zh-CN"/>
        </w:rPr>
        <w:t>增殖</w:t>
      </w:r>
      <w:r>
        <w:rPr>
          <w:rFonts w:hint="eastAsia" w:ascii="宋体" w:hAnsi="宋体" w:eastAsia="宋体" w:cs="宋体"/>
          <w:color w:val="auto"/>
          <w:sz w:val="28"/>
          <w:szCs w:val="28"/>
          <w:lang w:val="en-US" w:eastAsia="zh-CN"/>
        </w:rPr>
        <w:t>流放时间：2026年11月以前完成。</w:t>
      </w:r>
    </w:p>
    <w:p w14:paraId="1FEBA2A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4.最高限价及采购清单：</w:t>
      </w:r>
    </w:p>
    <w:p w14:paraId="5244A6F6">
      <w:pPr>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br w:type="page"/>
      </w:r>
    </w:p>
    <w:p w14:paraId="1F631D9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p>
    <w:tbl>
      <w:tblPr>
        <w:tblStyle w:val="17"/>
        <w:tblW w:w="53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1"/>
        <w:gridCol w:w="2098"/>
        <w:gridCol w:w="1446"/>
        <w:gridCol w:w="730"/>
        <w:gridCol w:w="1397"/>
        <w:gridCol w:w="1423"/>
        <w:gridCol w:w="1350"/>
        <w:gridCol w:w="748"/>
      </w:tblGrid>
      <w:tr w14:paraId="0192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88" w:hRule="atLeast"/>
          <w:tblHeader/>
          <w:jc w:val="center"/>
        </w:trPr>
        <w:tc>
          <w:tcPr>
            <w:tcW w:w="258" w:type="pct"/>
            <w:vAlign w:val="center"/>
          </w:tcPr>
          <w:p w14:paraId="44CA699F">
            <w:pPr>
              <w:snapToGrid w:val="0"/>
              <w:rPr>
                <w:rFonts w:hint="eastAsia" w:ascii="仿宋" w:hAnsi="仿宋" w:eastAsia="仿宋" w:cs="仿宋"/>
                <w:b/>
                <w:color w:val="auto"/>
                <w:sz w:val="28"/>
                <w:szCs w:val="28"/>
                <w:vertAlign w:val="baseline"/>
                <w:lang w:val="en-US" w:eastAsia="zh-CN"/>
              </w:rPr>
            </w:pPr>
            <w:r>
              <w:rPr>
                <w:rFonts w:hint="eastAsia" w:ascii="宋体" w:hAnsi="宋体" w:eastAsia="宋体" w:cs="宋体"/>
                <w:color w:val="auto"/>
                <w:sz w:val="28"/>
                <w:szCs w:val="28"/>
                <w:lang w:val="en-US" w:eastAsia="zh-CN"/>
              </w:rPr>
              <w:br w:type="page"/>
            </w:r>
            <w:r>
              <w:rPr>
                <w:rFonts w:hint="eastAsia" w:ascii="仿宋" w:hAnsi="仿宋" w:eastAsia="仿宋" w:cs="仿宋"/>
                <w:b/>
                <w:color w:val="auto"/>
                <w:sz w:val="28"/>
                <w:szCs w:val="28"/>
                <w:vertAlign w:val="baseline"/>
                <w:lang w:val="en-US" w:eastAsia="zh-CN"/>
              </w:rPr>
              <w:t>序号</w:t>
            </w:r>
          </w:p>
        </w:tc>
        <w:tc>
          <w:tcPr>
            <w:tcW w:w="1082" w:type="pct"/>
            <w:vAlign w:val="center"/>
          </w:tcPr>
          <w:p w14:paraId="155415D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bCs/>
                <w:color w:val="auto"/>
                <w:kern w:val="0"/>
                <w:sz w:val="28"/>
                <w:szCs w:val="28"/>
              </w:rPr>
              <w:t>品种</w:t>
            </w:r>
          </w:p>
        </w:tc>
        <w:tc>
          <w:tcPr>
            <w:tcW w:w="745" w:type="pct"/>
            <w:vAlign w:val="center"/>
          </w:tcPr>
          <w:p w14:paraId="3F3F2212">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苗种规格</w:t>
            </w:r>
          </w:p>
          <w:p w14:paraId="6A0FFCD8">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（厘米）</w:t>
            </w:r>
          </w:p>
        </w:tc>
        <w:tc>
          <w:tcPr>
            <w:tcW w:w="376" w:type="pct"/>
            <w:vAlign w:val="center"/>
          </w:tcPr>
          <w:p w14:paraId="094FA96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单位</w:t>
            </w:r>
          </w:p>
        </w:tc>
        <w:tc>
          <w:tcPr>
            <w:tcW w:w="720" w:type="pct"/>
            <w:vAlign w:val="center"/>
          </w:tcPr>
          <w:p w14:paraId="5EBDAF3F">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暂定数量</w:t>
            </w:r>
          </w:p>
          <w:p w14:paraId="5B3C9211">
            <w:pPr>
              <w:keepNext w:val="0"/>
              <w:keepLines w:val="0"/>
              <w:pageBreakBefore w:val="0"/>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（万尾）</w:t>
            </w:r>
          </w:p>
        </w:tc>
        <w:tc>
          <w:tcPr>
            <w:tcW w:w="734" w:type="pct"/>
            <w:vAlign w:val="center"/>
          </w:tcPr>
          <w:p w14:paraId="5FD6DC2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控制单价（元）</w:t>
            </w:r>
          </w:p>
        </w:tc>
        <w:tc>
          <w:tcPr>
            <w:tcW w:w="696" w:type="pct"/>
            <w:vAlign w:val="center"/>
          </w:tcPr>
          <w:p w14:paraId="4FF10F30">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总价</w:t>
            </w:r>
          </w:p>
          <w:p w14:paraId="51DE8C05">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（万元）</w:t>
            </w:r>
          </w:p>
        </w:tc>
        <w:tc>
          <w:tcPr>
            <w:tcW w:w="385" w:type="pct"/>
            <w:vAlign w:val="center"/>
          </w:tcPr>
          <w:p w14:paraId="09C3A85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color w:val="auto"/>
                <w:sz w:val="28"/>
                <w:szCs w:val="28"/>
                <w:vertAlign w:val="baseline"/>
                <w:lang w:val="en-US" w:eastAsia="zh-CN"/>
              </w:rPr>
            </w:pPr>
            <w:r>
              <w:rPr>
                <w:rFonts w:hint="eastAsia" w:ascii="仿宋" w:hAnsi="仿宋" w:eastAsia="仿宋" w:cs="仿宋"/>
                <w:b/>
                <w:color w:val="auto"/>
                <w:sz w:val="28"/>
                <w:szCs w:val="28"/>
                <w:vertAlign w:val="baseline"/>
                <w:lang w:val="en-US" w:eastAsia="zh-CN"/>
              </w:rPr>
              <w:t>备注</w:t>
            </w:r>
          </w:p>
        </w:tc>
      </w:tr>
      <w:tr w14:paraId="45771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jc w:val="center"/>
        </w:trPr>
        <w:tc>
          <w:tcPr>
            <w:tcW w:w="258" w:type="pct"/>
            <w:vAlign w:val="center"/>
          </w:tcPr>
          <w:p w14:paraId="4087C5D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1</w:t>
            </w:r>
          </w:p>
        </w:tc>
        <w:tc>
          <w:tcPr>
            <w:tcW w:w="1082" w:type="pct"/>
            <w:shd w:val="clear" w:color="auto" w:fill="auto"/>
            <w:vAlign w:val="center"/>
          </w:tcPr>
          <w:p w14:paraId="32FF5C91">
            <w:pPr>
              <w:widowControl/>
              <w:snapToGrid w:val="0"/>
              <w:ind w:left="0" w:leftChars="0" w:right="0" w:rightChars="0" w:firstLine="0" w:firstLineChars="0"/>
              <w:jc w:val="center"/>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鳙鱼</w:t>
            </w:r>
          </w:p>
          <w:p w14:paraId="6B62B067">
            <w:pPr>
              <w:pStyle w:val="2"/>
              <w:snapToGrid w:val="0"/>
              <w:rPr>
                <w:rFonts w:hint="eastAsia"/>
                <w:color w:val="auto"/>
                <w:lang w:val="en-US" w:eastAsia="zh-CN"/>
              </w:rPr>
            </w:pPr>
            <w:r>
              <w:rPr>
                <w:rFonts w:hint="eastAsia" w:ascii="仿宋" w:hAnsi="仿宋" w:eastAsia="仿宋" w:cs="仿宋"/>
                <w:color w:val="auto"/>
                <w:kern w:val="0"/>
                <w:sz w:val="28"/>
                <w:szCs w:val="28"/>
                <w:lang w:val="en-US" w:eastAsia="zh-CN"/>
              </w:rPr>
              <w:t>（淡水广布种）</w:t>
            </w:r>
          </w:p>
        </w:tc>
        <w:tc>
          <w:tcPr>
            <w:tcW w:w="745" w:type="pct"/>
            <w:shd w:val="clear" w:color="auto" w:fill="auto"/>
            <w:vAlign w:val="center"/>
          </w:tcPr>
          <w:p w14:paraId="2B1D5E5B">
            <w:pPr>
              <w:widowControl/>
              <w:snapToGrid w:val="0"/>
              <w:ind w:left="0" w:leftChars="0" w:right="0" w:rightChars="0" w:firstLine="0" w:firstLineChars="0"/>
              <w:jc w:val="center"/>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≥12cm</w:t>
            </w:r>
          </w:p>
        </w:tc>
        <w:tc>
          <w:tcPr>
            <w:tcW w:w="376" w:type="pct"/>
            <w:shd w:val="clear" w:color="auto" w:fill="auto"/>
            <w:vAlign w:val="center"/>
          </w:tcPr>
          <w:p w14:paraId="59BD5778">
            <w:pPr>
              <w:widowControl/>
              <w:snapToGrid w:val="0"/>
              <w:ind w:left="0" w:leftChars="0" w:right="0" w:rightChars="0" w:firstLine="0" w:firstLineChars="0"/>
              <w:jc w:val="center"/>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尾</w:t>
            </w:r>
          </w:p>
        </w:tc>
        <w:tc>
          <w:tcPr>
            <w:tcW w:w="720" w:type="pct"/>
            <w:shd w:val="clear" w:color="auto" w:fill="auto"/>
            <w:vAlign w:val="center"/>
          </w:tcPr>
          <w:p w14:paraId="46892ED0">
            <w:pPr>
              <w:widowControl/>
              <w:snapToGrid w:val="0"/>
              <w:ind w:left="0" w:leftChars="0" w:right="0" w:rightChars="0" w:firstLine="0" w:firstLineChars="0"/>
              <w:jc w:val="center"/>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14</w:t>
            </w:r>
          </w:p>
        </w:tc>
        <w:tc>
          <w:tcPr>
            <w:tcW w:w="734" w:type="pct"/>
            <w:shd w:val="clear" w:color="auto" w:fill="auto"/>
            <w:vAlign w:val="center"/>
          </w:tcPr>
          <w:p w14:paraId="1D3C6174">
            <w:pPr>
              <w:widowControl/>
              <w:snapToGrid w:val="0"/>
              <w:ind w:left="0" w:leftChars="0" w:right="0" w:rightChars="0" w:firstLine="0" w:firstLineChars="0"/>
              <w:jc w:val="center"/>
              <w:rPr>
                <w:rFonts w:hint="eastAsia" w:ascii="仿宋" w:hAnsi="仿宋" w:eastAsia="仿宋" w:cs="仿宋"/>
                <w:color w:val="auto"/>
                <w:kern w:val="0"/>
                <w:sz w:val="28"/>
                <w:szCs w:val="28"/>
                <w:lang w:val="en-US" w:eastAsia="zh-CN" w:bidi="ar-SA"/>
              </w:rPr>
            </w:pPr>
            <w:r>
              <w:rPr>
                <w:rFonts w:hint="eastAsia" w:ascii="仿宋" w:hAnsi="仿宋" w:eastAsia="仿宋" w:cs="仿宋"/>
                <w:color w:val="auto"/>
                <w:kern w:val="0"/>
                <w:sz w:val="28"/>
                <w:szCs w:val="28"/>
                <w:lang w:val="en-US" w:eastAsia="zh-CN"/>
              </w:rPr>
              <w:t>0.40</w:t>
            </w:r>
          </w:p>
        </w:tc>
        <w:tc>
          <w:tcPr>
            <w:tcW w:w="696" w:type="pct"/>
            <w:vAlign w:val="center"/>
          </w:tcPr>
          <w:p w14:paraId="75FF642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color w:val="auto"/>
                <w:sz w:val="28"/>
                <w:szCs w:val="28"/>
                <w:vertAlign w:val="baseline"/>
                <w:lang w:val="en-US" w:eastAsia="zh-CN"/>
              </w:rPr>
            </w:pPr>
            <w:r>
              <w:rPr>
                <w:rFonts w:hint="eastAsia" w:ascii="仿宋" w:hAnsi="仿宋" w:eastAsia="仿宋" w:cs="仿宋"/>
                <w:color w:val="auto"/>
                <w:sz w:val="28"/>
                <w:szCs w:val="28"/>
                <w:vertAlign w:val="baseline"/>
                <w:lang w:val="en-US" w:eastAsia="zh-CN"/>
              </w:rPr>
              <w:t>5.6</w:t>
            </w:r>
          </w:p>
        </w:tc>
        <w:tc>
          <w:tcPr>
            <w:tcW w:w="385" w:type="pct"/>
            <w:vAlign w:val="center"/>
          </w:tcPr>
          <w:p w14:paraId="52A76C85">
            <w:pPr>
              <w:widowControl/>
              <w:snapToGrid w:val="0"/>
              <w:ind w:left="0" w:leftChars="0" w:right="0" w:rightChars="0" w:firstLine="0" w:firstLineChars="0"/>
              <w:jc w:val="center"/>
              <w:rPr>
                <w:rFonts w:hint="eastAsia" w:ascii="仿宋" w:hAnsi="仿宋" w:eastAsia="仿宋" w:cs="仿宋"/>
                <w:color w:val="auto"/>
                <w:kern w:val="0"/>
                <w:sz w:val="28"/>
                <w:szCs w:val="28"/>
                <w:lang w:val="en-US" w:eastAsia="zh-CN"/>
              </w:rPr>
            </w:pPr>
          </w:p>
        </w:tc>
      </w:tr>
      <w:tr w14:paraId="717F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7" w:hRule="atLeast"/>
          <w:jc w:val="center"/>
        </w:trPr>
        <w:tc>
          <w:tcPr>
            <w:tcW w:w="5000" w:type="pct"/>
            <w:gridSpan w:val="8"/>
            <w:vAlign w:val="center"/>
          </w:tcPr>
          <w:p w14:paraId="6CCDD321">
            <w:pPr>
              <w:widowControl/>
              <w:snapToGrid w:val="0"/>
              <w:ind w:left="0" w:leftChars="0" w:right="0" w:rightChars="0" w:firstLine="0" w:firstLineChars="0"/>
              <w:jc w:val="left"/>
              <w:rPr>
                <w:rFonts w:hint="eastAsia" w:ascii="仿宋" w:hAnsi="仿宋" w:eastAsia="仿宋" w:cs="仿宋"/>
                <w:color w:val="auto"/>
                <w:kern w:val="0"/>
                <w:sz w:val="28"/>
                <w:szCs w:val="28"/>
                <w:lang w:val="en-US" w:eastAsia="zh-CN"/>
              </w:rPr>
            </w:pPr>
            <w:r>
              <w:rPr>
                <w:rFonts w:hint="eastAsia" w:ascii="仿宋" w:hAnsi="仿宋" w:eastAsia="仿宋" w:cs="仿宋"/>
                <w:color w:val="auto"/>
                <w:kern w:val="0"/>
                <w:sz w:val="28"/>
                <w:szCs w:val="28"/>
                <w:lang w:val="en-US" w:eastAsia="zh-CN"/>
              </w:rPr>
              <w:t>备注：</w:t>
            </w:r>
          </w:p>
          <w:p w14:paraId="3E04150E">
            <w:pPr>
              <w:widowControl/>
              <w:snapToGrid w:val="0"/>
              <w:ind w:left="0" w:leftChars="0" w:right="0" w:rightChars="0" w:firstLine="0" w:firstLineChars="0"/>
              <w:jc w:val="left"/>
              <w:rPr>
                <w:rFonts w:hint="default" w:ascii="仿宋" w:hAnsi="仿宋" w:eastAsia="仿宋" w:cs="仿宋"/>
                <w:b/>
                <w:bCs/>
                <w:color w:val="auto"/>
                <w:kern w:val="0"/>
                <w:sz w:val="28"/>
                <w:szCs w:val="28"/>
                <w:lang w:val="en-US" w:eastAsia="zh-CN"/>
              </w:rPr>
            </w:pPr>
            <w:r>
              <w:rPr>
                <w:rFonts w:hint="eastAsia" w:ascii="仿宋" w:hAnsi="仿宋" w:eastAsia="仿宋" w:cs="仿宋"/>
                <w:b/>
                <w:bCs/>
                <w:color w:val="auto"/>
                <w:kern w:val="0"/>
                <w:sz w:val="28"/>
                <w:szCs w:val="28"/>
                <w:lang w:val="en-US" w:eastAsia="zh-CN"/>
              </w:rPr>
              <w:t>1.本项目采购总价固定不变，结算时按成交单价核算实际供货数量，即供货数量=总价/成交单价。</w:t>
            </w:r>
          </w:p>
          <w:p w14:paraId="0C5666EF">
            <w:pPr>
              <w:widowControl/>
              <w:snapToGrid w:val="0"/>
              <w:ind w:right="0" w:rightChars="0"/>
              <w:jc w:val="left"/>
              <w:rPr>
                <w:rFonts w:hint="default" w:ascii="仿宋" w:hAnsi="仿宋" w:eastAsia="仿宋" w:cs="仿宋"/>
                <w:color w:val="auto"/>
                <w:sz w:val="28"/>
                <w:szCs w:val="28"/>
                <w:vertAlign w:val="baseline"/>
                <w:lang w:val="en-US" w:eastAsia="zh-CN"/>
              </w:rPr>
            </w:pPr>
            <w:r>
              <w:rPr>
                <w:rFonts w:hint="eastAsia" w:ascii="仿宋" w:hAnsi="仿宋" w:eastAsia="仿宋" w:cs="仿宋"/>
                <w:color w:val="auto"/>
                <w:kern w:val="0"/>
                <w:sz w:val="28"/>
                <w:szCs w:val="28"/>
                <w:lang w:val="en-US" w:eastAsia="zh-CN"/>
              </w:rPr>
              <w:t>2.报价包括但不限于以下费用：鱼苗价格、运输费、装卸费、投放费、保险费、验收费、人工工资及各种福利补贴费、税费等与本项目有关的一切费用。</w:t>
            </w:r>
          </w:p>
        </w:tc>
      </w:tr>
    </w:tbl>
    <w:p w14:paraId="3991965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.竞价保证金：</w:t>
      </w:r>
      <w:r>
        <w:rPr>
          <w:rFonts w:hint="eastAsia" w:ascii="宋体" w:hAnsi="宋体" w:cs="宋体"/>
          <w:color w:val="auto"/>
          <w:sz w:val="28"/>
          <w:szCs w:val="28"/>
          <w:lang w:val="en-US" w:eastAsia="zh-CN"/>
        </w:rPr>
        <w:t>1000</w:t>
      </w:r>
      <w:r>
        <w:rPr>
          <w:rFonts w:hint="eastAsia" w:ascii="宋体" w:hAnsi="宋体" w:eastAsia="宋体" w:cs="宋体"/>
          <w:color w:val="auto"/>
          <w:sz w:val="28"/>
          <w:szCs w:val="28"/>
          <w:lang w:val="en-US" w:eastAsia="zh-CN"/>
        </w:rPr>
        <w:t>元。</w:t>
      </w:r>
    </w:p>
    <w:p w14:paraId="50F87DC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6</w:t>
      </w:r>
      <w:r>
        <w:rPr>
          <w:rFonts w:hint="eastAsia" w:ascii="宋体" w:hAnsi="宋体" w:eastAsia="宋体" w:cs="宋体"/>
          <w:color w:val="auto"/>
          <w:sz w:val="28"/>
          <w:szCs w:val="28"/>
          <w:lang w:val="en-US" w:eastAsia="zh-CN"/>
        </w:rPr>
        <w:t>.采购要求（具体详见合同）：</w:t>
      </w:r>
    </w:p>
    <w:p w14:paraId="6FF10FA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1）上列水产苗种产地检疫、药残检测应</w:t>
      </w:r>
      <w:r>
        <w:rPr>
          <w:rFonts w:hint="eastAsia" w:ascii="宋体" w:hAnsi="宋体" w:cs="宋体"/>
          <w:color w:val="auto"/>
          <w:sz w:val="28"/>
          <w:szCs w:val="28"/>
          <w:lang w:val="en-US" w:eastAsia="zh-CN"/>
        </w:rPr>
        <w:t>符合</w:t>
      </w:r>
      <w:r>
        <w:rPr>
          <w:rFonts w:hint="eastAsia" w:ascii="宋体" w:hAnsi="宋体" w:eastAsia="宋体" w:cs="宋体"/>
          <w:color w:val="auto"/>
          <w:sz w:val="28"/>
          <w:szCs w:val="28"/>
          <w:lang w:val="en-US" w:eastAsia="zh-CN"/>
        </w:rPr>
        <w:t>《关于做好福建省水生生物增殖放流工作的指导意见》(闽海渔〔2020〕5号)和《关于加强水生生物增殖放流监管工作的通知》等文件的相关要求。苗种质量、规格、包装方式等技术指标应符合水产行业标准《水生生物增殖放流技术规程》(SC/T 9401-2010)和福建省地方标准《水生生物增殖放流技术规范》(DB35/T 1661-2017)</w:t>
      </w:r>
      <w:r>
        <w:rPr>
          <w:rFonts w:hint="eastAsia" w:ascii="宋体" w:hAnsi="宋体" w:cs="宋体"/>
          <w:color w:val="auto"/>
          <w:sz w:val="28"/>
          <w:szCs w:val="28"/>
          <w:lang w:val="en-US" w:eastAsia="zh-CN"/>
        </w:rPr>
        <w:t>的</w:t>
      </w:r>
      <w:r>
        <w:rPr>
          <w:rFonts w:hint="eastAsia" w:ascii="宋体" w:hAnsi="宋体" w:eastAsia="宋体" w:cs="宋体"/>
          <w:color w:val="auto"/>
          <w:sz w:val="28"/>
          <w:szCs w:val="28"/>
          <w:lang w:val="en-US" w:eastAsia="zh-CN"/>
        </w:rPr>
        <w:t>要求。</w:t>
      </w:r>
    </w:p>
    <w:p w14:paraId="29666F0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2）上列苗种来自持有《水产苗种生产许可证》</w:t>
      </w:r>
      <w:r>
        <w:rPr>
          <w:rFonts w:hint="eastAsia" w:ascii="宋体" w:hAnsi="宋体" w:cs="宋体"/>
          <w:color w:val="auto"/>
          <w:sz w:val="28"/>
          <w:szCs w:val="28"/>
          <w:lang w:val="en-US" w:eastAsia="zh-CN"/>
        </w:rPr>
        <w:t>和当地渔业主管部门出具的《鱼种（苗）场生产能力证明》</w:t>
      </w:r>
      <w:r>
        <w:rPr>
          <w:rFonts w:hint="eastAsia" w:ascii="宋体" w:hAnsi="宋体" w:eastAsia="宋体" w:cs="宋体"/>
          <w:color w:val="auto"/>
          <w:sz w:val="28"/>
          <w:szCs w:val="28"/>
          <w:lang w:val="en-US" w:eastAsia="zh-CN"/>
        </w:rPr>
        <w:t>的苗种生产单位，规格整齐并不得小于约定规格，所提供苗种是自繁自育苗种或使用仔稚幼体培育而来。</w:t>
      </w:r>
    </w:p>
    <w:p w14:paraId="4C70623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w:t>
      </w:r>
      <w:r>
        <w:rPr>
          <w:rFonts w:hint="default" w:ascii="宋体" w:hAnsi="宋体" w:eastAsia="宋体" w:cs="宋体"/>
          <w:color w:val="auto"/>
          <w:sz w:val="28"/>
          <w:szCs w:val="28"/>
          <w:lang w:val="en-US" w:eastAsia="zh-CN"/>
        </w:rPr>
        <w:t>苗种须由渔业官方兽医依法检疫合格，并出具水产苗种产地检疫合格证明。增殖放流苗种必须出具质量安全检验报告。</w:t>
      </w:r>
    </w:p>
    <w:p w14:paraId="6C8C2EC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4）苗种投放当日，委托人组织有关专家按照省市相关及合同要求对投放苗种进行验收。</w:t>
      </w:r>
    </w:p>
    <w:p w14:paraId="01C134C7">
      <w:pPr>
        <w:keepNext w:val="0"/>
        <w:keepLines w:val="0"/>
        <w:pageBreakBefore w:val="0"/>
        <w:widowControl/>
        <w:kinsoku/>
        <w:wordWrap/>
        <w:topLinePunct w:val="0"/>
        <w:bidi w:val="0"/>
        <w:spacing w:line="360" w:lineRule="auto"/>
        <w:ind w:left="0" w:firstLine="480"/>
        <w:jc w:val="left"/>
        <w:rPr>
          <w:rFonts w:hint="eastAsia" w:ascii="宋体" w:hAnsi="宋体" w:eastAsia="宋体" w:cs="宋体"/>
          <w:b w:val="0"/>
          <w:bCs w:val="0"/>
          <w:color w:val="auto"/>
          <w:kern w:val="2"/>
          <w:sz w:val="28"/>
          <w:szCs w:val="28"/>
          <w:highlight w:val="none"/>
          <w:lang w:val="en-US" w:eastAsia="zh-CN" w:bidi="ar-SA"/>
        </w:rPr>
      </w:pPr>
      <w:r>
        <w:rPr>
          <w:rFonts w:hint="eastAsia" w:ascii="宋体" w:hAnsi="宋体" w:cs="宋体"/>
          <w:b w:val="0"/>
          <w:bCs w:val="0"/>
          <w:color w:val="auto"/>
          <w:kern w:val="2"/>
          <w:sz w:val="28"/>
          <w:szCs w:val="28"/>
          <w:highlight w:val="none"/>
          <w:lang w:val="en-US" w:eastAsia="zh-CN" w:bidi="ar-SA"/>
        </w:rPr>
        <w:t>7</w:t>
      </w:r>
      <w:r>
        <w:rPr>
          <w:rFonts w:hint="eastAsia" w:ascii="宋体" w:hAnsi="宋体" w:eastAsia="宋体" w:cs="宋体"/>
          <w:b w:val="0"/>
          <w:bCs w:val="0"/>
          <w:color w:val="auto"/>
          <w:kern w:val="2"/>
          <w:sz w:val="28"/>
          <w:szCs w:val="28"/>
          <w:highlight w:val="none"/>
          <w:lang w:val="en-US" w:eastAsia="zh-CN" w:bidi="ar-SA"/>
        </w:rPr>
        <w:t>.合同：成交人应在成交公告发布之日起5个工作日内与采购人自行签定合同，合同不违背本公告采购实质性要求。</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highlight w:val="none"/>
          <w:lang w:val="en-US" w:eastAsia="zh-CN"/>
        </w:rPr>
      </w:pPr>
      <w:r>
        <w:rPr>
          <w:rFonts w:hint="eastAsia" w:ascii="宋体" w:hAnsi="宋体" w:eastAsia="宋体" w:cs="宋体"/>
          <w:b/>
          <w:bCs/>
          <w:color w:val="auto"/>
          <w:kern w:val="2"/>
          <w:sz w:val="28"/>
          <w:szCs w:val="28"/>
          <w:highlight w:val="none"/>
          <w:lang w:val="en-US" w:eastAsia="zh-CN" w:bidi="ar-SA"/>
        </w:rPr>
        <w:t>特别提示</w:t>
      </w:r>
      <w:r>
        <w:rPr>
          <w:rFonts w:hint="eastAsia" w:ascii="宋体" w:hAnsi="宋体" w:eastAsia="宋体" w:cs="宋体"/>
          <w:b w:val="0"/>
          <w:bCs w:val="0"/>
          <w:color w:val="auto"/>
          <w:kern w:val="2"/>
          <w:sz w:val="28"/>
          <w:szCs w:val="28"/>
          <w:highlight w:val="none"/>
          <w:lang w:val="en-US" w:eastAsia="zh-CN" w:bidi="ar-SA"/>
        </w:rPr>
        <w:t>：本项目不集中组织现场踏勘，竞价人可根据本公告所提供的内容要求自行踏勘现场(相关责任由竞价人自行承担)，竞价人对本次</w:t>
      </w:r>
      <w:r>
        <w:rPr>
          <w:rFonts w:hint="eastAsia" w:ascii="宋体" w:hAnsi="宋体" w:cs="宋体"/>
          <w:b w:val="0"/>
          <w:bCs w:val="0"/>
          <w:color w:val="auto"/>
          <w:kern w:val="2"/>
          <w:sz w:val="28"/>
          <w:szCs w:val="28"/>
          <w:highlight w:val="none"/>
          <w:lang w:val="en-US" w:eastAsia="zh-CN" w:bidi="ar-SA"/>
        </w:rPr>
        <w:t>竞价</w:t>
      </w:r>
      <w:r>
        <w:rPr>
          <w:rFonts w:hint="eastAsia" w:ascii="宋体" w:hAnsi="宋体" w:eastAsia="宋体" w:cs="宋体"/>
          <w:b w:val="0"/>
          <w:bCs w:val="0"/>
          <w:color w:val="auto"/>
          <w:kern w:val="2"/>
          <w:sz w:val="28"/>
          <w:szCs w:val="28"/>
          <w:highlight w:val="none"/>
          <w:lang w:val="en-US" w:eastAsia="zh-CN" w:bidi="ar-SA"/>
        </w:rPr>
        <w:t>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三、竞价资格</w:t>
      </w:r>
    </w:p>
    <w:p w14:paraId="6976FA2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1.竞价者必须遵守中华人民共和国法律、法规，具有独立法人资格的国内企业（失信被执行人除外）。</w:t>
      </w:r>
    </w:p>
    <w:p w14:paraId="68AE1CA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2.竞价者必须具有履行合同所必需的能力，即竞价人需持有有效的《水产苗种生产许可证》（</w:t>
      </w:r>
      <w:r>
        <w:rPr>
          <w:rFonts w:hint="eastAsia" w:ascii="宋体" w:hAnsi="宋体" w:cs="宋体"/>
          <w:b/>
          <w:bCs/>
          <w:color w:val="auto"/>
          <w:sz w:val="28"/>
          <w:szCs w:val="28"/>
          <w:highlight w:val="none"/>
          <w:lang w:val="en-US" w:eastAsia="zh-CN"/>
        </w:rPr>
        <w:t>生产许可证的生产品种须包含本项目的竞价鱼苗品种</w:t>
      </w:r>
      <w:r>
        <w:rPr>
          <w:rFonts w:hint="eastAsia" w:ascii="宋体" w:hAnsi="宋体" w:cs="宋体"/>
          <w:color w:val="auto"/>
          <w:sz w:val="28"/>
          <w:szCs w:val="28"/>
          <w:highlight w:val="none"/>
          <w:lang w:val="en-US" w:eastAsia="zh-CN"/>
        </w:rPr>
        <w:t>）。</w:t>
      </w:r>
    </w:p>
    <w:p w14:paraId="4A13C86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3.竞价人应具备当地渔业主管部门出具的《鱼种（苗）场生产能力证明》。</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rPr>
        <w:t>.竞价资格（及限制性条件）认定由竞价人自行审查</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highlight w:val="none"/>
          <w:lang w:val="en-US" w:eastAsia="zh-CN"/>
        </w:rPr>
        <w:t>供应商</w:t>
      </w:r>
      <w:r>
        <w:rPr>
          <w:rFonts w:hint="eastAsia" w:ascii="宋体" w:hAnsi="宋体" w:eastAsia="宋体" w:cs="宋体"/>
          <w:color w:val="auto"/>
          <w:sz w:val="28"/>
          <w:szCs w:val="28"/>
          <w:highlight w:val="none"/>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四、竞价保证金</w:t>
      </w:r>
    </w:p>
    <w:p w14:paraId="16775A0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1.竞价保证金</w:t>
      </w:r>
      <w:r>
        <w:rPr>
          <w:rFonts w:hint="eastAsia" w:ascii="宋体" w:hAnsi="宋体" w:cs="宋体"/>
          <w:color w:val="auto"/>
          <w:sz w:val="28"/>
          <w:szCs w:val="28"/>
          <w:highlight w:val="none"/>
          <w:lang w:val="en-US" w:eastAsia="zh-CN"/>
        </w:rPr>
        <w:t>1000</w:t>
      </w:r>
      <w:r>
        <w:rPr>
          <w:rFonts w:hint="eastAsia" w:ascii="宋体" w:hAnsi="宋体" w:eastAsia="宋体" w:cs="宋体"/>
          <w:color w:val="auto"/>
          <w:sz w:val="28"/>
          <w:szCs w:val="28"/>
          <w:highlight w:val="none"/>
          <w:lang w:val="en-US" w:eastAsia="zh-CN"/>
        </w:rPr>
        <w:t>元，必须于</w:t>
      </w:r>
      <w:r>
        <w:rPr>
          <w:rFonts w:hint="eastAsia" w:ascii="宋体" w:hAnsi="宋体" w:cs="宋体"/>
          <w:color w:val="auto"/>
          <w:sz w:val="28"/>
          <w:szCs w:val="28"/>
          <w:highlight w:val="none"/>
          <w:lang w:val="en-US" w:eastAsia="zh-CN"/>
        </w:rPr>
        <w:t>2026年10月30日上午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p>
    <w:p w14:paraId="4D18949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w:t>
      </w:r>
      <w:r>
        <w:rPr>
          <w:rFonts w:hint="eastAsia" w:ascii="宋体" w:hAnsi="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个工作日内与本公司签订《竞价结果通知书》，在签订《竞价结果通知书》</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lang w:val="en-US" w:eastAsia="zh-CN"/>
        </w:rPr>
        <w:t>个工作日内向委托人提供《</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由委托人经过相应审批程序后签订。</w:t>
      </w:r>
    </w:p>
    <w:p w14:paraId="7456ADD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183242D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1.有意参加竞价人应提供如下有效证照复印件：</w:t>
      </w:r>
    </w:p>
    <w:p w14:paraId="2EDCB04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（1）营业执照副本、法定代表人证复印件；</w:t>
      </w:r>
    </w:p>
    <w:p w14:paraId="31AF8C9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（2）《水产苗种生产许可证》（生产许可证的生产品种须包含本项目的竞价鱼苗品种）资质复印件；</w:t>
      </w:r>
    </w:p>
    <w:p w14:paraId="06B25FF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（3）</w:t>
      </w:r>
      <w:r>
        <w:rPr>
          <w:rFonts w:hint="eastAsia" w:ascii="宋体" w:hAnsi="宋体" w:cs="宋体"/>
          <w:color w:val="auto"/>
          <w:sz w:val="28"/>
          <w:szCs w:val="28"/>
          <w:lang w:val="en-US" w:eastAsia="zh-CN"/>
        </w:rPr>
        <w:t>当地渔业主管部门出具的《鱼种（苗）场生产能力证明》原件。（格式详见附件一）；</w:t>
      </w:r>
    </w:p>
    <w:p w14:paraId="0A60B11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w:t>
      </w:r>
      <w:r>
        <w:rPr>
          <w:rFonts w:hint="eastAsia" w:ascii="宋体" w:hAnsi="宋体" w:cs="宋体"/>
          <w:color w:val="auto"/>
          <w:sz w:val="28"/>
          <w:szCs w:val="28"/>
          <w:highlight w:val="none"/>
          <w:lang w:val="en-US" w:eastAsia="zh-CN"/>
        </w:rPr>
        <w:t>4</w:t>
      </w:r>
      <w:r>
        <w:rPr>
          <w:rFonts w:hint="eastAsia" w:ascii="宋体" w:hAnsi="宋体" w:eastAsia="宋体" w:cs="宋体"/>
          <w:color w:val="auto"/>
          <w:sz w:val="28"/>
          <w:szCs w:val="28"/>
          <w:highlight w:val="none"/>
          <w:lang w:val="en-US" w:eastAsia="zh-CN"/>
        </w:rPr>
        <w:t>）签订完整的承诺书</w:t>
      </w:r>
      <w:r>
        <w:rPr>
          <w:rFonts w:hint="eastAsia" w:ascii="宋体" w:hAnsi="宋体" w:cs="宋体"/>
          <w:color w:val="auto"/>
          <w:sz w:val="28"/>
          <w:szCs w:val="28"/>
          <w:highlight w:val="none"/>
          <w:lang w:val="en-US" w:eastAsia="zh-CN"/>
        </w:rPr>
        <w:t>；</w:t>
      </w:r>
    </w:p>
    <w:p w14:paraId="5DAB1826">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（5）已缴纳的竞价保证金凭证。</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p>
    <w:p w14:paraId="7E91FA2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highlight w:val="none"/>
          <w:lang w:val="en-US" w:eastAsia="zh-CN"/>
        </w:rPr>
        <w:t>并</w:t>
      </w:r>
      <w:r>
        <w:rPr>
          <w:rFonts w:hint="eastAsia" w:ascii="宋体" w:hAnsi="宋体" w:eastAsia="宋体" w:cs="宋体"/>
          <w:color w:val="auto"/>
          <w:sz w:val="28"/>
          <w:szCs w:val="28"/>
          <w:highlight w:val="none"/>
          <w:lang w:val="en-US" w:eastAsia="zh-CN"/>
        </w:rPr>
        <w:t>需支付平台使用费100元，并将报名资料上传至交易平台</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rPr>
        <w:t>https://lcyjy.enjoy5191.com/home</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。若因系统原因无法上传报名材料，可通过现场递交或邮件（邮箱地址</w:t>
      </w:r>
      <w:r>
        <w:rPr>
          <w:rFonts w:hint="eastAsia" w:ascii="宋体" w:hAnsi="宋体" w:cs="宋体"/>
          <w:color w:val="auto"/>
          <w:sz w:val="28"/>
          <w:szCs w:val="28"/>
          <w:highlight w:val="none"/>
          <w:lang w:val="en-US" w:eastAsia="zh-CN"/>
        </w:rPr>
        <w:t>:</w:t>
      </w:r>
      <w:r>
        <w:rPr>
          <w:rFonts w:hint="eastAsia" w:ascii="宋体" w:hAnsi="宋体" w:eastAsia="宋体" w:cs="宋体"/>
          <w:color w:val="auto"/>
          <w:sz w:val="28"/>
          <w:szCs w:val="28"/>
          <w:highlight w:val="none"/>
          <w:lang w:val="en-US" w:eastAsia="zh-CN"/>
        </w:rPr>
        <w:t>lccqjyw20251@16</w:t>
      </w:r>
      <w:r>
        <w:rPr>
          <w:rFonts w:hint="eastAsia" w:ascii="宋体" w:hAnsi="宋体" w:cs="宋体"/>
          <w:color w:val="auto"/>
          <w:sz w:val="28"/>
          <w:szCs w:val="28"/>
          <w:highlight w:val="none"/>
          <w:lang w:val="en-US" w:eastAsia="zh-CN"/>
        </w:rPr>
        <w:t>3.com</w:t>
      </w:r>
      <w:r>
        <w:rPr>
          <w:rFonts w:hint="eastAsia" w:ascii="宋体" w:hAnsi="宋体" w:eastAsia="宋体" w:cs="宋体"/>
          <w:color w:val="auto"/>
          <w:sz w:val="28"/>
          <w:szCs w:val="28"/>
          <w:highlight w:val="none"/>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3.竞价人应自行登连城县招标</w:t>
      </w:r>
      <w:r>
        <w:rPr>
          <w:rFonts w:hint="eastAsia" w:ascii="宋体" w:hAnsi="宋体" w:eastAsia="宋体" w:cs="宋体"/>
          <w:color w:val="auto"/>
          <w:sz w:val="28"/>
          <w:szCs w:val="28"/>
          <w:highlight w:val="none"/>
        </w:rPr>
        <w:t>投标交易平台</w:t>
      </w:r>
      <w:r>
        <w:rPr>
          <w:rFonts w:hint="eastAsia" w:ascii="宋体" w:hAnsi="宋体" w:eastAsia="宋体" w:cs="宋体"/>
          <w:color w:val="auto"/>
          <w:sz w:val="28"/>
          <w:szCs w:val="28"/>
          <w:highlight w:val="none"/>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r>
        <w:rPr>
          <w:rFonts w:hint="eastAsia" w:ascii="宋体" w:hAnsi="宋体" w:eastAsia="宋体" w:cs="宋体"/>
          <w:color w:val="auto"/>
          <w:sz w:val="28"/>
          <w:szCs w:val="28"/>
          <w:highlight w:val="none"/>
        </w:rPr>
        <w:t>本场竞价</w:t>
      </w:r>
      <w:r>
        <w:rPr>
          <w:rFonts w:hint="eastAsia" w:ascii="宋体" w:hAnsi="宋体" w:eastAsia="宋体" w:cs="宋体"/>
          <w:color w:val="auto"/>
          <w:sz w:val="28"/>
          <w:szCs w:val="28"/>
          <w:highlight w:val="none"/>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highlight w:val="none"/>
        </w:rPr>
        <w:t>，竞价人不得有异议。</w:t>
      </w:r>
    </w:p>
    <w:p w14:paraId="73091B7F">
      <w:pPr>
        <w:widowControl/>
        <w:shd w:val="clear"/>
        <w:snapToGrid/>
        <w:spacing w:before="0" w:line="520" w:lineRule="exact"/>
        <w:ind w:left="0" w:firstLine="560" w:firstLineChars="200"/>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color w:val="auto"/>
          <w:kern w:val="2"/>
          <w:sz w:val="28"/>
          <w:szCs w:val="28"/>
          <w:highlight w:val="none"/>
          <w:shd w:val="clear"/>
          <w:lang w:val="en-US" w:eastAsia="zh-CN"/>
        </w:rPr>
        <w:t>报价截止时间后，系统将自动开启解密，提交报价的</w:t>
      </w:r>
      <w:r>
        <w:rPr>
          <w:rFonts w:hint="eastAsia" w:ascii="宋体" w:hAnsi="宋体" w:cs="宋体"/>
          <w:color w:val="auto"/>
          <w:kern w:val="2"/>
          <w:sz w:val="28"/>
          <w:szCs w:val="28"/>
          <w:highlight w:val="none"/>
          <w:shd w:val="clear"/>
          <w:lang w:val="en-US" w:eastAsia="zh-CN"/>
        </w:rPr>
        <w:t>供应商</w:t>
      </w:r>
      <w:r>
        <w:rPr>
          <w:rFonts w:hint="eastAsia" w:ascii="宋体" w:hAnsi="宋体" w:eastAsia="宋体" w:cs="宋体"/>
          <w:color w:val="auto"/>
          <w:kern w:val="2"/>
          <w:sz w:val="28"/>
          <w:szCs w:val="28"/>
          <w:highlight w:val="none"/>
          <w:shd w:val="clear"/>
          <w:lang w:val="en-US" w:eastAsia="zh-CN"/>
        </w:rPr>
        <w:t>需在30分钟内进行解密，否则视为撤回报价。</w:t>
      </w:r>
    </w:p>
    <w:p w14:paraId="0777FC65">
      <w:pPr>
        <w:keepNext w:val="0"/>
        <w:keepLines/>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3.</w:t>
      </w:r>
      <w:r>
        <w:rPr>
          <w:rFonts w:hint="eastAsia" w:ascii="宋体" w:hAnsi="宋体" w:eastAsia="宋体" w:cs="宋体"/>
          <w:color w:val="auto"/>
          <w:kern w:val="2"/>
          <w:sz w:val="28"/>
          <w:szCs w:val="28"/>
          <w:highlight w:val="none"/>
          <w:shd w:val="clear"/>
        </w:rPr>
        <w:t>本次公开竞价采用“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511A05B7">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3.1竞价人以</w:t>
      </w:r>
      <w:r>
        <w:rPr>
          <w:rFonts w:hint="eastAsia" w:ascii="宋体" w:hAnsi="宋体" w:eastAsia="宋体" w:cs="宋体"/>
          <w:b/>
          <w:bCs/>
          <w:color w:val="auto"/>
          <w:kern w:val="2"/>
          <w:sz w:val="28"/>
          <w:szCs w:val="28"/>
          <w:highlight w:val="none"/>
          <w:shd w:val="clear"/>
          <w:lang w:val="en-US" w:eastAsia="zh-CN"/>
        </w:rPr>
        <w:t>单价</w:t>
      </w:r>
      <w:r>
        <w:rPr>
          <w:rFonts w:hint="eastAsia" w:ascii="宋体" w:hAnsi="宋体" w:eastAsia="宋体" w:cs="宋体"/>
          <w:b/>
          <w:bCs/>
          <w:color w:val="auto"/>
          <w:sz w:val="28"/>
          <w:szCs w:val="28"/>
          <w:lang w:val="en-US" w:eastAsia="zh-CN"/>
        </w:rPr>
        <w:t>报价</w:t>
      </w:r>
      <w:r>
        <w:rPr>
          <w:rFonts w:hint="eastAsia" w:ascii="宋体" w:hAnsi="宋体" w:eastAsia="宋体" w:cs="宋体"/>
          <w:color w:val="auto"/>
          <w:sz w:val="28"/>
          <w:szCs w:val="28"/>
          <w:lang w:val="en-US" w:eastAsia="zh-CN"/>
        </w:rPr>
        <w:t>方式进行报价，竞价人在报价时不得高于最高单价限价，根据有效竞价人报价排名情况，由低到高排序，最低的一名即为成交人。最高控制价为包干价，包括但不限于税费、服务费、文印费、差旅费、交通费、住宿费等所有相关费用，竞价人应对本次供货内容应有充分认识，自行判断能够完成本项目所需的费用，风险费用应自行考虑计入投标报价，竞价人未考虑风险因素造成的损失由竞价人自行负责。</w:t>
      </w:r>
    </w:p>
    <w:p w14:paraId="3D4BA223">
      <w:pPr>
        <w:widowControl/>
        <w:shd w:val="clear"/>
        <w:snapToGrid/>
        <w:spacing w:before="0" w:line="520" w:lineRule="exact"/>
        <w:ind w:left="0" w:firstLine="560" w:firstLineChars="200"/>
        <w:rPr>
          <w:rFonts w:hint="eastAsia" w:ascii="宋体" w:hAnsi="宋体" w:cs="宋体"/>
          <w:color w:val="auto"/>
          <w:kern w:val="2"/>
          <w:sz w:val="28"/>
          <w:szCs w:val="28"/>
          <w:highlight w:val="none"/>
          <w:shd w:val="clear"/>
          <w:lang w:eastAsia="zh-CN"/>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若有两个或两个以上的报价相等时，以解密</w:t>
      </w:r>
      <w:r>
        <w:rPr>
          <w:rFonts w:hint="eastAsia" w:ascii="宋体" w:hAnsi="宋体" w:cs="宋体"/>
          <w:color w:val="auto"/>
          <w:kern w:val="2"/>
          <w:sz w:val="28"/>
          <w:szCs w:val="28"/>
          <w:highlight w:val="none"/>
          <w:shd w:val="clear"/>
          <w:lang w:val="en-US" w:eastAsia="zh-CN"/>
        </w:rPr>
        <w:t>时间优先</w:t>
      </w:r>
      <w:r>
        <w:rPr>
          <w:rFonts w:hint="eastAsia" w:ascii="宋体" w:hAnsi="宋体" w:eastAsia="宋体" w:cs="宋体"/>
          <w:color w:val="auto"/>
          <w:kern w:val="2"/>
          <w:sz w:val="28"/>
          <w:szCs w:val="28"/>
          <w:highlight w:val="none"/>
          <w:shd w:val="clear"/>
        </w:rPr>
        <w:t>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r>
        <w:rPr>
          <w:rFonts w:hint="eastAsia" w:ascii="宋体" w:hAnsi="宋体" w:cs="宋体"/>
          <w:color w:val="auto"/>
          <w:kern w:val="2"/>
          <w:sz w:val="28"/>
          <w:szCs w:val="28"/>
          <w:highlight w:val="none"/>
          <w:shd w:val="clear"/>
          <w:lang w:eastAsia="zh-CN"/>
        </w:rPr>
        <w:t>。</w:t>
      </w:r>
    </w:p>
    <w:p w14:paraId="037E632E">
      <w:pPr>
        <w:widowControl/>
        <w:shd w:val="clear"/>
        <w:snapToGrid/>
        <w:spacing w:before="0" w:line="520" w:lineRule="exact"/>
        <w:ind w:left="0" w:firstLine="560" w:firstLineChars="20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w:t>
      </w:r>
      <w:r>
        <w:rPr>
          <w:rFonts w:hint="eastAsia" w:ascii="宋体" w:hAnsi="宋体" w:eastAsia="宋体" w:cs="宋体"/>
          <w:b/>
          <w:bCs/>
          <w:color w:val="auto"/>
          <w:sz w:val="28"/>
          <w:szCs w:val="28"/>
          <w:highlight w:val="none"/>
          <w:lang w:val="en-US" w:eastAsia="zh-CN"/>
        </w:rPr>
        <w:t>竞价人应以单价形式进行报价，竞价系统设置的价格表示最高限价，竞价人在竞价系统填报价格高于最高限价则为无效报价，填报单价最低的竞价人作为本项目成交人。</w:t>
      </w:r>
      <w:r>
        <w:rPr>
          <w:rFonts w:hint="eastAsia" w:ascii="宋体" w:hAnsi="宋体" w:eastAsia="宋体" w:cs="宋体"/>
          <w:color w:val="auto"/>
          <w:sz w:val="28"/>
          <w:szCs w:val="28"/>
          <w:highlight w:val="none"/>
          <w:lang w:val="en-US" w:eastAsia="zh-CN"/>
        </w:rPr>
        <w:t xml:space="preserve">若竞价系统显示无效报价竞价人为成交人的，我司有权按照本《竞价须知》规则排除无效报价竞价人后，根据有效报价竞价人的排序重新确定成交人。 </w:t>
      </w:r>
    </w:p>
    <w:p w14:paraId="1DE08AE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5.特别提示：标的经公开征集到的合格竞价人,应以不高于最高限价进行报价，同时成交人应签署《竞价结果通知书》等相关文件，否则视同为违约。</w:t>
      </w:r>
    </w:p>
    <w:p w14:paraId="672BA25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七、交易服务费</w:t>
      </w:r>
    </w:p>
    <w:p w14:paraId="325BEA9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rPr>
        <w:t>竞价成交后，</w:t>
      </w:r>
      <w:r>
        <w:rPr>
          <w:rFonts w:hint="eastAsia" w:ascii="宋体" w:hAnsi="宋体" w:eastAsia="宋体" w:cs="宋体"/>
          <w:b/>
          <w:bCs/>
          <w:color w:val="auto"/>
          <w:sz w:val="28"/>
          <w:szCs w:val="28"/>
        </w:rPr>
        <w:t>本项目的</w:t>
      </w:r>
      <w:r>
        <w:rPr>
          <w:rFonts w:hint="eastAsia" w:ascii="宋体" w:hAnsi="宋体" w:eastAsia="宋体" w:cs="宋体"/>
          <w:b/>
          <w:bCs/>
          <w:color w:val="auto"/>
          <w:sz w:val="28"/>
          <w:szCs w:val="28"/>
          <w:shd w:val="clear"/>
          <w:lang w:val="en-US" w:eastAsia="zh-CN"/>
        </w:rPr>
        <w:t>招标代理</w:t>
      </w:r>
      <w:r>
        <w:rPr>
          <w:rFonts w:hint="eastAsia" w:ascii="宋体" w:hAnsi="宋体" w:eastAsia="宋体" w:cs="宋体"/>
          <w:b/>
          <w:bCs/>
          <w:color w:val="auto"/>
          <w:sz w:val="28"/>
          <w:szCs w:val="28"/>
        </w:rPr>
        <w:t>服务费按成交价×1.5%计费向成交</w:t>
      </w:r>
      <w:r>
        <w:rPr>
          <w:rFonts w:hint="eastAsia" w:ascii="宋体" w:hAnsi="宋体" w:eastAsia="宋体" w:cs="宋体"/>
          <w:b/>
          <w:bCs/>
          <w:color w:val="auto"/>
          <w:sz w:val="28"/>
          <w:szCs w:val="28"/>
          <w:lang w:val="en-US" w:eastAsia="zh-CN"/>
        </w:rPr>
        <w:t>人</w:t>
      </w:r>
      <w:r>
        <w:rPr>
          <w:rFonts w:hint="eastAsia" w:ascii="宋体" w:hAnsi="宋体" w:eastAsia="宋体" w:cs="宋体"/>
          <w:b/>
          <w:bCs/>
          <w:color w:val="auto"/>
          <w:sz w:val="28"/>
          <w:szCs w:val="28"/>
        </w:rPr>
        <w:t>收取</w:t>
      </w:r>
      <w:r>
        <w:rPr>
          <w:rFonts w:hint="eastAsia" w:ascii="宋体" w:hAnsi="宋体" w:cs="宋体"/>
          <w:color w:val="auto"/>
          <w:sz w:val="28"/>
          <w:szCs w:val="28"/>
          <w:lang w:eastAsia="zh-CN"/>
        </w:rPr>
        <w:t>，</w:t>
      </w:r>
      <w:r>
        <w:rPr>
          <w:rFonts w:hint="eastAsia" w:ascii="宋体" w:hAnsi="宋体" w:cs="宋体"/>
          <w:b/>
          <w:bCs/>
          <w:color w:val="auto"/>
          <w:sz w:val="28"/>
          <w:szCs w:val="28"/>
          <w:lang w:eastAsia="zh-CN"/>
        </w:rPr>
        <w:t>不足</w:t>
      </w:r>
      <w:r>
        <w:rPr>
          <w:rFonts w:hint="eastAsia" w:ascii="宋体" w:hAnsi="宋体" w:cs="宋体"/>
          <w:b/>
          <w:bCs/>
          <w:color w:val="auto"/>
          <w:sz w:val="28"/>
          <w:szCs w:val="28"/>
          <w:lang w:val="en-US" w:eastAsia="zh-CN"/>
        </w:rPr>
        <w:t>1</w:t>
      </w:r>
      <w:r>
        <w:rPr>
          <w:rFonts w:hint="eastAsia" w:ascii="宋体" w:hAnsi="宋体" w:cs="宋体"/>
          <w:b/>
          <w:bCs/>
          <w:color w:val="auto"/>
          <w:sz w:val="28"/>
          <w:szCs w:val="28"/>
          <w:lang w:eastAsia="zh-CN"/>
        </w:rPr>
        <w:t>000元时，按</w:t>
      </w:r>
      <w:r>
        <w:rPr>
          <w:rFonts w:hint="eastAsia" w:ascii="宋体" w:hAnsi="宋体" w:cs="宋体"/>
          <w:b/>
          <w:bCs/>
          <w:color w:val="auto"/>
          <w:sz w:val="28"/>
          <w:szCs w:val="28"/>
          <w:lang w:val="en-US" w:eastAsia="zh-CN"/>
        </w:rPr>
        <w:t>1</w:t>
      </w:r>
      <w:r>
        <w:rPr>
          <w:rFonts w:hint="eastAsia" w:ascii="宋体" w:hAnsi="宋体" w:cs="宋体"/>
          <w:b/>
          <w:bCs/>
          <w:color w:val="auto"/>
          <w:sz w:val="28"/>
          <w:szCs w:val="28"/>
          <w:lang w:eastAsia="zh-CN"/>
        </w:rPr>
        <w:t>000元收取</w:t>
      </w:r>
      <w:r>
        <w:rPr>
          <w:rFonts w:hint="eastAsia" w:ascii="宋体" w:hAnsi="宋体" w:cs="宋体"/>
          <w:color w:val="auto"/>
          <w:sz w:val="28"/>
          <w:szCs w:val="28"/>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付款方式</w:t>
      </w:r>
    </w:p>
    <w:p w14:paraId="19FE0F61">
      <w:pPr>
        <w:widowControl/>
        <w:shd w:val="clear"/>
        <w:snapToGrid/>
        <w:spacing w:before="0" w:line="520" w:lineRule="exact"/>
        <w:ind w:left="0" w:firstLine="562" w:firstLineChars="200"/>
        <w:rPr>
          <w:rFonts w:hint="eastAsia" w:ascii="宋体" w:hAnsi="宋体" w:eastAsia="宋体" w:cs="宋体"/>
          <w:b/>
          <w:bCs/>
          <w:color w:val="auto"/>
          <w:kern w:val="2"/>
          <w:sz w:val="28"/>
          <w:szCs w:val="28"/>
          <w:highlight w:val="none"/>
          <w:shd w:val="clear"/>
          <w:lang w:val="en-US" w:eastAsia="zh-CN"/>
        </w:rPr>
      </w:pPr>
      <w:r>
        <w:rPr>
          <w:rFonts w:hint="eastAsia" w:ascii="宋体" w:hAnsi="宋体" w:eastAsia="宋体" w:cs="宋体"/>
          <w:b/>
          <w:bCs/>
          <w:color w:val="auto"/>
          <w:kern w:val="2"/>
          <w:sz w:val="28"/>
          <w:szCs w:val="28"/>
          <w:highlight w:val="none"/>
          <w:shd w:val="clear"/>
          <w:lang w:val="en-US" w:eastAsia="zh-CN"/>
        </w:rPr>
        <w:t>本次采购项目验收合格后，成交人向采购人提供正式发票，采购人收到正式发票做好审批手续后以转账方式将苗种款转至成交人银行基本结算账户。</w:t>
      </w:r>
    </w:p>
    <w:p w14:paraId="3DF91C30">
      <w:pPr>
        <w:keepNext w:val="0"/>
        <w:keepLines w:val="0"/>
        <w:pageBreakBefore w:val="0"/>
        <w:widowControl w:val="0"/>
        <w:kinsoku/>
        <w:wordWrap/>
        <w:overflowPunct/>
        <w:topLinePunct w:val="0"/>
        <w:autoSpaceDE/>
        <w:autoSpaceDN/>
        <w:bidi w:val="0"/>
        <w:adjustRightInd/>
        <w:snapToGrid/>
        <w:spacing w:line="520" w:lineRule="exact"/>
        <w:ind w:left="559" w:leftChars="266" w:firstLine="0" w:firstLineChars="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2.成交价为包干价，包括但不限于税费、服务费、文印费、差旅费、交通费、住宿费等所有相关费用，竞价人应对本次</w:t>
      </w:r>
      <w:r>
        <w:rPr>
          <w:rFonts w:hint="eastAsia" w:ascii="宋体" w:hAnsi="宋体" w:cs="宋体"/>
          <w:color w:val="auto"/>
          <w:sz w:val="28"/>
          <w:szCs w:val="28"/>
          <w:highlight w:val="none"/>
          <w:lang w:val="en-US" w:eastAsia="zh-CN"/>
        </w:rPr>
        <w:t>竞价</w:t>
      </w:r>
      <w:r>
        <w:rPr>
          <w:rFonts w:hint="eastAsia" w:ascii="宋体" w:hAnsi="宋体" w:eastAsia="宋体" w:cs="宋体"/>
          <w:color w:val="auto"/>
          <w:sz w:val="28"/>
          <w:szCs w:val="28"/>
          <w:highlight w:val="none"/>
          <w:lang w:val="en-US" w:eastAsia="zh-CN"/>
        </w:rPr>
        <w:t>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3.成交后，成交人应当与委托人签订《</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highlight w:val="none"/>
          <w:lang w:val="en-US" w:eastAsia="zh-CN"/>
        </w:rPr>
        <w:t>》，并严格履行，双方的权利、义务以《</w:t>
      </w:r>
      <w:r>
        <w:rPr>
          <w:rFonts w:hint="eastAsia" w:ascii="宋体" w:hAnsi="宋体" w:cs="宋体"/>
          <w:color w:val="auto"/>
          <w:sz w:val="28"/>
          <w:szCs w:val="28"/>
          <w:highlight w:val="none"/>
          <w:lang w:val="en-US" w:eastAsia="zh-CN"/>
        </w:rPr>
        <w:t>苗种购销合同</w:t>
      </w:r>
      <w:r>
        <w:rPr>
          <w:rFonts w:hint="eastAsia" w:ascii="宋体" w:hAnsi="宋体" w:eastAsia="宋体" w:cs="宋体"/>
          <w:color w:val="auto"/>
          <w:sz w:val="28"/>
          <w:szCs w:val="28"/>
          <w:highlight w:val="none"/>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十二、特别提示</w:t>
      </w:r>
    </w:p>
    <w:tbl>
      <w:tblPr>
        <w:tblStyle w:val="16"/>
        <w:tblW w:w="9071" w:type="dxa"/>
        <w:jc w:val="center"/>
        <w:shd w:val="clear" w:color="auto" w:fill="FFFFFF"/>
        <w:tblLayout w:type="autofit"/>
        <w:tblCellMar>
          <w:top w:w="0" w:type="dxa"/>
          <w:left w:w="0" w:type="dxa"/>
          <w:bottom w:w="0" w:type="dxa"/>
          <w:right w:w="0" w:type="dxa"/>
        </w:tblCellMar>
      </w:tblPr>
      <w:tblGrid>
        <w:gridCol w:w="9071"/>
      </w:tblGrid>
      <w:tr w14:paraId="49C3E373">
        <w:tblPrEx>
          <w:shd w:val="clear" w:color="auto" w:fill="FFFFFF"/>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2.竞价文件如有更正修改，公告将在</w:t>
            </w:r>
            <w:r>
              <w:rPr>
                <w:rFonts w:hint="eastAsia" w:ascii="宋体" w:hAnsi="宋体" w:eastAsia="宋体" w:cs="宋体"/>
                <w:b/>
                <w:bCs/>
                <w:color w:val="auto"/>
                <w:sz w:val="28"/>
                <w:szCs w:val="28"/>
                <w:highlight w:val="none"/>
                <w:lang w:val="en-US" w:eastAsia="zh-CN"/>
              </w:rPr>
              <w:t>连城产权交易网（网址：http://www.lcxcqjy.com/）、</w:t>
            </w:r>
            <w:r>
              <w:rPr>
                <w:rFonts w:hint="eastAsia" w:ascii="宋体" w:hAnsi="宋体" w:eastAsia="宋体" w:cs="宋体"/>
                <w:color w:val="auto"/>
                <w:sz w:val="28"/>
                <w:szCs w:val="28"/>
                <w:highlight w:val="none"/>
              </w:rPr>
              <w:t>连城县招标投标交易平台(</w:t>
            </w:r>
            <w:r>
              <w:rPr>
                <w:rFonts w:hint="eastAsia" w:ascii="宋体" w:hAnsi="宋体" w:eastAsia="宋体" w:cs="宋体"/>
                <w:b w:val="0"/>
                <w:bCs w:val="0"/>
                <w:color w:val="auto"/>
                <w:sz w:val="28"/>
                <w:szCs w:val="28"/>
                <w:highlight w:val="none"/>
              </w:rPr>
              <w:t>网址：</w:t>
            </w:r>
            <w:r>
              <w:rPr>
                <w:rFonts w:hint="eastAsia" w:ascii="宋体" w:hAnsi="宋体" w:eastAsia="宋体" w:cs="宋体"/>
                <w:color w:val="auto"/>
                <w:sz w:val="28"/>
                <w:szCs w:val="28"/>
                <w:highlight w:val="none"/>
              </w:rPr>
              <w:t>https://lcyjy.enjoy5191.com/home</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highlight w:val="none"/>
          <w:lang w:val="en-US" w:eastAsia="zh-CN"/>
        </w:rPr>
        <w:t>            连城县国有资产产权交易服务有限公司</w:t>
      </w:r>
    </w:p>
    <w:p w14:paraId="31E169A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b/>
          <w:color w:val="auto"/>
          <w:sz w:val="28"/>
          <w:szCs w:val="28"/>
          <w:highlight w:val="none"/>
        </w:rPr>
      </w:pPr>
      <w:r>
        <w:rPr>
          <w:rFonts w:hint="eastAsia" w:ascii="宋体" w:hAnsi="宋体" w:eastAsia="宋体" w:cs="宋体"/>
          <w:color w:val="auto"/>
          <w:sz w:val="28"/>
          <w:szCs w:val="28"/>
          <w:highlight w:val="none"/>
          <w:lang w:val="en-US" w:eastAsia="zh-CN"/>
        </w:rPr>
        <w:t xml:space="preserve">                                         </w:t>
      </w:r>
      <w:r>
        <w:rPr>
          <w:rFonts w:hint="eastAsia" w:ascii="宋体" w:hAnsi="宋体" w:cs="宋体"/>
          <w:color w:val="auto"/>
          <w:sz w:val="28"/>
          <w:szCs w:val="28"/>
          <w:highlight w:val="none"/>
          <w:lang w:val="en-US" w:eastAsia="zh-CN"/>
        </w:rPr>
        <w:t>2026年10月23日</w:t>
      </w:r>
    </w:p>
    <w:p w14:paraId="59CEBB5D">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p>
    <w:p w14:paraId="302C5248">
      <w:pPr>
        <w:keepNext w:val="0"/>
        <w:keepLines w:val="0"/>
        <w:pageBreakBefore w:val="0"/>
        <w:kinsoku/>
        <w:wordWrap/>
        <w:topLinePunct w:val="0"/>
        <w:bidi w:val="0"/>
        <w:spacing w:line="520" w:lineRule="exact"/>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承 诺 书</w:t>
      </w:r>
    </w:p>
    <w:p w14:paraId="4F154A88">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highlight w:val="none"/>
        </w:rPr>
      </w:pPr>
    </w:p>
    <w:p w14:paraId="6A7859D6">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highlight w:val="none"/>
          <w:u w:val="single"/>
        </w:rPr>
      </w:pPr>
      <w:r>
        <w:rPr>
          <w:rFonts w:hint="eastAsia" w:ascii="宋体" w:hAnsi="宋体" w:eastAsia="宋体" w:cs="宋体"/>
          <w:b/>
          <w:bCs/>
          <w:color w:val="auto"/>
          <w:sz w:val="28"/>
          <w:szCs w:val="28"/>
          <w:highlight w:val="none"/>
        </w:rPr>
        <w:t>连城县国有资产产权交易服务有限公司</w:t>
      </w:r>
      <w:r>
        <w:rPr>
          <w:rFonts w:hint="eastAsia" w:ascii="宋体" w:hAnsi="宋体" w:eastAsia="宋体" w:cs="宋体"/>
          <w:color w:val="auto"/>
          <w:sz w:val="28"/>
          <w:szCs w:val="28"/>
          <w:highlight w:val="none"/>
        </w:rPr>
        <w:t>：</w:t>
      </w:r>
    </w:p>
    <w:p w14:paraId="086D31B7">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本人（公司）承诺提供的报名材料真实、合法、有效，自愿报名参加贵司于</w:t>
      </w:r>
      <w:r>
        <w:rPr>
          <w:rFonts w:hint="eastAsia" w:ascii="宋体" w:hAnsi="宋体" w:eastAsia="宋体" w:cs="宋体"/>
          <w:color w:val="auto"/>
          <w:sz w:val="28"/>
          <w:szCs w:val="28"/>
          <w:highlight w:val="none"/>
          <w:u w:val="single"/>
        </w:rPr>
        <w:t xml:space="preserve"> </w:t>
      </w:r>
      <w:r>
        <w:rPr>
          <w:rFonts w:hint="eastAsia" w:ascii="宋体" w:hAnsi="宋体" w:cs="宋体"/>
          <w:color w:val="auto"/>
          <w:sz w:val="28"/>
          <w:szCs w:val="28"/>
          <w:highlight w:val="none"/>
          <w:u w:val="single"/>
          <w:lang w:val="en-US" w:eastAsia="zh-CN"/>
        </w:rPr>
        <w:t>2026年10月30日</w:t>
      </w:r>
      <w:r>
        <w:rPr>
          <w:rFonts w:hint="eastAsia" w:ascii="宋体" w:hAnsi="宋体" w:eastAsia="宋体" w:cs="宋体"/>
          <w:color w:val="auto"/>
          <w:sz w:val="28"/>
          <w:szCs w:val="28"/>
          <w:highlight w:val="none"/>
        </w:rPr>
        <w:t>上午举行的“连城县招标投标交易平台</w:t>
      </w:r>
      <w:r>
        <w:rPr>
          <w:rFonts w:hint="eastAsia" w:ascii="宋体" w:hAnsi="宋体" w:eastAsia="宋体" w:cs="宋体"/>
          <w:color w:val="auto"/>
          <w:sz w:val="28"/>
          <w:szCs w:val="28"/>
          <w:highlight w:val="none"/>
          <w:lang w:val="en-US" w:eastAsia="zh-CN"/>
        </w:rPr>
        <w:t>反</w:t>
      </w:r>
      <w:r>
        <w:rPr>
          <w:rFonts w:hint="eastAsia" w:ascii="宋体" w:hAnsi="宋体" w:eastAsia="宋体" w:cs="宋体"/>
          <w:color w:val="auto"/>
          <w:sz w:val="28"/>
          <w:szCs w:val="28"/>
          <w:highlight w:val="none"/>
        </w:rPr>
        <w:t>向一次报价”</w:t>
      </w:r>
      <w:r>
        <w:rPr>
          <w:rFonts w:hint="eastAsia" w:ascii="宋体" w:hAnsi="宋体" w:cs="宋体"/>
          <w:color w:val="auto"/>
          <w:sz w:val="28"/>
          <w:szCs w:val="28"/>
          <w:highlight w:val="none"/>
          <w:u w:val="single"/>
          <w:lang w:eastAsia="zh-CN"/>
        </w:rPr>
        <w:t>连城县2026年增殖放流采购项目（鳙鱼）</w:t>
      </w:r>
      <w:r>
        <w:rPr>
          <w:rFonts w:hint="eastAsia" w:ascii="宋体" w:hAnsi="宋体" w:eastAsia="宋体" w:cs="宋体"/>
          <w:color w:val="auto"/>
          <w:sz w:val="28"/>
          <w:szCs w:val="28"/>
          <w:highlight w:val="none"/>
        </w:rPr>
        <w:t>。收悉项目编号为</w:t>
      </w:r>
      <w:r>
        <w:rPr>
          <w:rFonts w:hint="eastAsia" w:ascii="宋体" w:hAnsi="宋体" w:cs="宋体"/>
          <w:color w:val="auto"/>
          <w:sz w:val="28"/>
          <w:szCs w:val="28"/>
          <w:highlight w:val="none"/>
          <w:u w:val="single"/>
          <w:lang w:eastAsia="zh-CN"/>
        </w:rPr>
        <w:t>LCCQJJ20261030-2</w:t>
      </w:r>
      <w:r>
        <w:rPr>
          <w:rFonts w:hint="eastAsia" w:ascii="宋体" w:hAnsi="宋体" w:eastAsia="宋体" w:cs="宋体"/>
          <w:color w:val="auto"/>
          <w:sz w:val="28"/>
          <w:szCs w:val="28"/>
          <w:highlight w:val="none"/>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28EA2DDA">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highlight w:val="none"/>
          <w:lang w:eastAsia="zh-CN"/>
        </w:rPr>
      </w:pPr>
    </w:p>
    <w:p w14:paraId="28417D1C">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承诺人（申请人签章）：</w:t>
      </w:r>
    </w:p>
    <w:p w14:paraId="7B86B5E5">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法定代表人（签</w:t>
      </w:r>
      <w:r>
        <w:rPr>
          <w:rFonts w:hint="eastAsia" w:ascii="宋体" w:hAnsi="宋体" w:cs="宋体"/>
          <w:color w:val="auto"/>
          <w:sz w:val="28"/>
          <w:szCs w:val="28"/>
          <w:highlight w:val="none"/>
          <w:lang w:val="en-US" w:eastAsia="zh-CN"/>
        </w:rPr>
        <w:t>字或盖</w:t>
      </w:r>
      <w:r>
        <w:rPr>
          <w:rFonts w:hint="eastAsia" w:ascii="宋体" w:hAnsi="宋体" w:eastAsia="宋体" w:cs="宋体"/>
          <w:color w:val="auto"/>
          <w:sz w:val="28"/>
          <w:szCs w:val="28"/>
          <w:highlight w:val="none"/>
        </w:rPr>
        <w:t>章）：</w:t>
      </w:r>
      <w:r>
        <w:rPr>
          <w:rFonts w:hint="eastAsia" w:ascii="宋体" w:hAnsi="宋体" w:eastAsia="宋体" w:cs="宋体"/>
          <w:color w:val="auto"/>
          <w:sz w:val="28"/>
          <w:szCs w:val="28"/>
          <w:highlight w:val="none"/>
          <w:lang w:val="en-US" w:eastAsia="zh-CN"/>
        </w:rPr>
        <w:t xml:space="preserve"> </w:t>
      </w:r>
    </w:p>
    <w:p w14:paraId="22654E38">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联系电话：</w:t>
      </w:r>
    </w:p>
    <w:p w14:paraId="4E24B020">
      <w:pPr>
        <w:keepNext w:val="0"/>
        <w:keepLines w:val="0"/>
        <w:pageBreakBefore w:val="0"/>
        <w:widowControl w:val="0"/>
        <w:kinsoku/>
        <w:wordWrap/>
        <w:overflowPunct/>
        <w:topLinePunct w:val="0"/>
        <w:autoSpaceDE/>
        <w:autoSpaceDN/>
        <w:bidi w:val="0"/>
        <w:adjustRightInd/>
        <w:snapToGrid/>
        <w:spacing w:line="520" w:lineRule="exact"/>
        <w:ind w:firstLine="5040" w:firstLineChars="1800"/>
        <w:jc w:val="both"/>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年</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月</w:t>
      </w:r>
      <w:r>
        <w:rPr>
          <w:rFonts w:hint="eastAsia" w:ascii="宋体" w:hAnsi="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w:t>
      </w:r>
    </w:p>
    <w:p w14:paraId="20CEFFBB">
      <w:pPr>
        <w:rPr>
          <w:rFonts w:hint="eastAsia" w:ascii="仿宋_GB2312" w:eastAsia="仿宋_GB2312"/>
          <w:color w:val="auto"/>
          <w:sz w:val="32"/>
          <w:szCs w:val="32"/>
          <w:lang w:eastAsia="zh-CN"/>
        </w:rPr>
      </w:pPr>
      <w:r>
        <w:rPr>
          <w:rFonts w:hint="eastAsia" w:ascii="宋体" w:hAnsi="宋体" w:eastAsia="宋体" w:cs="宋体"/>
          <w:color w:val="auto"/>
          <w:sz w:val="28"/>
          <w:szCs w:val="28"/>
          <w:highlight w:val="none"/>
        </w:rPr>
        <w:br w:type="page"/>
      </w:r>
      <w:bookmarkStart w:id="0" w:name="_GoBack"/>
      <w:bookmarkEnd w:id="0"/>
      <w:r>
        <w:rPr>
          <w:rFonts w:hint="eastAsia" w:ascii="仿宋_GB2312" w:eastAsia="仿宋_GB2312"/>
          <w:color w:val="auto"/>
          <w:sz w:val="32"/>
          <w:szCs w:val="32"/>
        </w:rPr>
        <w:t>附件</w:t>
      </w:r>
      <w:r>
        <w:rPr>
          <w:rFonts w:hint="eastAsia" w:ascii="仿宋_GB2312" w:eastAsia="仿宋_GB2312"/>
          <w:color w:val="auto"/>
          <w:sz w:val="32"/>
          <w:szCs w:val="32"/>
          <w:lang w:val="en-US" w:eastAsia="zh-CN"/>
        </w:rPr>
        <w:t>一</w:t>
      </w:r>
    </w:p>
    <w:p w14:paraId="0C50697C">
      <w:pPr>
        <w:jc w:val="center"/>
        <w:rPr>
          <w:b/>
          <w:color w:val="auto"/>
          <w:sz w:val="36"/>
          <w:szCs w:val="36"/>
        </w:rPr>
      </w:pPr>
      <w:r>
        <w:rPr>
          <w:rFonts w:hint="eastAsia"/>
          <w:b/>
          <w:color w:val="auto"/>
          <w:sz w:val="36"/>
          <w:szCs w:val="36"/>
        </w:rPr>
        <w:t>鱼种（苗）场生产能力证明</w:t>
      </w:r>
    </w:p>
    <w:p w14:paraId="7FC4E2BA">
      <w:pPr>
        <w:rPr>
          <w:color w:val="auto"/>
        </w:rPr>
      </w:pPr>
    </w:p>
    <w:p w14:paraId="7019653D">
      <w:pPr>
        <w:keepNext w:val="0"/>
        <w:keepLines/>
        <w:pageBreakBefore w:val="0"/>
        <w:widowControl w:val="0"/>
        <w:kinsoku/>
        <w:wordWrap w:val="0"/>
        <w:overflowPunct/>
        <w:topLinePunct w:val="0"/>
        <w:autoSpaceDE/>
        <w:autoSpaceDN/>
        <w:bidi w:val="0"/>
        <w:adjustRightInd/>
        <w:snapToGrid/>
        <w:spacing w:line="360" w:lineRule="auto"/>
        <w:ind w:firstLine="803" w:firstLineChars="251"/>
        <w:textAlignment w:val="auto"/>
        <w:rPr>
          <w:rFonts w:hint="eastAsia" w:ascii="仿宋_GB2312" w:eastAsia="仿宋_GB2312"/>
          <w:color w:val="auto"/>
          <w:sz w:val="32"/>
          <w:szCs w:val="32"/>
        </w:rPr>
      </w:pPr>
      <w:r>
        <w:rPr>
          <w:rFonts w:hint="eastAsia" w:ascii="仿宋_GB2312" w:eastAsia="仿宋_GB2312"/>
          <w:color w:val="auto"/>
          <w:sz w:val="32"/>
          <w:szCs w:val="32"/>
        </w:rPr>
        <w:t>根据《福建省水生生物增殖放流工作规范》第十条规定，我局派出</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rPr>
        <w:t>俩位水产技术专家对</w:t>
      </w:r>
      <w:r>
        <w:rPr>
          <w:rFonts w:hint="eastAsia" w:ascii="仿宋_GB2312" w:eastAsia="仿宋_GB2312"/>
          <w:color w:val="auto"/>
          <w:sz w:val="32"/>
          <w:szCs w:val="32"/>
          <w:u w:val="single"/>
        </w:rPr>
        <w:t xml:space="preserve"> </w:t>
      </w:r>
      <w:r>
        <w:rPr>
          <w:rFonts w:hint="eastAsia" w:ascii="仿宋_GB2312" w:eastAsia="仿宋_GB2312"/>
          <w:color w:val="auto"/>
          <w:sz w:val="32"/>
          <w:szCs w:val="32"/>
          <w:u w:val="single"/>
          <w:lang w:val="en-US" w:eastAsia="zh-CN"/>
        </w:rPr>
        <w:t xml:space="preserve">        </w:t>
      </w:r>
      <w:r>
        <w:rPr>
          <w:rFonts w:hint="eastAsia" w:ascii="仿宋_GB2312" w:eastAsia="仿宋_GB2312"/>
          <w:color w:val="auto"/>
          <w:sz w:val="32"/>
          <w:szCs w:val="32"/>
          <w:u w:val="single"/>
        </w:rPr>
        <w:t xml:space="preserve">   </w:t>
      </w:r>
      <w:r>
        <w:rPr>
          <w:rFonts w:hint="eastAsia" w:ascii="仿宋_GB2312" w:eastAsia="仿宋_GB2312"/>
          <w:color w:val="auto"/>
          <w:sz w:val="32"/>
          <w:szCs w:val="32"/>
        </w:rPr>
        <w:t>进行实地核验，验明该场有下列生产能力：</w:t>
      </w:r>
    </w:p>
    <w:p w14:paraId="4933B9D5">
      <w:pPr>
        <w:spacing w:line="360" w:lineRule="auto"/>
        <w:ind w:firstLine="803" w:firstLineChars="251"/>
        <w:rPr>
          <w:rFonts w:ascii="仿宋_GB2312" w:eastAsia="仿宋_GB2312"/>
          <w:color w:val="auto"/>
          <w:sz w:val="32"/>
          <w:szCs w:val="32"/>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14:paraId="55D30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noWrap w:val="0"/>
            <w:vAlign w:val="center"/>
          </w:tcPr>
          <w:p w14:paraId="5E115DDA">
            <w:pPr>
              <w:jc w:val="center"/>
              <w:rPr>
                <w:rFonts w:ascii="仿宋_GB2312" w:eastAsia="仿宋_GB2312"/>
                <w:color w:val="auto"/>
                <w:sz w:val="32"/>
                <w:szCs w:val="32"/>
              </w:rPr>
            </w:pPr>
            <w:r>
              <w:rPr>
                <w:rFonts w:hint="eastAsia" w:ascii="仿宋_GB2312" w:eastAsia="仿宋_GB2312"/>
                <w:color w:val="auto"/>
                <w:sz w:val="32"/>
                <w:szCs w:val="32"/>
              </w:rPr>
              <w:t>生产品种</w:t>
            </w:r>
          </w:p>
        </w:tc>
        <w:tc>
          <w:tcPr>
            <w:tcW w:w="2130" w:type="dxa"/>
            <w:noWrap w:val="0"/>
            <w:vAlign w:val="center"/>
          </w:tcPr>
          <w:p w14:paraId="36379E9C">
            <w:pPr>
              <w:jc w:val="center"/>
              <w:rPr>
                <w:rFonts w:ascii="仿宋_GB2312" w:eastAsia="仿宋_GB2312"/>
                <w:color w:val="auto"/>
                <w:sz w:val="32"/>
                <w:szCs w:val="32"/>
              </w:rPr>
            </w:pPr>
            <w:r>
              <w:rPr>
                <w:rFonts w:hint="eastAsia" w:ascii="仿宋_GB2312" w:eastAsia="仿宋_GB2312"/>
                <w:color w:val="auto"/>
                <w:sz w:val="32"/>
                <w:szCs w:val="32"/>
              </w:rPr>
              <w:t>苗种池面积</w:t>
            </w:r>
          </w:p>
          <w:p w14:paraId="2986A85F">
            <w:pPr>
              <w:jc w:val="center"/>
              <w:rPr>
                <w:rFonts w:ascii="仿宋_GB2312" w:eastAsia="仿宋_GB2312"/>
                <w:color w:val="auto"/>
                <w:sz w:val="24"/>
              </w:rPr>
            </w:pPr>
            <w:r>
              <w:rPr>
                <w:rFonts w:hint="eastAsia" w:ascii="仿宋_GB2312" w:eastAsia="仿宋_GB2312"/>
                <w:color w:val="auto"/>
                <w:sz w:val="24"/>
              </w:rPr>
              <w:t>（亩、平方米）</w:t>
            </w:r>
          </w:p>
        </w:tc>
        <w:tc>
          <w:tcPr>
            <w:tcW w:w="2131" w:type="dxa"/>
            <w:noWrap w:val="0"/>
            <w:vAlign w:val="center"/>
          </w:tcPr>
          <w:p w14:paraId="1AADBFF5">
            <w:pPr>
              <w:jc w:val="center"/>
              <w:rPr>
                <w:rFonts w:ascii="仿宋_GB2312" w:eastAsia="仿宋_GB2312"/>
                <w:color w:val="auto"/>
                <w:sz w:val="32"/>
                <w:szCs w:val="32"/>
              </w:rPr>
            </w:pPr>
            <w:r>
              <w:rPr>
                <w:rFonts w:hint="eastAsia" w:ascii="仿宋_GB2312" w:eastAsia="仿宋_GB2312"/>
                <w:color w:val="auto"/>
                <w:sz w:val="32"/>
                <w:szCs w:val="32"/>
              </w:rPr>
              <w:t>年产数量</w:t>
            </w:r>
          </w:p>
          <w:p w14:paraId="2E8224ED">
            <w:pPr>
              <w:jc w:val="center"/>
              <w:rPr>
                <w:rFonts w:ascii="仿宋_GB2312" w:eastAsia="仿宋_GB2312"/>
                <w:color w:val="auto"/>
                <w:sz w:val="24"/>
              </w:rPr>
            </w:pPr>
            <w:r>
              <w:rPr>
                <w:rFonts w:hint="eastAsia" w:ascii="仿宋_GB2312" w:eastAsia="仿宋_GB2312"/>
                <w:color w:val="auto"/>
                <w:sz w:val="24"/>
              </w:rPr>
              <w:t>（万尾、万只）</w:t>
            </w:r>
          </w:p>
        </w:tc>
        <w:tc>
          <w:tcPr>
            <w:tcW w:w="2131" w:type="dxa"/>
            <w:noWrap w:val="0"/>
            <w:vAlign w:val="center"/>
          </w:tcPr>
          <w:p w14:paraId="09AC870A">
            <w:pPr>
              <w:jc w:val="center"/>
              <w:rPr>
                <w:rFonts w:ascii="仿宋_GB2312" w:eastAsia="仿宋_GB2312"/>
                <w:color w:val="auto"/>
                <w:sz w:val="32"/>
                <w:szCs w:val="32"/>
              </w:rPr>
            </w:pPr>
            <w:r>
              <w:rPr>
                <w:rFonts w:hint="eastAsia" w:ascii="仿宋_GB2312" w:eastAsia="仿宋_GB2312"/>
                <w:color w:val="auto"/>
                <w:sz w:val="32"/>
                <w:szCs w:val="32"/>
              </w:rPr>
              <w:t>备  注</w:t>
            </w:r>
          </w:p>
        </w:tc>
      </w:tr>
      <w:tr w14:paraId="14F9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30" w:type="dxa"/>
            <w:noWrap w:val="0"/>
            <w:vAlign w:val="center"/>
          </w:tcPr>
          <w:p w14:paraId="6BF9F451">
            <w:pPr>
              <w:jc w:val="center"/>
              <w:rPr>
                <w:rFonts w:ascii="仿宋_GB2312" w:eastAsia="仿宋_GB2312"/>
                <w:color w:val="auto"/>
                <w:sz w:val="32"/>
                <w:szCs w:val="32"/>
              </w:rPr>
            </w:pPr>
          </w:p>
        </w:tc>
        <w:tc>
          <w:tcPr>
            <w:tcW w:w="2130" w:type="dxa"/>
            <w:noWrap w:val="0"/>
            <w:vAlign w:val="center"/>
          </w:tcPr>
          <w:p w14:paraId="6D03ABBD">
            <w:pPr>
              <w:jc w:val="center"/>
              <w:rPr>
                <w:rFonts w:ascii="仿宋_GB2312" w:eastAsia="仿宋_GB2312"/>
                <w:color w:val="auto"/>
                <w:sz w:val="32"/>
                <w:szCs w:val="32"/>
              </w:rPr>
            </w:pPr>
          </w:p>
        </w:tc>
        <w:tc>
          <w:tcPr>
            <w:tcW w:w="2131" w:type="dxa"/>
            <w:noWrap w:val="0"/>
            <w:vAlign w:val="center"/>
          </w:tcPr>
          <w:p w14:paraId="4875A3A1">
            <w:pPr>
              <w:jc w:val="center"/>
              <w:rPr>
                <w:rFonts w:ascii="仿宋_GB2312" w:eastAsia="仿宋_GB2312"/>
                <w:color w:val="auto"/>
                <w:sz w:val="32"/>
                <w:szCs w:val="32"/>
              </w:rPr>
            </w:pPr>
          </w:p>
        </w:tc>
        <w:tc>
          <w:tcPr>
            <w:tcW w:w="2131" w:type="dxa"/>
            <w:noWrap w:val="0"/>
            <w:vAlign w:val="center"/>
          </w:tcPr>
          <w:p w14:paraId="55C16DA7">
            <w:pPr>
              <w:jc w:val="center"/>
              <w:rPr>
                <w:rFonts w:ascii="仿宋_GB2312" w:eastAsia="仿宋_GB2312"/>
                <w:color w:val="auto"/>
                <w:sz w:val="32"/>
                <w:szCs w:val="32"/>
              </w:rPr>
            </w:pPr>
          </w:p>
        </w:tc>
      </w:tr>
      <w:tr w14:paraId="18CE9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30" w:type="dxa"/>
            <w:noWrap w:val="0"/>
            <w:vAlign w:val="center"/>
          </w:tcPr>
          <w:p w14:paraId="2786651B">
            <w:pPr>
              <w:jc w:val="center"/>
              <w:rPr>
                <w:rFonts w:ascii="仿宋_GB2312" w:eastAsia="仿宋_GB2312"/>
                <w:color w:val="auto"/>
                <w:sz w:val="32"/>
                <w:szCs w:val="32"/>
              </w:rPr>
            </w:pPr>
          </w:p>
        </w:tc>
        <w:tc>
          <w:tcPr>
            <w:tcW w:w="2130" w:type="dxa"/>
            <w:noWrap w:val="0"/>
            <w:vAlign w:val="center"/>
          </w:tcPr>
          <w:p w14:paraId="7F199BCA">
            <w:pPr>
              <w:jc w:val="center"/>
              <w:rPr>
                <w:rFonts w:ascii="仿宋_GB2312" w:eastAsia="仿宋_GB2312"/>
                <w:color w:val="auto"/>
                <w:sz w:val="32"/>
                <w:szCs w:val="32"/>
              </w:rPr>
            </w:pPr>
          </w:p>
        </w:tc>
        <w:tc>
          <w:tcPr>
            <w:tcW w:w="2131" w:type="dxa"/>
            <w:noWrap w:val="0"/>
            <w:vAlign w:val="center"/>
          </w:tcPr>
          <w:p w14:paraId="1FF1C33E">
            <w:pPr>
              <w:jc w:val="center"/>
              <w:rPr>
                <w:rFonts w:ascii="仿宋_GB2312" w:eastAsia="仿宋_GB2312"/>
                <w:color w:val="auto"/>
                <w:sz w:val="32"/>
                <w:szCs w:val="32"/>
              </w:rPr>
            </w:pPr>
          </w:p>
        </w:tc>
        <w:tc>
          <w:tcPr>
            <w:tcW w:w="2131" w:type="dxa"/>
            <w:noWrap w:val="0"/>
            <w:vAlign w:val="center"/>
          </w:tcPr>
          <w:p w14:paraId="08792C3D">
            <w:pPr>
              <w:jc w:val="center"/>
              <w:rPr>
                <w:rFonts w:ascii="仿宋_GB2312" w:eastAsia="仿宋_GB2312"/>
                <w:color w:val="auto"/>
                <w:sz w:val="32"/>
                <w:szCs w:val="32"/>
              </w:rPr>
            </w:pPr>
          </w:p>
        </w:tc>
      </w:tr>
      <w:tr w14:paraId="06D3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2130" w:type="dxa"/>
            <w:noWrap w:val="0"/>
            <w:vAlign w:val="center"/>
          </w:tcPr>
          <w:p w14:paraId="1C99B4FD">
            <w:pPr>
              <w:jc w:val="center"/>
              <w:rPr>
                <w:rFonts w:ascii="仿宋_GB2312" w:eastAsia="仿宋_GB2312"/>
                <w:color w:val="auto"/>
                <w:sz w:val="32"/>
                <w:szCs w:val="32"/>
              </w:rPr>
            </w:pPr>
          </w:p>
        </w:tc>
        <w:tc>
          <w:tcPr>
            <w:tcW w:w="2130" w:type="dxa"/>
            <w:noWrap w:val="0"/>
            <w:vAlign w:val="center"/>
          </w:tcPr>
          <w:p w14:paraId="3333DC44">
            <w:pPr>
              <w:jc w:val="center"/>
              <w:rPr>
                <w:rFonts w:ascii="仿宋_GB2312" w:eastAsia="仿宋_GB2312"/>
                <w:color w:val="auto"/>
                <w:sz w:val="32"/>
                <w:szCs w:val="32"/>
              </w:rPr>
            </w:pPr>
          </w:p>
        </w:tc>
        <w:tc>
          <w:tcPr>
            <w:tcW w:w="2131" w:type="dxa"/>
            <w:noWrap w:val="0"/>
            <w:vAlign w:val="center"/>
          </w:tcPr>
          <w:p w14:paraId="23EC5D78">
            <w:pPr>
              <w:jc w:val="center"/>
              <w:rPr>
                <w:rFonts w:ascii="仿宋_GB2312" w:eastAsia="仿宋_GB2312"/>
                <w:color w:val="auto"/>
                <w:sz w:val="32"/>
                <w:szCs w:val="32"/>
              </w:rPr>
            </w:pPr>
          </w:p>
        </w:tc>
        <w:tc>
          <w:tcPr>
            <w:tcW w:w="2131" w:type="dxa"/>
            <w:noWrap w:val="0"/>
            <w:vAlign w:val="center"/>
          </w:tcPr>
          <w:p w14:paraId="332DEA86">
            <w:pPr>
              <w:jc w:val="center"/>
              <w:rPr>
                <w:rFonts w:ascii="仿宋_GB2312" w:eastAsia="仿宋_GB2312"/>
                <w:color w:val="auto"/>
                <w:sz w:val="32"/>
                <w:szCs w:val="32"/>
              </w:rPr>
            </w:pPr>
          </w:p>
        </w:tc>
      </w:tr>
    </w:tbl>
    <w:p w14:paraId="249380A6">
      <w:pPr>
        <w:rPr>
          <w:rFonts w:hint="eastAsia" w:ascii="仿宋_GB2312" w:eastAsia="仿宋_GB2312"/>
          <w:color w:val="auto"/>
          <w:sz w:val="32"/>
          <w:szCs w:val="32"/>
        </w:rPr>
      </w:pPr>
      <w:r>
        <w:rPr>
          <w:rFonts w:hint="eastAsia" w:ascii="仿宋_GB2312" w:eastAsia="仿宋_GB2312"/>
          <w:color w:val="auto"/>
          <w:sz w:val="32"/>
          <w:szCs w:val="32"/>
        </w:rPr>
        <w:t xml:space="preserve">   </w:t>
      </w:r>
    </w:p>
    <w:p w14:paraId="09856FD1">
      <w:pPr>
        <w:ind w:firstLine="960" w:firstLineChars="300"/>
        <w:rPr>
          <w:rFonts w:ascii="仿宋_GB2312" w:eastAsia="仿宋_GB2312"/>
          <w:color w:val="auto"/>
          <w:sz w:val="32"/>
          <w:szCs w:val="32"/>
        </w:rPr>
      </w:pPr>
      <w:r>
        <w:rPr>
          <w:rFonts w:hint="eastAsia" w:ascii="仿宋_GB2312" w:eastAsia="仿宋_GB2312"/>
          <w:color w:val="auto"/>
          <w:sz w:val="32"/>
          <w:szCs w:val="32"/>
        </w:rPr>
        <w:t>特此证明</w:t>
      </w:r>
    </w:p>
    <w:p w14:paraId="435035EC">
      <w:pPr>
        <w:rPr>
          <w:rFonts w:hint="eastAsia" w:ascii="仿宋_GB2312" w:eastAsia="仿宋_GB2312"/>
          <w:color w:val="auto"/>
          <w:sz w:val="32"/>
          <w:szCs w:val="32"/>
        </w:rPr>
      </w:pPr>
      <w:r>
        <w:rPr>
          <w:rFonts w:hint="eastAsia" w:ascii="仿宋_GB2312" w:eastAsia="仿宋_GB2312"/>
          <w:color w:val="auto"/>
          <w:sz w:val="32"/>
          <w:szCs w:val="32"/>
        </w:rPr>
        <w:t xml:space="preserve">   </w:t>
      </w:r>
    </w:p>
    <w:p w14:paraId="4AFB5683">
      <w:pPr>
        <w:ind w:firstLine="480" w:firstLineChars="150"/>
        <w:rPr>
          <w:rFonts w:ascii="仿宋_GB2312" w:eastAsia="仿宋_GB2312"/>
          <w:color w:val="auto"/>
          <w:sz w:val="32"/>
          <w:szCs w:val="32"/>
        </w:rPr>
      </w:pPr>
      <w:r>
        <w:rPr>
          <w:rFonts w:hint="eastAsia" w:ascii="仿宋_GB2312" w:eastAsia="仿宋_GB2312"/>
          <w:color w:val="auto"/>
          <w:sz w:val="32"/>
          <w:szCs w:val="32"/>
        </w:rPr>
        <w:t>核验专家（签名）：</w:t>
      </w:r>
    </w:p>
    <w:p w14:paraId="13434FD7">
      <w:pPr>
        <w:rPr>
          <w:rFonts w:ascii="仿宋_GB2312" w:eastAsia="仿宋_GB2312"/>
          <w:color w:val="auto"/>
          <w:sz w:val="32"/>
          <w:szCs w:val="32"/>
        </w:rPr>
      </w:pPr>
    </w:p>
    <w:p w14:paraId="5BBFFAAB">
      <w:pPr>
        <w:rPr>
          <w:rFonts w:ascii="仿宋_GB2312" w:eastAsia="仿宋_GB2312"/>
          <w:color w:val="auto"/>
          <w:sz w:val="32"/>
          <w:szCs w:val="32"/>
        </w:rPr>
      </w:pPr>
      <w:r>
        <w:rPr>
          <w:rFonts w:hint="eastAsia" w:ascii="仿宋_GB2312" w:eastAsia="仿宋_GB2312"/>
          <w:color w:val="auto"/>
          <w:sz w:val="32"/>
          <w:szCs w:val="32"/>
        </w:rPr>
        <w:t xml:space="preserve">   主管局领导（签名）：</w:t>
      </w:r>
    </w:p>
    <w:p w14:paraId="41A2FC9B">
      <w:pPr>
        <w:rPr>
          <w:rFonts w:hint="eastAsia" w:ascii="仿宋_GB2312" w:eastAsia="仿宋_GB2312"/>
          <w:color w:val="auto"/>
          <w:sz w:val="32"/>
          <w:szCs w:val="32"/>
        </w:rPr>
      </w:pPr>
    </w:p>
    <w:p w14:paraId="13210A0F">
      <w:pPr>
        <w:rPr>
          <w:rFonts w:ascii="仿宋_GB2312" w:eastAsia="仿宋_GB2312"/>
          <w:color w:val="auto"/>
          <w:sz w:val="32"/>
          <w:szCs w:val="32"/>
        </w:rPr>
      </w:pPr>
    </w:p>
    <w:p w14:paraId="5952F01A">
      <w:pPr>
        <w:rPr>
          <w:rFonts w:ascii="仿宋_GB2312" w:eastAsia="仿宋_GB2312"/>
          <w:color w:val="auto"/>
          <w:sz w:val="32"/>
          <w:szCs w:val="32"/>
        </w:rPr>
      </w:pPr>
      <w:r>
        <w:rPr>
          <w:rFonts w:hint="eastAsia" w:ascii="仿宋_GB2312" w:eastAsia="仿宋_GB2312"/>
          <w:color w:val="auto"/>
          <w:sz w:val="32"/>
          <w:szCs w:val="32"/>
        </w:rPr>
        <w:t xml:space="preserve">                             证明人（渔业主管局/章）：</w:t>
      </w:r>
    </w:p>
    <w:p w14:paraId="028A2C30">
      <w:pPr>
        <w:rPr>
          <w:rFonts w:ascii="仿宋_GB2312" w:eastAsia="仿宋_GB2312"/>
          <w:color w:val="auto"/>
          <w:sz w:val="32"/>
          <w:szCs w:val="32"/>
        </w:rPr>
      </w:pPr>
      <w:r>
        <w:rPr>
          <w:rFonts w:hint="eastAsia" w:ascii="仿宋_GB2312" w:eastAsia="仿宋_GB2312"/>
          <w:color w:val="auto"/>
          <w:sz w:val="32"/>
          <w:szCs w:val="32"/>
        </w:rPr>
        <w:t xml:space="preserve">                             日  期：</w:t>
      </w:r>
    </w:p>
    <w:p w14:paraId="5F5FA036">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附件二：合同</w:t>
      </w:r>
    </w:p>
    <w:p w14:paraId="5761C872">
      <w:pPr>
        <w:spacing w:before="120" w:line="300" w:lineRule="exact"/>
        <w:ind w:firstLine="720"/>
        <w:jc w:val="center"/>
        <w:rPr>
          <w:rFonts w:hint="eastAsia" w:ascii="黑体" w:hAnsi="黑体" w:eastAsia="黑体"/>
          <w:b/>
          <w:color w:val="auto"/>
          <w:kern w:val="44"/>
          <w:sz w:val="32"/>
          <w:szCs w:val="32"/>
        </w:rPr>
      </w:pPr>
      <w:r>
        <w:rPr>
          <w:rFonts w:hint="eastAsia" w:ascii="黑体" w:hAnsi="黑体" w:eastAsia="黑体"/>
          <w:b/>
          <w:color w:val="auto"/>
          <w:kern w:val="44"/>
          <w:sz w:val="32"/>
          <w:szCs w:val="32"/>
        </w:rPr>
        <w:t>苗种购销合同</w:t>
      </w:r>
    </w:p>
    <w:p w14:paraId="1F34B1D9">
      <w:pPr>
        <w:spacing w:line="360" w:lineRule="auto"/>
        <w:rPr>
          <w:rFonts w:ascii="宋体" w:hAnsi="宋体"/>
          <w:color w:val="auto"/>
          <w:szCs w:val="21"/>
        </w:rPr>
      </w:pPr>
    </w:p>
    <w:p w14:paraId="2065316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甲方(采购人)：</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p>
    <w:p w14:paraId="29FEF96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乙方（</w:t>
      </w:r>
      <w:r>
        <w:rPr>
          <w:rFonts w:hint="eastAsia" w:asciiTheme="minorEastAsia" w:hAnsiTheme="minorEastAsia" w:eastAsiaTheme="minorEastAsia" w:cstheme="minorEastAsia"/>
          <w:color w:val="auto"/>
          <w:sz w:val="28"/>
          <w:szCs w:val="28"/>
          <w:lang w:val="en-US" w:eastAsia="zh-CN"/>
        </w:rPr>
        <w:t>成交</w:t>
      </w:r>
      <w:r>
        <w:rPr>
          <w:rFonts w:hint="eastAsia" w:asciiTheme="minorEastAsia" w:hAnsiTheme="minorEastAsia" w:eastAsiaTheme="minorEastAsia" w:cstheme="minorEastAsia"/>
          <w:color w:val="auto"/>
          <w:sz w:val="28"/>
          <w:szCs w:val="28"/>
        </w:rPr>
        <w:t>人）：</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p>
    <w:p w14:paraId="43FA9BEC">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甲方委托</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u w:val="single"/>
        </w:rPr>
        <w:t xml:space="preserve"> </w:t>
      </w:r>
      <w:r>
        <w:rPr>
          <w:rFonts w:hint="eastAsia" w:asciiTheme="minorEastAsia" w:hAnsiTheme="minorEastAsia" w:eastAsiaTheme="minorEastAsia" w:cstheme="minorEastAsia"/>
          <w:color w:val="auto"/>
          <w:sz w:val="28"/>
          <w:szCs w:val="28"/>
        </w:rPr>
        <w:t>对</w:t>
      </w:r>
      <w:r>
        <w:rPr>
          <w:rFonts w:hint="eastAsia" w:asciiTheme="minorEastAsia" w:hAnsiTheme="minorEastAsia" w:eastAsiaTheme="minorEastAsia" w:cstheme="minorEastAsia"/>
          <w:color w:val="auto"/>
          <w:sz w:val="28"/>
          <w:szCs w:val="28"/>
          <w:u w:val="single"/>
        </w:rPr>
        <w:t xml:space="preserve"> </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u w:val="single"/>
        </w:rPr>
        <w:t xml:space="preserve">  </w:t>
      </w:r>
      <w:r>
        <w:rPr>
          <w:rFonts w:hint="eastAsia" w:asciiTheme="minorEastAsia" w:hAnsiTheme="minorEastAsia" w:eastAsiaTheme="minorEastAsia" w:cstheme="minorEastAsia"/>
          <w:color w:val="auto"/>
          <w:sz w:val="28"/>
          <w:szCs w:val="28"/>
        </w:rPr>
        <w:t>进行</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采购（</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编号</w:t>
      </w:r>
      <w:r>
        <w:rPr>
          <w:rFonts w:hint="eastAsia" w:asciiTheme="minorEastAsia" w:hAnsiTheme="minorEastAsia" w:eastAsiaTheme="minorEastAsia" w:cstheme="minorEastAsia"/>
          <w:color w:val="auto"/>
          <w:sz w:val="28"/>
          <w:szCs w:val="28"/>
          <w:u w:val="single"/>
        </w:rPr>
        <w:t>：</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rPr>
        <w:t>）的</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结果，乙方为中标人，现依照</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文件及相关文件的内容，双方达成如下协议：</w:t>
      </w:r>
    </w:p>
    <w:p w14:paraId="0B9F8872">
      <w:pPr>
        <w:pStyle w:val="29"/>
        <w:numPr>
          <w:ilvl w:val="0"/>
          <w:numId w:val="3"/>
        </w:numPr>
        <w:spacing w:line="360" w:lineRule="auto"/>
        <w:ind w:firstLineChars="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合同标的和合同价格</w:t>
      </w:r>
    </w:p>
    <w:tbl>
      <w:tblPr>
        <w:tblStyle w:val="16"/>
        <w:tblpPr w:leftFromText="180" w:rightFromText="180" w:vertAnchor="text" w:horzAnchor="page" w:tblpX="2151" w:tblpY="189"/>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9"/>
        <w:gridCol w:w="1489"/>
        <w:gridCol w:w="1490"/>
        <w:gridCol w:w="1736"/>
        <w:gridCol w:w="2693"/>
      </w:tblGrid>
      <w:tr w14:paraId="6CF5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489" w:type="dxa"/>
            <w:tcBorders>
              <w:bottom w:val="single" w:color="auto" w:sz="4" w:space="0"/>
            </w:tcBorders>
            <w:vAlign w:val="center"/>
          </w:tcPr>
          <w:p w14:paraId="5D26880C">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产品名称</w:t>
            </w:r>
          </w:p>
        </w:tc>
        <w:tc>
          <w:tcPr>
            <w:tcW w:w="1489" w:type="dxa"/>
            <w:tcBorders>
              <w:bottom w:val="single" w:color="auto" w:sz="4" w:space="0"/>
            </w:tcBorders>
            <w:vAlign w:val="center"/>
          </w:tcPr>
          <w:p w14:paraId="717D47A3">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规格</w:t>
            </w:r>
          </w:p>
        </w:tc>
        <w:tc>
          <w:tcPr>
            <w:tcW w:w="1490" w:type="dxa"/>
            <w:tcBorders>
              <w:bottom w:val="single" w:color="auto" w:sz="4" w:space="0"/>
            </w:tcBorders>
            <w:vAlign w:val="center"/>
          </w:tcPr>
          <w:p w14:paraId="662A7805">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单 价</w:t>
            </w:r>
          </w:p>
        </w:tc>
        <w:tc>
          <w:tcPr>
            <w:tcW w:w="1736" w:type="dxa"/>
            <w:tcBorders>
              <w:bottom w:val="single" w:color="auto" w:sz="4" w:space="0"/>
            </w:tcBorders>
            <w:vAlign w:val="center"/>
          </w:tcPr>
          <w:p w14:paraId="39F26F68">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数 量</w:t>
            </w:r>
          </w:p>
        </w:tc>
        <w:tc>
          <w:tcPr>
            <w:tcW w:w="2693" w:type="dxa"/>
            <w:tcBorders>
              <w:bottom w:val="single" w:color="auto" w:sz="4" w:space="0"/>
            </w:tcBorders>
            <w:vAlign w:val="center"/>
          </w:tcPr>
          <w:p w14:paraId="23519A13">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总 价</w:t>
            </w:r>
          </w:p>
        </w:tc>
      </w:tr>
      <w:tr w14:paraId="3D46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489" w:type="dxa"/>
            <w:tcBorders>
              <w:bottom w:val="single" w:color="auto" w:sz="4" w:space="0"/>
            </w:tcBorders>
            <w:vAlign w:val="center"/>
          </w:tcPr>
          <w:p w14:paraId="168FD19E">
            <w:pPr>
              <w:jc w:val="center"/>
              <w:rPr>
                <w:rFonts w:hint="eastAsia" w:asciiTheme="minorEastAsia" w:hAnsiTheme="minorEastAsia" w:eastAsiaTheme="minorEastAsia" w:cstheme="minorEastAsia"/>
                <w:color w:val="auto"/>
                <w:sz w:val="28"/>
                <w:szCs w:val="28"/>
                <w:lang w:val="en-US" w:eastAsia="zh-CN"/>
              </w:rPr>
            </w:pPr>
          </w:p>
        </w:tc>
        <w:tc>
          <w:tcPr>
            <w:tcW w:w="1489" w:type="dxa"/>
            <w:tcBorders>
              <w:bottom w:val="single" w:color="auto" w:sz="4" w:space="0"/>
            </w:tcBorders>
            <w:vAlign w:val="center"/>
          </w:tcPr>
          <w:p w14:paraId="56BC2968">
            <w:pPr>
              <w:jc w:val="center"/>
              <w:rPr>
                <w:rFonts w:hint="eastAsia" w:asciiTheme="minorEastAsia" w:hAnsiTheme="minorEastAsia" w:eastAsiaTheme="minorEastAsia" w:cstheme="minorEastAsia"/>
                <w:color w:val="auto"/>
                <w:sz w:val="28"/>
                <w:szCs w:val="28"/>
              </w:rPr>
            </w:pPr>
          </w:p>
        </w:tc>
        <w:tc>
          <w:tcPr>
            <w:tcW w:w="1490" w:type="dxa"/>
            <w:tcBorders>
              <w:bottom w:val="single" w:color="auto" w:sz="4" w:space="0"/>
            </w:tcBorders>
            <w:vAlign w:val="center"/>
          </w:tcPr>
          <w:p w14:paraId="771917A9">
            <w:pPr>
              <w:jc w:val="center"/>
              <w:rPr>
                <w:rFonts w:hint="eastAsia" w:asciiTheme="minorEastAsia" w:hAnsiTheme="minorEastAsia" w:eastAsiaTheme="minorEastAsia" w:cstheme="minorEastAsia"/>
                <w:color w:val="auto"/>
                <w:sz w:val="28"/>
                <w:szCs w:val="28"/>
              </w:rPr>
            </w:pPr>
          </w:p>
        </w:tc>
        <w:tc>
          <w:tcPr>
            <w:tcW w:w="1736" w:type="dxa"/>
            <w:tcBorders>
              <w:bottom w:val="single" w:color="auto" w:sz="4" w:space="0"/>
            </w:tcBorders>
            <w:vAlign w:val="center"/>
          </w:tcPr>
          <w:p w14:paraId="4E10543E">
            <w:pPr>
              <w:widowControl/>
              <w:jc w:val="center"/>
              <w:textAlignment w:val="center"/>
              <w:rPr>
                <w:rFonts w:hint="eastAsia" w:asciiTheme="minorEastAsia" w:hAnsiTheme="minorEastAsia" w:eastAsiaTheme="minorEastAsia" w:cstheme="minorEastAsia"/>
                <w:color w:val="auto"/>
                <w:sz w:val="28"/>
                <w:szCs w:val="28"/>
              </w:rPr>
            </w:pPr>
          </w:p>
        </w:tc>
        <w:tc>
          <w:tcPr>
            <w:tcW w:w="2693" w:type="dxa"/>
            <w:tcBorders>
              <w:bottom w:val="single" w:color="auto" w:sz="4" w:space="0"/>
            </w:tcBorders>
            <w:vAlign w:val="center"/>
          </w:tcPr>
          <w:p w14:paraId="629E5F9E">
            <w:pPr>
              <w:jc w:val="center"/>
              <w:rPr>
                <w:rFonts w:hint="eastAsia" w:asciiTheme="minorEastAsia" w:hAnsiTheme="minorEastAsia" w:eastAsiaTheme="minorEastAsia" w:cstheme="minorEastAsia"/>
                <w:color w:val="auto"/>
                <w:sz w:val="28"/>
                <w:szCs w:val="28"/>
              </w:rPr>
            </w:pPr>
          </w:p>
        </w:tc>
      </w:tr>
      <w:tr w14:paraId="04533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1489" w:type="dxa"/>
            <w:tcBorders>
              <w:bottom w:val="single" w:color="auto" w:sz="4" w:space="0"/>
            </w:tcBorders>
            <w:vAlign w:val="center"/>
          </w:tcPr>
          <w:p w14:paraId="14EF2699">
            <w:pPr>
              <w:keepNext w:val="0"/>
              <w:keepLines w:val="0"/>
              <w:widowControl/>
              <w:suppressLineNumbers w:val="0"/>
              <w:jc w:val="center"/>
              <w:textAlignment w:val="center"/>
              <w:rPr>
                <w:rFonts w:hint="eastAsia" w:asciiTheme="minorEastAsia" w:hAnsiTheme="minorEastAsia" w:eastAsiaTheme="minorEastAsia" w:cstheme="minorEastAsia"/>
                <w:color w:val="auto"/>
                <w:sz w:val="28"/>
                <w:szCs w:val="28"/>
                <w:lang w:val="en-US" w:eastAsia="zh-CN"/>
              </w:rPr>
            </w:pPr>
          </w:p>
        </w:tc>
        <w:tc>
          <w:tcPr>
            <w:tcW w:w="1489" w:type="dxa"/>
            <w:tcBorders>
              <w:bottom w:val="single" w:color="auto" w:sz="4" w:space="0"/>
            </w:tcBorders>
            <w:vAlign w:val="center"/>
          </w:tcPr>
          <w:p w14:paraId="1F3DE52E">
            <w:pPr>
              <w:jc w:val="center"/>
              <w:rPr>
                <w:rFonts w:hint="eastAsia" w:asciiTheme="minorEastAsia" w:hAnsiTheme="minorEastAsia" w:eastAsiaTheme="minorEastAsia" w:cstheme="minorEastAsia"/>
                <w:color w:val="auto"/>
                <w:sz w:val="28"/>
                <w:szCs w:val="28"/>
              </w:rPr>
            </w:pPr>
          </w:p>
        </w:tc>
        <w:tc>
          <w:tcPr>
            <w:tcW w:w="1490" w:type="dxa"/>
            <w:tcBorders>
              <w:bottom w:val="single" w:color="auto" w:sz="4" w:space="0"/>
            </w:tcBorders>
            <w:vAlign w:val="center"/>
          </w:tcPr>
          <w:p w14:paraId="59ACEC08">
            <w:pPr>
              <w:jc w:val="center"/>
              <w:rPr>
                <w:rFonts w:hint="eastAsia" w:asciiTheme="minorEastAsia" w:hAnsiTheme="minorEastAsia" w:eastAsiaTheme="minorEastAsia" w:cstheme="minorEastAsia"/>
                <w:color w:val="auto"/>
                <w:sz w:val="28"/>
                <w:szCs w:val="28"/>
                <w:lang w:val="en-US" w:eastAsia="zh-CN"/>
              </w:rPr>
            </w:pPr>
          </w:p>
        </w:tc>
        <w:tc>
          <w:tcPr>
            <w:tcW w:w="1736" w:type="dxa"/>
            <w:tcBorders>
              <w:bottom w:val="single" w:color="auto" w:sz="4" w:space="0"/>
            </w:tcBorders>
            <w:vAlign w:val="center"/>
          </w:tcPr>
          <w:p w14:paraId="2533B26D">
            <w:pPr>
              <w:widowControl/>
              <w:jc w:val="center"/>
              <w:textAlignment w:val="center"/>
              <w:rPr>
                <w:rFonts w:hint="eastAsia" w:asciiTheme="minorEastAsia" w:hAnsiTheme="minorEastAsia" w:eastAsiaTheme="minorEastAsia" w:cstheme="minorEastAsia"/>
                <w:color w:val="auto"/>
                <w:sz w:val="28"/>
                <w:szCs w:val="28"/>
              </w:rPr>
            </w:pPr>
          </w:p>
        </w:tc>
        <w:tc>
          <w:tcPr>
            <w:tcW w:w="2693" w:type="dxa"/>
            <w:tcBorders>
              <w:bottom w:val="single" w:color="auto" w:sz="4" w:space="0"/>
            </w:tcBorders>
            <w:vAlign w:val="center"/>
          </w:tcPr>
          <w:p w14:paraId="4C5DBA41">
            <w:pPr>
              <w:jc w:val="center"/>
              <w:rPr>
                <w:rFonts w:hint="eastAsia" w:asciiTheme="minorEastAsia" w:hAnsiTheme="minorEastAsia" w:eastAsiaTheme="minorEastAsia" w:cstheme="minorEastAsia"/>
                <w:color w:val="auto"/>
                <w:sz w:val="28"/>
                <w:szCs w:val="28"/>
                <w:lang w:val="en-US" w:eastAsia="zh-CN"/>
              </w:rPr>
            </w:pPr>
          </w:p>
        </w:tc>
      </w:tr>
      <w:tr w14:paraId="1B80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8897" w:type="dxa"/>
            <w:gridSpan w:val="5"/>
            <w:vAlign w:val="center"/>
          </w:tcPr>
          <w:p w14:paraId="64668C75">
            <w:pPr>
              <w:jc w:val="center"/>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合同总金额（大写）人民币：</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w:t>
            </w:r>
          </w:p>
        </w:tc>
      </w:tr>
    </w:tbl>
    <w:p w14:paraId="5A74D98A">
      <w:pPr>
        <w:spacing w:line="360" w:lineRule="auto"/>
        <w:rPr>
          <w:rFonts w:hint="eastAsia" w:asciiTheme="minorEastAsia" w:hAnsiTheme="minorEastAsia" w:eastAsiaTheme="minorEastAsia" w:cstheme="minorEastAsia"/>
          <w:color w:val="auto"/>
          <w:sz w:val="28"/>
          <w:szCs w:val="28"/>
        </w:rPr>
      </w:pPr>
    </w:p>
    <w:p w14:paraId="280591E7">
      <w:pPr>
        <w:pStyle w:val="15"/>
        <w:rPr>
          <w:rFonts w:hint="eastAsia" w:asciiTheme="minorEastAsia" w:hAnsiTheme="minorEastAsia" w:eastAsiaTheme="minorEastAsia" w:cstheme="minorEastAsia"/>
          <w:color w:val="auto"/>
          <w:sz w:val="28"/>
          <w:szCs w:val="28"/>
        </w:rPr>
      </w:pPr>
    </w:p>
    <w:p w14:paraId="73F11169">
      <w:pPr>
        <w:pStyle w:val="15"/>
        <w:rPr>
          <w:rFonts w:hint="eastAsia" w:asciiTheme="minorEastAsia" w:hAnsiTheme="minorEastAsia" w:eastAsiaTheme="minorEastAsia" w:cstheme="minorEastAsia"/>
          <w:color w:val="auto"/>
          <w:sz w:val="28"/>
          <w:szCs w:val="28"/>
        </w:rPr>
      </w:pPr>
    </w:p>
    <w:p w14:paraId="79F66479">
      <w:pPr>
        <w:pStyle w:val="15"/>
        <w:rPr>
          <w:rFonts w:hint="eastAsia" w:asciiTheme="minorEastAsia" w:hAnsiTheme="minorEastAsia" w:eastAsiaTheme="minorEastAsia" w:cstheme="minorEastAsia"/>
          <w:color w:val="auto"/>
          <w:sz w:val="28"/>
          <w:szCs w:val="28"/>
        </w:rPr>
      </w:pPr>
    </w:p>
    <w:p w14:paraId="60B9A230">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2、交货时间和交货地点</w:t>
      </w:r>
    </w:p>
    <w:p w14:paraId="4802A7A3">
      <w:pPr>
        <w:spacing w:line="360" w:lineRule="auto"/>
        <w:ind w:firstLine="48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2.1交货时间：202</w:t>
      </w:r>
      <w:r>
        <w:rPr>
          <w:rFonts w:hint="eastAsia" w:asciiTheme="minorEastAsia" w:hAnsiTheme="minorEastAsia" w:eastAsia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年11月份完成。甲方不定期到乙方检查苗种生长情况，当达到协议供苗规格时，供苗时间视甲方工作安排和天气情况，甲方提前5天电话告知乙方准备苗种。</w:t>
      </w:r>
    </w:p>
    <w:p w14:paraId="6BA293F7">
      <w:pPr>
        <w:spacing w:line="360" w:lineRule="auto"/>
        <w:ind w:firstLine="48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2.2交货地点：</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rPr>
        <w:t xml:space="preserve">。             </w:t>
      </w:r>
    </w:p>
    <w:p w14:paraId="727DD2A8">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3、付款方式与条件</w:t>
      </w:r>
    </w:p>
    <w:p w14:paraId="056793F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乙方完成合同约定投苗并通过验收后及时向甲方提供正式发票，甲方收到正式发票做好审批手续后以转账方式将苗种款转至乙方银行基本结算账户。</w:t>
      </w:r>
    </w:p>
    <w:p w14:paraId="72C083D4">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4、质量要求和技术标准</w:t>
      </w:r>
    </w:p>
    <w:p w14:paraId="3C3C3D60">
      <w:pPr>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苗种规格整齐、无畸形，健康、活动能力强，无病害，体表无明显出血，无明显寄生虫，鱼类鳞片无明显脱落。苗种起运前，乙方应向甲方提供近期苗种药残检测报告（有资质的检测部门或采购单位、供应商辖区渔业主管部门药残快检报告单），检测项目为氯霉素、孔雀石绿、硝基呋喃类代谢物。检测不合格的不得起运，甲方有权终止乙方供苗资格。样品中超过5%数量的苗种未达到质量要求（主要指畸形、明显脱鳞、脱粘、出血苗种）的，甲方不予验收，由乙方无条件更换苗种。</w:t>
      </w:r>
      <w:r>
        <w:rPr>
          <w:rFonts w:hint="eastAsia" w:asciiTheme="minorEastAsia" w:hAnsiTheme="minorEastAsia" w:eastAsiaTheme="minorEastAsia" w:cstheme="minorEastAsia"/>
          <w:color w:val="auto"/>
          <w:sz w:val="28"/>
          <w:szCs w:val="28"/>
          <w:lang w:val="en-US" w:eastAsia="zh-CN"/>
        </w:rPr>
        <w:t>采购标的规格不符合规定参数的</w:t>
      </w:r>
      <w:r>
        <w:rPr>
          <w:rFonts w:hint="eastAsia" w:asciiTheme="minorEastAsia" w:hAnsiTheme="minorEastAsia" w:eastAsiaTheme="minorEastAsia" w:cstheme="minorEastAsia"/>
          <w:color w:val="auto"/>
          <w:sz w:val="28"/>
          <w:szCs w:val="28"/>
        </w:rPr>
        <w:t>，甲方不予验收。</w:t>
      </w:r>
    </w:p>
    <w:p w14:paraId="6A817E08">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5、验收</w:t>
      </w:r>
    </w:p>
    <w:p w14:paraId="78663A0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5.1、装运方式：鱼桶（箱）、氧气袋打包</w:t>
      </w:r>
    </w:p>
    <w:p w14:paraId="6AA4BFC8">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5.2、验收地点：</w:t>
      </w:r>
      <w:r>
        <w:rPr>
          <w:rFonts w:hint="eastAsia" w:asciiTheme="minorEastAsia" w:hAnsiTheme="minorEastAsia" w:eastAsiaTheme="minorEastAsia" w:cstheme="minorEastAsia"/>
          <w:color w:val="auto"/>
          <w:sz w:val="28"/>
          <w:szCs w:val="28"/>
          <w:u w:val="single"/>
          <w:lang w:val="en-US" w:eastAsia="zh-CN"/>
        </w:rPr>
        <w:t xml:space="preserve">           </w:t>
      </w:r>
      <w:r>
        <w:rPr>
          <w:rFonts w:hint="eastAsia" w:asciiTheme="minorEastAsia" w:hAnsiTheme="minorEastAsia" w:eastAsiaTheme="minorEastAsia" w:cstheme="minorEastAsia"/>
          <w:color w:val="auto"/>
          <w:sz w:val="28"/>
          <w:szCs w:val="28"/>
        </w:rPr>
        <w:t>。</w:t>
      </w:r>
    </w:p>
    <w:p w14:paraId="1A53209C">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5.3、验收：甲方</w:t>
      </w:r>
      <w:r>
        <w:rPr>
          <w:rFonts w:hint="eastAsia" w:asciiTheme="minorEastAsia" w:hAnsiTheme="minorEastAsia" w:eastAsiaTheme="minorEastAsia" w:cstheme="minorEastAsia"/>
          <w:color w:val="auto"/>
          <w:sz w:val="28"/>
          <w:szCs w:val="28"/>
          <w:lang w:val="en-US" w:eastAsia="zh-CN"/>
        </w:rPr>
        <w:t>按照《</w:t>
      </w:r>
      <w:r>
        <w:rPr>
          <w:rFonts w:hint="eastAsia" w:asciiTheme="minorEastAsia" w:hAnsiTheme="minorEastAsia" w:eastAsiaTheme="minorEastAsia" w:cstheme="minorEastAsia"/>
          <w:color w:val="auto"/>
          <w:sz w:val="28"/>
          <w:szCs w:val="28"/>
        </w:rPr>
        <w:t>龙岩市农业农村局关于规范财政资金增殖放流项目苗种现场验收流程的通知</w:t>
      </w:r>
      <w:r>
        <w:rPr>
          <w:rFonts w:hint="eastAsia" w:asciiTheme="minorEastAsia" w:hAnsiTheme="minorEastAsia" w:eastAsiaTheme="minorEastAsia" w:cstheme="minorEastAsia"/>
          <w:color w:val="auto"/>
          <w:sz w:val="28"/>
          <w:szCs w:val="28"/>
          <w:lang w:val="en-US" w:eastAsia="zh-CN"/>
        </w:rPr>
        <w:t>》要求组织</w:t>
      </w:r>
      <w:r>
        <w:rPr>
          <w:rFonts w:hint="eastAsia" w:asciiTheme="minorEastAsia" w:hAnsiTheme="minorEastAsia" w:eastAsiaTheme="minorEastAsia" w:cstheme="minorEastAsia"/>
          <w:color w:val="auto"/>
          <w:sz w:val="28"/>
          <w:szCs w:val="28"/>
        </w:rPr>
        <w:t>验收。</w:t>
      </w:r>
    </w:p>
    <w:p w14:paraId="094C1026">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5.4、抽样比例与计数办法：抽样比例为20%。抽样重（数）量少于乙方自报重（数）量时，该批次苗种全部按抽样差率扣数；多于乙方自报重（数）量时，按自报重（数）量计数。少于合同约定供应量的，乙应组织第二次供苗，供苗量应等于合同约定供应量。超出合同约定供应量的，由乙方自行处理。</w:t>
      </w:r>
    </w:p>
    <w:p w14:paraId="69E05472">
      <w:pPr>
        <w:spacing w:line="360" w:lineRule="auto"/>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双方对抽样有异议的，可重新抽样。重抽方法按照《龙岩市农业农村局关于规范财政资金增殖放流项目苗种现场验收流程的通知》执行。</w:t>
      </w:r>
    </w:p>
    <w:p w14:paraId="732F87B1">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6、违约责任</w:t>
      </w:r>
    </w:p>
    <w:p w14:paraId="728D3E13">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6.1未按期交货的违约责任</w:t>
      </w:r>
    </w:p>
    <w:p w14:paraId="60CCECD1">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6.1.1如果乙方未能按合同规定的时间按时足额交货和的（不可抗力除外），在乙方书面同意支付延期交货违约金的条件下，甲方有权选择同意延长交货期还是不予延长交货期，甲方同意延长交货期的，延期交货的时间由双方别行确定。延期交货违约金的支付甲方有权从未付的合同货款中扣除。延期交货违约金按迟交货物金额的</w:t>
      </w:r>
      <w:r>
        <w:rPr>
          <w:rFonts w:hint="eastAsia" w:asciiTheme="minorEastAsia" w:hAnsiTheme="minorEastAsia" w:eastAsiaTheme="minorEastAsia" w:cstheme="minorEastAsia"/>
          <w:color w:val="auto"/>
          <w:sz w:val="28"/>
          <w:szCs w:val="28"/>
          <w:u w:val="single"/>
        </w:rPr>
        <w:t xml:space="preserve"> 3 </w:t>
      </w:r>
      <w:r>
        <w:rPr>
          <w:rFonts w:hint="eastAsia" w:asciiTheme="minorEastAsia" w:hAnsiTheme="minorEastAsia" w:eastAsiaTheme="minorEastAsia" w:cstheme="minorEastAsia"/>
          <w:color w:val="auto"/>
          <w:sz w:val="28"/>
          <w:szCs w:val="28"/>
        </w:rPr>
        <w:t>％。</w:t>
      </w:r>
    </w:p>
    <w:p w14:paraId="221F603E">
      <w:pPr>
        <w:spacing w:line="360" w:lineRule="auto"/>
        <w:ind w:firstLine="420" w:firstLineChars="15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6.1.2如果乙方未能按合同规定的时间或双方另行确定的延期交货期按时足额交货的（不可抗力除外），乙方应按迟交货物金额的</w:t>
      </w:r>
      <w:r>
        <w:rPr>
          <w:rFonts w:hint="eastAsia" w:asciiTheme="minorEastAsia" w:hAnsiTheme="minorEastAsia" w:eastAsiaTheme="minorEastAsia" w:cstheme="minorEastAsia"/>
          <w:color w:val="auto"/>
          <w:sz w:val="28"/>
          <w:szCs w:val="28"/>
          <w:u w:val="single"/>
        </w:rPr>
        <w:t xml:space="preserve"> 5 </w:t>
      </w:r>
      <w:r>
        <w:rPr>
          <w:rFonts w:hint="eastAsia" w:asciiTheme="minorEastAsia" w:hAnsiTheme="minorEastAsia" w:eastAsiaTheme="minorEastAsia" w:cstheme="minorEastAsia"/>
          <w:color w:val="auto"/>
          <w:sz w:val="28"/>
          <w:szCs w:val="28"/>
        </w:rPr>
        <w:t>％向甲方支付逾期交货的违约金。逾期交货违约金的支付甲方有权从未付的合同货款中予以扣除。若乙方逾期交货达30天（含30天）以上的，甲方有权单方解除本合同，乙方仍应按上述约定支付延期交货违约金。</w:t>
      </w:r>
    </w:p>
    <w:p w14:paraId="47431F5A">
      <w:pPr>
        <w:spacing w:line="360" w:lineRule="auto"/>
        <w:ind w:firstLine="6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6.2若乙方不能交货的或交货不合格从而影响甲方正常使用的，乙方应向甲方偿付不能交货部分货款的</w:t>
      </w:r>
      <w:r>
        <w:rPr>
          <w:rFonts w:hint="eastAsia" w:asciiTheme="minorEastAsia" w:hAnsiTheme="minorEastAsia" w:eastAsiaTheme="minorEastAsia" w:cstheme="minorEastAsia"/>
          <w:color w:val="auto"/>
          <w:sz w:val="28"/>
          <w:szCs w:val="28"/>
          <w:u w:val="single"/>
        </w:rPr>
        <w:t xml:space="preserve"> 5 </w:t>
      </w:r>
      <w:r>
        <w:rPr>
          <w:rFonts w:hint="eastAsia" w:asciiTheme="minorEastAsia" w:hAnsiTheme="minorEastAsia" w:eastAsiaTheme="minorEastAsia" w:cstheme="minorEastAsia"/>
          <w:color w:val="auto"/>
          <w:sz w:val="28"/>
          <w:szCs w:val="28"/>
        </w:rPr>
        <w:t>％的违约金。违约金不足以补偿损失的，甲方有权要求乙方赔偿实际产生的损失。</w:t>
      </w:r>
    </w:p>
    <w:p w14:paraId="6B284F22">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7、违约终止合同</w:t>
      </w:r>
    </w:p>
    <w:p w14:paraId="7CA2A023">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7.1在补救违约而采取的任何其他措施未能实现的情况下，即在甲方发出的违约通知后30天内（或经甲方书面确认的更长时间内）仍未纠正其下述任何一种违约行为，甲方有权向乙方发出书面违约通知，甲方终止本合同：  </w:t>
      </w:r>
    </w:p>
    <w:p w14:paraId="5BC6C8CD">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7.1.1如果乙方未能在合同规定的期限内或双方另行确定的延期交货时间内交付合同约定的货物。</w:t>
      </w:r>
    </w:p>
    <w:p w14:paraId="20C06450">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7.1.2乙方未能履行合同项下的任何其它义务。</w:t>
      </w:r>
    </w:p>
    <w:p w14:paraId="2A54FE62">
      <w:pPr>
        <w:spacing w:line="360" w:lineRule="auto"/>
        <w:ind w:firstLine="12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8、不可抗力</w:t>
      </w:r>
    </w:p>
    <w:p w14:paraId="629C541E">
      <w:pPr>
        <w:spacing w:line="360" w:lineRule="auto"/>
        <w:ind w:firstLine="48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因不可抗力造成违约的，遭受不可抗力一方应及时向对方通报不能履行或不能完全履行的理由，并在随后取得有关主管机关证明后的15日内向另一方提供不可抗力发生以及持续期间的充分证据。基本于以上行为，允许遭受不可抗力一方延期履行、部分履行或者不履行合同，并根据情况可部分或全部免于承担违约责任。</w:t>
      </w:r>
    </w:p>
    <w:p w14:paraId="5A3BE573">
      <w:pPr>
        <w:spacing w:line="360" w:lineRule="auto"/>
        <w:ind w:firstLine="6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本合同中的不可抗力指不能预见、不能避免并不能克服的客观情况。包括但不限于：自然灾害如地震、台风、洪水、火灾；政府行为、法律规定或其适用的变化或者其他任何无法预见、避免或者控制的事件。</w:t>
      </w:r>
    </w:p>
    <w:p w14:paraId="15C3406A">
      <w:pPr>
        <w:spacing w:line="360" w:lineRule="auto"/>
        <w:ind w:firstLine="12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9、合同纠纷处理方式：因本合同或与本合同有关的一切事项发生争议，由双方友好协商解决。协商不成的，向甲方所在地的人民法院提起诉讼。</w:t>
      </w:r>
    </w:p>
    <w:p w14:paraId="15AD74E0">
      <w:pPr>
        <w:spacing w:line="360" w:lineRule="auto"/>
        <w:ind w:firstLine="12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10、其他约定</w:t>
      </w:r>
    </w:p>
    <w:p w14:paraId="1898FE80">
      <w:pPr>
        <w:spacing w:line="360" w:lineRule="auto"/>
        <w:ind w:firstLine="700" w:firstLineChars="25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10.1本采购项目的</w:t>
      </w:r>
      <w:r>
        <w:rPr>
          <w:rFonts w:hint="eastAsia" w:asciiTheme="minorEastAsia" w:hAnsiTheme="minorEastAsia" w:eastAsiaTheme="minorEastAsia" w:cstheme="minorEastAsia"/>
          <w:color w:val="auto"/>
          <w:sz w:val="28"/>
          <w:szCs w:val="28"/>
          <w:lang w:eastAsia="zh-CN"/>
        </w:rPr>
        <w:t>竞价</w:t>
      </w:r>
      <w:r>
        <w:rPr>
          <w:rFonts w:hint="eastAsia" w:asciiTheme="minorEastAsia" w:hAnsiTheme="minorEastAsia" w:eastAsiaTheme="minorEastAsia" w:cstheme="minorEastAsia"/>
          <w:color w:val="auto"/>
          <w:sz w:val="28"/>
          <w:szCs w:val="28"/>
        </w:rPr>
        <w:t>文件、中标人的投标文件以及相关的澄清确认函（如果有的话）均为本合同不可分割的一部分，与本合同具有同等法律效力。</w:t>
      </w:r>
    </w:p>
    <w:p w14:paraId="5C12BC2A">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10.2本合同未尽事宜，双方另行补充。</w:t>
      </w:r>
    </w:p>
    <w:p w14:paraId="431CE2A3">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     10.3本合同一式</w:t>
      </w:r>
      <w:r>
        <w:rPr>
          <w:rFonts w:hint="eastAsia" w:asciiTheme="minorEastAsia" w:hAnsiTheme="minorEastAsia" w:eastAsiaTheme="minorEastAsia" w:cstheme="minorEastAsia"/>
          <w:color w:val="auto"/>
          <w:sz w:val="28"/>
          <w:szCs w:val="28"/>
          <w:lang w:val="en-US" w:eastAsia="zh-CN"/>
        </w:rPr>
        <w:t>三</w:t>
      </w:r>
      <w:r>
        <w:rPr>
          <w:rFonts w:hint="eastAsia" w:asciiTheme="minorEastAsia" w:hAnsiTheme="minorEastAsia" w:eastAsiaTheme="minorEastAsia" w:cstheme="minorEastAsia"/>
          <w:color w:val="auto"/>
          <w:sz w:val="28"/>
          <w:szCs w:val="28"/>
        </w:rPr>
        <w:t>份，经双方授权代表签字并盖章后生效。甲方</w:t>
      </w:r>
      <w:r>
        <w:rPr>
          <w:rFonts w:hint="eastAsia" w:asciiTheme="minorEastAsia" w:hAnsiTheme="minorEastAsia" w:eastAsiaTheme="minorEastAsia" w:cstheme="minorEastAsia"/>
          <w:color w:val="auto"/>
          <w:sz w:val="28"/>
          <w:szCs w:val="28"/>
          <w:lang w:val="en-US" w:eastAsia="zh-CN"/>
        </w:rPr>
        <w:t>二份</w:t>
      </w:r>
      <w:r>
        <w:rPr>
          <w:rFonts w:hint="eastAsia" w:asciiTheme="minorEastAsia" w:hAnsiTheme="minorEastAsia" w:eastAsiaTheme="minorEastAsia" w:cstheme="minorEastAsia"/>
          <w:color w:val="auto"/>
          <w:sz w:val="28"/>
          <w:szCs w:val="28"/>
        </w:rPr>
        <w:t>、乙方一份。</w:t>
      </w:r>
    </w:p>
    <w:p w14:paraId="1D3D3753">
      <w:pPr>
        <w:pStyle w:val="15"/>
        <w:rPr>
          <w:rFonts w:hint="eastAsia"/>
          <w:color w:val="auto"/>
        </w:rPr>
      </w:pPr>
    </w:p>
    <w:p w14:paraId="46668401">
      <w:pPr>
        <w:pStyle w:val="15"/>
        <w:ind w:firstLine="1960" w:firstLineChars="7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lang w:val="en-US" w:eastAsia="zh-CN"/>
        </w:rPr>
        <w:t>以下无正文</w:t>
      </w:r>
      <w:r>
        <w:rPr>
          <w:rFonts w:hint="eastAsia" w:asciiTheme="minorEastAsia" w:hAnsiTheme="minorEastAsia" w:eastAsiaTheme="minorEastAsia" w:cstheme="minorEastAsia"/>
          <w:color w:val="auto"/>
          <w:sz w:val="28"/>
          <w:szCs w:val="28"/>
          <w:lang w:eastAsia="zh-CN"/>
        </w:rPr>
        <w:t>）</w:t>
      </w:r>
      <w:r>
        <w:rPr>
          <w:rFonts w:hint="eastAsia" w:asciiTheme="minorEastAsia" w:hAnsiTheme="minorEastAsia" w:eastAsiaTheme="minorEastAsia" w:cstheme="minorEastAsia"/>
          <w:color w:val="auto"/>
          <w:sz w:val="28"/>
          <w:szCs w:val="28"/>
        </w:rPr>
        <w:br w:type="page"/>
      </w:r>
    </w:p>
    <w:p w14:paraId="080830D4">
      <w:pPr>
        <w:pStyle w:val="15"/>
        <w:rPr>
          <w:rFonts w:hint="eastAsia" w:asciiTheme="minorEastAsia" w:hAnsiTheme="minorEastAsia" w:eastAsiaTheme="minorEastAsia" w:cstheme="minorEastAsia"/>
          <w:color w:val="auto"/>
          <w:sz w:val="28"/>
          <w:szCs w:val="28"/>
        </w:rPr>
      </w:pPr>
    </w:p>
    <w:p w14:paraId="506DA4C6">
      <w:pPr>
        <w:jc w:val="center"/>
        <w:rPr>
          <w:rFonts w:hint="eastAsia" w:ascii="宋体" w:hAnsi="宋体" w:eastAsia="宋体" w:cs="宋体"/>
          <w:b/>
          <w:bCs/>
          <w:color w:val="auto"/>
          <w:sz w:val="28"/>
          <w:szCs w:val="28"/>
          <w:highlight w:val="none"/>
          <w:lang w:eastAsia="zh-CN"/>
        </w:rPr>
      </w:pPr>
      <w:r>
        <w:rPr>
          <w:rFonts w:hint="eastAsia" w:ascii="宋体" w:hAnsi="宋体" w:eastAsia="宋体" w:cs="宋体"/>
          <w:b/>
          <w:bCs/>
          <w:color w:val="auto"/>
          <w:sz w:val="28"/>
          <w:szCs w:val="28"/>
          <w:highlight w:val="none"/>
          <w:lang w:eastAsia="zh-CN"/>
        </w:rPr>
        <w:t>（</w:t>
      </w:r>
      <w:r>
        <w:rPr>
          <w:rFonts w:hint="eastAsia" w:ascii="宋体" w:hAnsi="宋体" w:eastAsia="宋体" w:cs="宋体"/>
          <w:b/>
          <w:bCs/>
          <w:color w:val="auto"/>
          <w:sz w:val="28"/>
          <w:szCs w:val="28"/>
          <w:highlight w:val="none"/>
          <w:lang w:val="en-US" w:eastAsia="zh-CN"/>
        </w:rPr>
        <w:t>本页无正文，双方签字盖章处</w:t>
      </w:r>
      <w:r>
        <w:rPr>
          <w:rFonts w:hint="eastAsia" w:ascii="宋体" w:hAnsi="宋体" w:eastAsia="宋体" w:cs="宋体"/>
          <w:b/>
          <w:bCs/>
          <w:color w:val="auto"/>
          <w:sz w:val="28"/>
          <w:szCs w:val="28"/>
          <w:highlight w:val="none"/>
          <w:lang w:eastAsia="zh-CN"/>
        </w:rPr>
        <w:t>）</w:t>
      </w:r>
    </w:p>
    <w:p w14:paraId="7049B035">
      <w:pPr>
        <w:jc w:val="center"/>
        <w:rPr>
          <w:rFonts w:hint="default" w:asciiTheme="minorEastAsia" w:hAnsiTheme="minorEastAsia" w:eastAsiaTheme="minorEastAsia" w:cstheme="minorEastAsia"/>
          <w:color w:val="auto"/>
          <w:sz w:val="28"/>
          <w:szCs w:val="28"/>
          <w:lang w:val="en-US" w:eastAsia="zh-CN"/>
        </w:rPr>
      </w:pPr>
    </w:p>
    <w:p w14:paraId="07C6EF06">
      <w:pPr>
        <w:spacing w:line="360" w:lineRule="auto"/>
        <w:rPr>
          <w:rFonts w:hint="eastAsia" w:asciiTheme="minorEastAsia" w:hAnsiTheme="minorEastAsia" w:eastAsiaTheme="minorEastAsia" w:cstheme="minorEastAsia"/>
          <w:color w:val="auto"/>
          <w:sz w:val="28"/>
          <w:szCs w:val="28"/>
        </w:rPr>
      </w:pPr>
    </w:p>
    <w:p w14:paraId="1EB89D29">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甲    方：                            乙    方：</w:t>
      </w:r>
    </w:p>
    <w:p w14:paraId="2E8F4BB6">
      <w:pPr>
        <w:spacing w:line="360" w:lineRule="auto"/>
        <w:ind w:left="5250" w:hanging="7000" w:hangingChars="2500"/>
        <w:rPr>
          <w:rFonts w:hint="eastAsia" w:asciiTheme="minorEastAsia" w:hAnsiTheme="minorEastAsia" w:eastAsiaTheme="minorEastAsia" w:cstheme="minorEastAsia"/>
          <w:color w:val="auto"/>
          <w:sz w:val="28"/>
          <w:szCs w:val="28"/>
          <w:lang w:val="en-US"/>
        </w:rPr>
      </w:pPr>
      <w:r>
        <w:rPr>
          <w:rFonts w:hint="eastAsia" w:asciiTheme="minorEastAsia" w:hAnsiTheme="minorEastAsia" w:eastAsiaTheme="minorEastAsia" w:cstheme="minorEastAsia"/>
          <w:color w:val="auto"/>
          <w:sz w:val="28"/>
          <w:szCs w:val="28"/>
        </w:rPr>
        <w:t>单位地址：                          单位地址：</w:t>
      </w:r>
      <w:r>
        <w:rPr>
          <w:rFonts w:hint="eastAsia" w:asciiTheme="minorEastAsia" w:hAnsiTheme="minorEastAsia" w:eastAsiaTheme="minorEastAsia" w:cstheme="minorEastAsia"/>
          <w:color w:val="auto"/>
          <w:sz w:val="28"/>
          <w:szCs w:val="28"/>
          <w:lang w:val="en-US" w:eastAsia="zh-CN"/>
        </w:rPr>
        <w:t xml:space="preserve"> </w:t>
      </w:r>
    </w:p>
    <w:p w14:paraId="0337F711">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法定代表人：                          法定代表人：</w:t>
      </w:r>
    </w:p>
    <w:p w14:paraId="147F1E85">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委托代理人：                          委托代理人：</w:t>
      </w:r>
    </w:p>
    <w:p w14:paraId="4D856DCF">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电    话：                            电    话：</w:t>
      </w:r>
    </w:p>
    <w:p w14:paraId="4406DF07">
      <w:pPr>
        <w:spacing w:line="360" w:lineRule="auto"/>
        <w:ind w:right="-1331" w:rightChars="-634"/>
        <w:jc w:val="left"/>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开户银行：                            开户银行：</w:t>
      </w:r>
      <w:r>
        <w:rPr>
          <w:rFonts w:hint="eastAsia" w:asciiTheme="minorEastAsia" w:hAnsiTheme="minorEastAsia" w:eastAsia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rPr>
        <w:t xml:space="preserve">                                  </w:t>
      </w:r>
    </w:p>
    <w:p w14:paraId="2CAB650D">
      <w:pPr>
        <w:spacing w:line="360" w:lineRule="auto"/>
        <w:jc w:val="left"/>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账    号：                            账    号：</w:t>
      </w:r>
      <w:r>
        <w:rPr>
          <w:rFonts w:hint="eastAsia" w:asciiTheme="minorEastAsia" w:hAnsiTheme="minorEastAsia" w:eastAsiaTheme="minorEastAsia" w:cstheme="minorEastAsia"/>
          <w:color w:val="auto"/>
          <w:sz w:val="28"/>
          <w:szCs w:val="28"/>
          <w:lang w:val="en-US" w:eastAsia="zh-CN"/>
        </w:rPr>
        <w:t xml:space="preserve"> </w:t>
      </w:r>
    </w:p>
    <w:p w14:paraId="594E3076">
      <w:pPr>
        <w:spacing w:line="360" w:lineRule="auto"/>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年   月   日                          年   月   日</w:t>
      </w:r>
    </w:p>
    <w:p w14:paraId="5E1D61A2">
      <w:pPr>
        <w:rPr>
          <w:rFonts w:hint="default" w:asciiTheme="minorEastAsia" w:hAnsiTheme="minorEastAsia" w:eastAsiaTheme="minorEastAsia" w:cstheme="minorEastAsia"/>
          <w:color w:val="auto"/>
          <w:sz w:val="28"/>
          <w:szCs w:val="28"/>
          <w:highlight w:val="none"/>
          <w:lang w:val="en-US" w:eastAsia="zh-CN"/>
        </w:rPr>
      </w:pPr>
    </w:p>
    <w:p w14:paraId="1DC2F2F1">
      <w:pPr>
        <w:rPr>
          <w:rFonts w:hint="default" w:asciiTheme="minorEastAsia" w:hAnsiTheme="minorEastAsia" w:eastAsiaTheme="minorEastAsia" w:cstheme="minorEastAsia"/>
          <w:color w:val="auto"/>
          <w:sz w:val="28"/>
          <w:szCs w:val="28"/>
          <w:highlight w:val="none"/>
          <w:lang w:val="en-US" w:eastAsia="zh-CN"/>
        </w:rPr>
      </w:pPr>
    </w:p>
    <w:sectPr>
      <w:footerReference r:id="rId3" w:type="default"/>
      <w:pgSz w:w="11906" w:h="16838"/>
      <w:pgMar w:top="1553" w:right="1531" w:bottom="1553" w:left="147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12"/>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14:paraId="04021E08">
                <w:pPr>
                  <w:pStyle w:val="1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2A9F90"/>
    <w:multiLevelType w:val="singleLevel"/>
    <w:tmpl w:val="E82A9F90"/>
    <w:lvl w:ilvl="0" w:tentative="0">
      <w:start w:val="8"/>
      <w:numFmt w:val="chineseCounting"/>
      <w:suff w:val="nothing"/>
      <w:lvlText w:val="%1、"/>
      <w:lvlJc w:val="left"/>
      <w:rPr>
        <w:rFonts w:hint="eastAsia"/>
      </w:rPr>
    </w:lvl>
  </w:abstractNum>
  <w:abstractNum w:abstractNumId="1">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3"/>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abstractNum w:abstractNumId="2">
    <w:nsid w:val="09DF4EC0"/>
    <w:multiLevelType w:val="multilevel"/>
    <w:tmpl w:val="09DF4EC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GFjMmU0Yjk5NmUyMjAwNzM3OGEzNzg5ZGMyZDkzOWUifQ=="/>
  </w:docVars>
  <w:rsids>
    <w:rsidRoot w:val="3062140F"/>
    <w:rsid w:val="00061656"/>
    <w:rsid w:val="00072DF4"/>
    <w:rsid w:val="000F1B6A"/>
    <w:rsid w:val="001457F7"/>
    <w:rsid w:val="00160F00"/>
    <w:rsid w:val="001A43A7"/>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CA3FAE"/>
    <w:rsid w:val="039E3DB5"/>
    <w:rsid w:val="043164D2"/>
    <w:rsid w:val="04973358"/>
    <w:rsid w:val="06E710CA"/>
    <w:rsid w:val="076D2FEB"/>
    <w:rsid w:val="0804406F"/>
    <w:rsid w:val="081C4C9C"/>
    <w:rsid w:val="0834033F"/>
    <w:rsid w:val="0AD43D25"/>
    <w:rsid w:val="0AEE0C79"/>
    <w:rsid w:val="0B2D79F3"/>
    <w:rsid w:val="0C0C7087"/>
    <w:rsid w:val="0C9C0329"/>
    <w:rsid w:val="0CA830A9"/>
    <w:rsid w:val="0CDA1129"/>
    <w:rsid w:val="0D0C3638"/>
    <w:rsid w:val="0D724C37"/>
    <w:rsid w:val="0DDD71A5"/>
    <w:rsid w:val="0E6A79B6"/>
    <w:rsid w:val="0E8467A8"/>
    <w:rsid w:val="0F153787"/>
    <w:rsid w:val="10554859"/>
    <w:rsid w:val="108A4FA0"/>
    <w:rsid w:val="115251AE"/>
    <w:rsid w:val="128A572B"/>
    <w:rsid w:val="137205A3"/>
    <w:rsid w:val="138E2060"/>
    <w:rsid w:val="1410018A"/>
    <w:rsid w:val="141C0605"/>
    <w:rsid w:val="14416FC6"/>
    <w:rsid w:val="14DE0881"/>
    <w:rsid w:val="15474BF8"/>
    <w:rsid w:val="1569686F"/>
    <w:rsid w:val="16052A7F"/>
    <w:rsid w:val="167C30C3"/>
    <w:rsid w:val="169951BC"/>
    <w:rsid w:val="16AB5ECF"/>
    <w:rsid w:val="183B56FD"/>
    <w:rsid w:val="18AE0B48"/>
    <w:rsid w:val="18EF3710"/>
    <w:rsid w:val="1A394265"/>
    <w:rsid w:val="1B215742"/>
    <w:rsid w:val="1CC932F4"/>
    <w:rsid w:val="1CF82A78"/>
    <w:rsid w:val="1D570296"/>
    <w:rsid w:val="1E303C84"/>
    <w:rsid w:val="1EA56673"/>
    <w:rsid w:val="1EF00CA7"/>
    <w:rsid w:val="1F25018B"/>
    <w:rsid w:val="1F633F72"/>
    <w:rsid w:val="1FB913FE"/>
    <w:rsid w:val="203C362E"/>
    <w:rsid w:val="20E02F65"/>
    <w:rsid w:val="20EE7214"/>
    <w:rsid w:val="211A411E"/>
    <w:rsid w:val="214C72A5"/>
    <w:rsid w:val="21E464DA"/>
    <w:rsid w:val="226244CC"/>
    <w:rsid w:val="22670CA5"/>
    <w:rsid w:val="22950329"/>
    <w:rsid w:val="22A30872"/>
    <w:rsid w:val="234F36E4"/>
    <w:rsid w:val="236A7C99"/>
    <w:rsid w:val="23761465"/>
    <w:rsid w:val="23A6593F"/>
    <w:rsid w:val="246A52EB"/>
    <w:rsid w:val="24741525"/>
    <w:rsid w:val="249C78F6"/>
    <w:rsid w:val="24AF2DCF"/>
    <w:rsid w:val="25AD5A5E"/>
    <w:rsid w:val="25F64131"/>
    <w:rsid w:val="26945745"/>
    <w:rsid w:val="26AD49AE"/>
    <w:rsid w:val="2861758C"/>
    <w:rsid w:val="2892098A"/>
    <w:rsid w:val="297E0FC2"/>
    <w:rsid w:val="2A8C2B55"/>
    <w:rsid w:val="2AC415FD"/>
    <w:rsid w:val="2B023949"/>
    <w:rsid w:val="2B474184"/>
    <w:rsid w:val="2B9065B4"/>
    <w:rsid w:val="2C2A04A0"/>
    <w:rsid w:val="2C4C065B"/>
    <w:rsid w:val="2C5C26DC"/>
    <w:rsid w:val="2C790770"/>
    <w:rsid w:val="2CDF621C"/>
    <w:rsid w:val="2D6207C6"/>
    <w:rsid w:val="2D697A29"/>
    <w:rsid w:val="2E301AB4"/>
    <w:rsid w:val="2E7E609A"/>
    <w:rsid w:val="2F3740ED"/>
    <w:rsid w:val="2F642552"/>
    <w:rsid w:val="2FF9333B"/>
    <w:rsid w:val="300F15EE"/>
    <w:rsid w:val="3062140F"/>
    <w:rsid w:val="31496EC2"/>
    <w:rsid w:val="31E57E30"/>
    <w:rsid w:val="31F6203D"/>
    <w:rsid w:val="32165023"/>
    <w:rsid w:val="330407DF"/>
    <w:rsid w:val="33B379FC"/>
    <w:rsid w:val="33BB5A80"/>
    <w:rsid w:val="348738A9"/>
    <w:rsid w:val="34A710A8"/>
    <w:rsid w:val="351850F6"/>
    <w:rsid w:val="354D07DD"/>
    <w:rsid w:val="36070CBD"/>
    <w:rsid w:val="366756A0"/>
    <w:rsid w:val="371B5B3B"/>
    <w:rsid w:val="3741602B"/>
    <w:rsid w:val="38A87E0A"/>
    <w:rsid w:val="39237EB6"/>
    <w:rsid w:val="39C752B8"/>
    <w:rsid w:val="3A0C4B4E"/>
    <w:rsid w:val="3CDB07AE"/>
    <w:rsid w:val="3D143517"/>
    <w:rsid w:val="3D3F6CF4"/>
    <w:rsid w:val="3D71306C"/>
    <w:rsid w:val="3D731A17"/>
    <w:rsid w:val="3DC87AC0"/>
    <w:rsid w:val="3E166E94"/>
    <w:rsid w:val="3FA56A13"/>
    <w:rsid w:val="410835EE"/>
    <w:rsid w:val="418B6AEE"/>
    <w:rsid w:val="42030652"/>
    <w:rsid w:val="423D177E"/>
    <w:rsid w:val="424010B3"/>
    <w:rsid w:val="42890CAC"/>
    <w:rsid w:val="429531AD"/>
    <w:rsid w:val="42E9200F"/>
    <w:rsid w:val="432511C5"/>
    <w:rsid w:val="432E70E3"/>
    <w:rsid w:val="44891733"/>
    <w:rsid w:val="44B738AE"/>
    <w:rsid w:val="44CC778C"/>
    <w:rsid w:val="44E55E41"/>
    <w:rsid w:val="45A2046C"/>
    <w:rsid w:val="45C03291"/>
    <w:rsid w:val="46797B93"/>
    <w:rsid w:val="46965745"/>
    <w:rsid w:val="4758626E"/>
    <w:rsid w:val="47CB141F"/>
    <w:rsid w:val="47ED28F0"/>
    <w:rsid w:val="483D40CA"/>
    <w:rsid w:val="48556CDA"/>
    <w:rsid w:val="485D0F10"/>
    <w:rsid w:val="48B02611"/>
    <w:rsid w:val="490214AF"/>
    <w:rsid w:val="493429D0"/>
    <w:rsid w:val="4A58410E"/>
    <w:rsid w:val="4ACA1E61"/>
    <w:rsid w:val="4B42467C"/>
    <w:rsid w:val="4C6355B6"/>
    <w:rsid w:val="4D235499"/>
    <w:rsid w:val="4D2550DF"/>
    <w:rsid w:val="4D515A96"/>
    <w:rsid w:val="4DA2556F"/>
    <w:rsid w:val="4E097504"/>
    <w:rsid w:val="4E143612"/>
    <w:rsid w:val="4E630603"/>
    <w:rsid w:val="4E661F86"/>
    <w:rsid w:val="4E7C7752"/>
    <w:rsid w:val="4E997C57"/>
    <w:rsid w:val="4E9D3635"/>
    <w:rsid w:val="4EAE24CC"/>
    <w:rsid w:val="4ED62599"/>
    <w:rsid w:val="4F4F373F"/>
    <w:rsid w:val="4F541F42"/>
    <w:rsid w:val="500100D3"/>
    <w:rsid w:val="51A703F2"/>
    <w:rsid w:val="51AA471F"/>
    <w:rsid w:val="51F76DE0"/>
    <w:rsid w:val="522E2CD6"/>
    <w:rsid w:val="524A20F8"/>
    <w:rsid w:val="524E2EDF"/>
    <w:rsid w:val="53351704"/>
    <w:rsid w:val="53CB6FAB"/>
    <w:rsid w:val="542826BF"/>
    <w:rsid w:val="545B5616"/>
    <w:rsid w:val="55915C48"/>
    <w:rsid w:val="56DC71A4"/>
    <w:rsid w:val="56EB10E9"/>
    <w:rsid w:val="575B631B"/>
    <w:rsid w:val="59AF6DF2"/>
    <w:rsid w:val="59E02F96"/>
    <w:rsid w:val="5A10637D"/>
    <w:rsid w:val="5A244F70"/>
    <w:rsid w:val="5B280C0A"/>
    <w:rsid w:val="5BA1276A"/>
    <w:rsid w:val="5C1B076F"/>
    <w:rsid w:val="5C2441D3"/>
    <w:rsid w:val="5C7C6734"/>
    <w:rsid w:val="5C9245A9"/>
    <w:rsid w:val="5C9A35A3"/>
    <w:rsid w:val="5D2C2ED8"/>
    <w:rsid w:val="5D434E88"/>
    <w:rsid w:val="5DBB508D"/>
    <w:rsid w:val="5E047FD0"/>
    <w:rsid w:val="5E1F7693"/>
    <w:rsid w:val="5EA42C9D"/>
    <w:rsid w:val="5F1519BF"/>
    <w:rsid w:val="602A7EDE"/>
    <w:rsid w:val="607446D2"/>
    <w:rsid w:val="616E7593"/>
    <w:rsid w:val="6189617B"/>
    <w:rsid w:val="620F4C9D"/>
    <w:rsid w:val="636B6B43"/>
    <w:rsid w:val="63F56C8F"/>
    <w:rsid w:val="63F81C8C"/>
    <w:rsid w:val="640D0C57"/>
    <w:rsid w:val="64433D8E"/>
    <w:rsid w:val="64C574CA"/>
    <w:rsid w:val="64D67929"/>
    <w:rsid w:val="664066EE"/>
    <w:rsid w:val="664A0B53"/>
    <w:rsid w:val="67A07D7A"/>
    <w:rsid w:val="67B160B6"/>
    <w:rsid w:val="67F820E4"/>
    <w:rsid w:val="680A030D"/>
    <w:rsid w:val="69113EED"/>
    <w:rsid w:val="69780E80"/>
    <w:rsid w:val="6A0A1171"/>
    <w:rsid w:val="6B23122A"/>
    <w:rsid w:val="6B776A6D"/>
    <w:rsid w:val="6BCB02F6"/>
    <w:rsid w:val="6CA81B7D"/>
    <w:rsid w:val="6D7647ED"/>
    <w:rsid w:val="6D7B66F3"/>
    <w:rsid w:val="6DDB5D0B"/>
    <w:rsid w:val="6E661D1D"/>
    <w:rsid w:val="6F5D5B73"/>
    <w:rsid w:val="6F812C77"/>
    <w:rsid w:val="6FF34D39"/>
    <w:rsid w:val="7007345D"/>
    <w:rsid w:val="705F07D2"/>
    <w:rsid w:val="706E1953"/>
    <w:rsid w:val="707966E1"/>
    <w:rsid w:val="709E0487"/>
    <w:rsid w:val="71B2527A"/>
    <w:rsid w:val="729A0B48"/>
    <w:rsid w:val="729B4033"/>
    <w:rsid w:val="73C40330"/>
    <w:rsid w:val="75A82C1C"/>
    <w:rsid w:val="75C93329"/>
    <w:rsid w:val="77354B5A"/>
    <w:rsid w:val="77875CB0"/>
    <w:rsid w:val="77CE5972"/>
    <w:rsid w:val="77EB3293"/>
    <w:rsid w:val="786F5C73"/>
    <w:rsid w:val="78EB1D38"/>
    <w:rsid w:val="78F75F2F"/>
    <w:rsid w:val="79162DAA"/>
    <w:rsid w:val="7956473D"/>
    <w:rsid w:val="7975216F"/>
    <w:rsid w:val="79B76855"/>
    <w:rsid w:val="7A86524A"/>
    <w:rsid w:val="7AD654A8"/>
    <w:rsid w:val="7C207AE9"/>
    <w:rsid w:val="7C435390"/>
    <w:rsid w:val="7CE44BA4"/>
    <w:rsid w:val="7DF759C4"/>
    <w:rsid w:val="7E663674"/>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1624"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3">
    <w:name w:val="heading 3"/>
    <w:basedOn w:val="1"/>
    <w:next w:val="1"/>
    <w:qFormat/>
    <w:uiPriority w:val="9"/>
    <w:pPr>
      <w:keepNext/>
      <w:keepLines/>
      <w:numPr>
        <w:ilvl w:val="2"/>
        <w:numId w:val="1"/>
      </w:numPr>
      <w:spacing w:before="120" w:after="120" w:line="360" w:lineRule="auto"/>
      <w:outlineLvl w:val="2"/>
    </w:pPr>
    <w:rPr>
      <w:b/>
      <w:bCs/>
      <w:sz w:val="30"/>
      <w:szCs w:val="32"/>
    </w:rPr>
  </w:style>
  <w:style w:type="paragraph" w:styleId="4">
    <w:name w:val="heading 4"/>
    <w:next w:val="1"/>
    <w:qFormat/>
    <w:uiPriority w:val="0"/>
    <w:pPr>
      <w:keepNext/>
      <w:keepLines/>
      <w:widowControl w:val="0"/>
      <w:spacing w:before="280" w:after="290" w:line="376" w:lineRule="auto"/>
      <w:jc w:val="both"/>
      <w:outlineLvl w:val="3"/>
    </w:pPr>
    <w:rPr>
      <w:rFonts w:ascii="Cambria" w:hAnsi="Cambria" w:eastAsia="宋体" w:cs="Times New Roman"/>
      <w:b/>
      <w:bCs/>
      <w:kern w:val="2"/>
      <w:sz w:val="28"/>
      <w:szCs w:val="28"/>
      <w:lang w:val="en-US" w:eastAsia="zh-CN"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kern w:val="28"/>
      <w:szCs w:val="20"/>
    </w:rPr>
  </w:style>
  <w:style w:type="paragraph" w:styleId="5">
    <w:name w:val="Normal Indent"/>
    <w:basedOn w:val="1"/>
    <w:next w:val="1"/>
    <w:qFormat/>
    <w:uiPriority w:val="0"/>
    <w:pPr>
      <w:ind w:firstLine="420"/>
    </w:pPr>
    <w:rPr>
      <w:szCs w:val="20"/>
    </w:rPr>
  </w:style>
  <w:style w:type="paragraph" w:styleId="6">
    <w:name w:val="Body Text"/>
    <w:basedOn w:val="1"/>
    <w:next w:val="7"/>
    <w:qFormat/>
    <w:uiPriority w:val="0"/>
    <w:pPr>
      <w:spacing w:line="380" w:lineRule="exact"/>
    </w:pPr>
    <w:rPr>
      <w:sz w:val="24"/>
    </w:rPr>
  </w:style>
  <w:style w:type="paragraph" w:customStyle="1" w:styleId="7">
    <w:name w:val="样式 表格正文 + 两端对齐"/>
    <w:basedOn w:val="1"/>
    <w:next w:val="8"/>
    <w:qFormat/>
    <w:uiPriority w:val="0"/>
    <w:pPr>
      <w:spacing w:line="300" w:lineRule="auto"/>
    </w:pPr>
  </w:style>
  <w:style w:type="paragraph" w:customStyle="1" w:styleId="8">
    <w:name w:val="正文1"/>
    <w:basedOn w:val="1"/>
    <w:qFormat/>
    <w:uiPriority w:val="0"/>
    <w:pPr>
      <w:spacing w:line="480" w:lineRule="exact"/>
      <w:ind w:firstLine="567"/>
    </w:pPr>
    <w:rPr>
      <w:rFonts w:ascii="幼圆" w:eastAsia="幼圆"/>
      <w:sz w:val="28"/>
      <w:szCs w:val="20"/>
    </w:rPr>
  </w:style>
  <w:style w:type="paragraph" w:styleId="9">
    <w:name w:val="Body Text Indent"/>
    <w:basedOn w:val="1"/>
    <w:next w:val="1"/>
    <w:qFormat/>
    <w:uiPriority w:val="1624"/>
    <w:pPr>
      <w:spacing w:after="120"/>
      <w:ind w:left="200" w:leftChars="200"/>
    </w:pPr>
    <w:rPr>
      <w:rFonts w:eastAsia="宋体"/>
      <w:kern w:val="0"/>
      <w:sz w:val="20"/>
    </w:rPr>
  </w:style>
  <w:style w:type="paragraph" w:styleId="10">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Normal (Web)"/>
    <w:basedOn w:val="1"/>
    <w:qFormat/>
    <w:uiPriority w:val="0"/>
    <w:pPr>
      <w:spacing w:before="100" w:beforeAutospacing="1" w:after="100" w:afterAutospacing="1"/>
      <w:jc w:val="left"/>
    </w:pPr>
    <w:rPr>
      <w:rFonts w:cs="Times New Roman"/>
      <w:kern w:val="0"/>
      <w:sz w:val="24"/>
    </w:rPr>
  </w:style>
  <w:style w:type="paragraph" w:styleId="15">
    <w:name w:val="Body Text First Indent 2"/>
    <w:basedOn w:val="9"/>
    <w:qFormat/>
    <w:uiPriority w:val="0"/>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page number"/>
    <w:basedOn w:val="18"/>
    <w:qFormat/>
    <w:uiPriority w:val="0"/>
  </w:style>
  <w:style w:type="paragraph" w:customStyle="1" w:styleId="2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22">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3">
    <w:name w:val="批注框文本 Char"/>
    <w:basedOn w:val="18"/>
    <w:link w:val="11"/>
    <w:qFormat/>
    <w:uiPriority w:val="0"/>
    <w:rPr>
      <w:rFonts w:ascii="Calibri" w:hAnsi="Calibri" w:eastAsia="宋体" w:cs="Arial"/>
      <w:kern w:val="2"/>
      <w:sz w:val="18"/>
      <w:szCs w:val="18"/>
    </w:rPr>
  </w:style>
  <w:style w:type="paragraph" w:customStyle="1" w:styleId="24">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5">
    <w:name w:val="null3"/>
    <w:hidden/>
    <w:qFormat/>
    <w:uiPriority w:val="0"/>
    <w:rPr>
      <w:rFonts w:hint="eastAsia" w:asciiTheme="minorHAnsi" w:hAnsiTheme="minorHAnsi" w:eastAsiaTheme="minorEastAsia" w:cstheme="minorBidi"/>
      <w:lang w:val="en-US" w:eastAsia="zh-Hans"/>
    </w:rPr>
  </w:style>
  <w:style w:type="character" w:customStyle="1" w:styleId="26">
    <w:name w:val="font101"/>
    <w:basedOn w:val="18"/>
    <w:qFormat/>
    <w:uiPriority w:val="0"/>
    <w:rPr>
      <w:rFonts w:hint="eastAsia" w:ascii="宋体" w:hAnsi="宋体" w:eastAsia="宋体" w:cs="宋体"/>
      <w:color w:val="000000"/>
      <w:sz w:val="20"/>
      <w:szCs w:val="20"/>
      <w:u w:val="none"/>
    </w:rPr>
  </w:style>
  <w:style w:type="character" w:customStyle="1" w:styleId="27">
    <w:name w:val="font11"/>
    <w:basedOn w:val="18"/>
    <w:qFormat/>
    <w:uiPriority w:val="0"/>
    <w:rPr>
      <w:rFonts w:hint="eastAsia" w:ascii="微软雅黑" w:hAnsi="微软雅黑" w:eastAsia="微软雅黑" w:cs="微软雅黑"/>
      <w:color w:val="000000"/>
      <w:sz w:val="20"/>
      <w:szCs w:val="20"/>
      <w:u w:val="none"/>
    </w:rPr>
  </w:style>
  <w:style w:type="paragraph" w:customStyle="1" w:styleId="28">
    <w:name w:val="样式3"/>
    <w:basedOn w:val="10"/>
    <w:qFormat/>
    <w:uiPriority w:val="0"/>
    <w:pPr>
      <w:spacing w:line="0" w:lineRule="atLeast"/>
      <w:outlineLvl w:val="0"/>
    </w:pPr>
    <w:rPr>
      <w:sz w:val="28"/>
    </w:rPr>
  </w:style>
  <w:style w:type="paragraph" w:styleId="2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6482</Words>
  <Characters>6906</Characters>
  <Lines>4</Lines>
  <Paragraphs>7</Paragraphs>
  <TotalTime>1</TotalTime>
  <ScaleCrop>false</ScaleCrop>
  <LinksUpToDate>false</LinksUpToDate>
  <CharactersWithSpaces>7557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2026-08-18T03:52:00Z</cp:lastPrinted>
  <dcterms:modified xsi:type="dcterms:W3CDTF">2026-10-20T02:36:49Z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916B0A382F254096ACFC205746AF6B1B</vt:lpwstr>
  </property>
  <property fmtid="{D5CDD505-2E9C-101B-9397-08002B2CF9AE}" pid="4" name="KSOTemplateDocerSaveRecord">
    <vt:lpwstr>eyJoZGlkIjoiMmY5M2NkNzgzMTNhYzNmYjU2NTc2OGQwMGFkNmU3N2MiLCJ1c2VySWQiOiIxNTc4Njk4MDQ3In0=</vt:lpwstr>
  </property>
</Properties>
</file>