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LCCQJJ20261030</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w:t>
      </w:r>
      <w:r>
        <w:rPr>
          <w:rFonts w:hint="eastAsia" w:ascii="宋体" w:hAnsi="宋体" w:cs="宋体"/>
          <w:color w:val="000000" w:themeColor="text1"/>
          <w:sz w:val="28"/>
          <w:szCs w:val="28"/>
          <w:highlight w:val="none"/>
          <w:lang w:val="en-US" w:eastAsia="zh-CN"/>
          <w14:textFill>
            <w14:solidFill>
              <w14:schemeClr w14:val="tx1"/>
            </w14:solidFill>
          </w14:textFill>
        </w:rPr>
        <w:t>30</w:t>
      </w:r>
      <w:r>
        <w:rPr>
          <w:rFonts w:hint="eastAsia" w:ascii="宋体" w:hAnsi="宋体" w:cs="宋体"/>
          <w:color w:val="auto"/>
          <w:sz w:val="28"/>
          <w:szCs w:val="28"/>
          <w:highlight w:val="none"/>
          <w:lang w:val="en-US" w:eastAsia="zh-CN"/>
        </w:rPr>
        <w:t>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w:t>
      </w:r>
      <w:r>
        <w:rPr>
          <w:rFonts w:hint="eastAsia" w:ascii="宋体" w:hAnsi="宋体" w:cs="宋体"/>
          <w:color w:val="000000" w:themeColor="text1"/>
          <w:sz w:val="28"/>
          <w:szCs w:val="28"/>
          <w:highlight w:val="none"/>
          <w:lang w:val="en-US" w:eastAsia="zh-CN"/>
          <w14:textFill>
            <w14:solidFill>
              <w14:schemeClr w14:val="tx1"/>
            </w14:solidFill>
          </w14:textFill>
        </w:rPr>
        <w:t>30</w:t>
      </w:r>
      <w:r>
        <w:rPr>
          <w:rFonts w:hint="eastAsia" w:ascii="宋体" w:hAnsi="宋体" w:cs="宋体"/>
          <w:color w:val="auto"/>
          <w:sz w:val="28"/>
          <w:szCs w:val="28"/>
          <w:highlight w:val="none"/>
          <w:lang w:val="en-US" w:eastAsia="zh-CN"/>
        </w:rPr>
        <w:t>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644D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1.项目名称：</w:t>
      </w:r>
      <w:r>
        <w:rPr>
          <w:rFonts w:hint="eastAsia" w:ascii="宋体" w:hAnsi="宋体" w:cs="宋体"/>
          <w:color w:val="auto"/>
          <w:sz w:val="28"/>
          <w:szCs w:val="28"/>
          <w:lang w:val="en-US" w:eastAsia="zh-CN"/>
        </w:rPr>
        <w:t>连城县2026年增殖放流采购项目（扁圆吻鲴）</w:t>
      </w:r>
    </w:p>
    <w:p w14:paraId="02DE43E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w:t>
      </w:r>
      <w:r>
        <w:rPr>
          <w:rFonts w:hint="eastAsia" w:ascii="宋体" w:hAnsi="宋体" w:cs="宋体"/>
          <w:color w:val="auto"/>
          <w:sz w:val="28"/>
          <w:szCs w:val="28"/>
          <w:lang w:val="en-US" w:eastAsia="zh-CN"/>
        </w:rPr>
        <w:t>增殖流放地点</w:t>
      </w:r>
      <w:r>
        <w:rPr>
          <w:rFonts w:hint="eastAsia" w:ascii="宋体" w:hAnsi="宋体" w:eastAsia="宋体" w:cs="宋体"/>
          <w:color w:val="auto"/>
          <w:sz w:val="28"/>
          <w:szCs w:val="28"/>
          <w:lang w:val="en-US" w:eastAsia="zh-CN"/>
        </w:rPr>
        <w:t>：县辖区各乡（镇）闽江、汀江及九龙江流域支流，主要为文川河、北团河、姑田河、莒溪河、朋口河、新泉河、庙前河、蒲竹溪、罗家溪等河段，包括前述各溪河所在支流及水库，具体地点等信息将提前公示。</w:t>
      </w:r>
    </w:p>
    <w:p w14:paraId="4E885A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3.增</w:t>
      </w:r>
      <w:r>
        <w:rPr>
          <w:rFonts w:hint="eastAsia" w:ascii="宋体" w:hAnsi="宋体" w:cs="宋体"/>
          <w:color w:val="auto"/>
          <w:sz w:val="28"/>
          <w:szCs w:val="28"/>
          <w:lang w:val="en-US" w:eastAsia="zh-CN"/>
        </w:rPr>
        <w:t>殖</w:t>
      </w:r>
      <w:r>
        <w:rPr>
          <w:rFonts w:hint="eastAsia" w:ascii="宋体" w:hAnsi="宋体" w:eastAsia="宋体" w:cs="宋体"/>
          <w:color w:val="auto"/>
          <w:sz w:val="28"/>
          <w:szCs w:val="28"/>
          <w:lang w:val="en-US" w:eastAsia="zh-CN"/>
        </w:rPr>
        <w:t>流放时间：2026年11月以前完成。</w:t>
      </w:r>
    </w:p>
    <w:p w14:paraId="1FEBA2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4.最高限价及采购清单：</w:t>
      </w:r>
    </w:p>
    <w:p w14:paraId="5244A6F6">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br w:type="page"/>
      </w:r>
    </w:p>
    <w:tbl>
      <w:tblPr>
        <w:tblStyle w:val="16"/>
        <w:tblW w:w="53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2098"/>
        <w:gridCol w:w="1446"/>
        <w:gridCol w:w="730"/>
        <w:gridCol w:w="1438"/>
        <w:gridCol w:w="1382"/>
        <w:gridCol w:w="1350"/>
        <w:gridCol w:w="748"/>
      </w:tblGrid>
      <w:tr w14:paraId="0192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blHeader/>
          <w:jc w:val="center"/>
        </w:trPr>
        <w:tc>
          <w:tcPr>
            <w:tcW w:w="258" w:type="pct"/>
            <w:vAlign w:val="center"/>
          </w:tcPr>
          <w:p w14:paraId="44CA699F">
            <w:pPr>
              <w:snapToGrid w:val="0"/>
              <w:rPr>
                <w:rFonts w:hint="eastAsia" w:ascii="仿宋" w:hAnsi="仿宋" w:eastAsia="仿宋" w:cs="仿宋"/>
                <w:b/>
                <w:color w:val="auto"/>
                <w:sz w:val="28"/>
                <w:szCs w:val="28"/>
                <w:vertAlign w:val="baseline"/>
                <w:lang w:val="en-US" w:eastAsia="zh-CN"/>
              </w:rPr>
            </w:pPr>
            <w:r>
              <w:rPr>
                <w:rFonts w:hint="eastAsia" w:ascii="宋体" w:hAnsi="宋体" w:eastAsia="宋体" w:cs="宋体"/>
                <w:color w:val="auto"/>
                <w:sz w:val="28"/>
                <w:szCs w:val="28"/>
                <w:lang w:val="en-US" w:eastAsia="zh-CN"/>
              </w:rPr>
              <w:br w:type="page"/>
            </w:r>
            <w:r>
              <w:rPr>
                <w:rFonts w:hint="eastAsia" w:ascii="仿宋" w:hAnsi="仿宋" w:eastAsia="仿宋" w:cs="仿宋"/>
                <w:b/>
                <w:color w:val="auto"/>
                <w:sz w:val="28"/>
                <w:szCs w:val="28"/>
                <w:vertAlign w:val="baseline"/>
                <w:lang w:val="en-US" w:eastAsia="zh-CN"/>
              </w:rPr>
              <w:t>序号</w:t>
            </w:r>
          </w:p>
        </w:tc>
        <w:tc>
          <w:tcPr>
            <w:tcW w:w="1082" w:type="pct"/>
            <w:vAlign w:val="center"/>
          </w:tcPr>
          <w:p w14:paraId="155415D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bCs/>
                <w:color w:val="000000"/>
                <w:kern w:val="0"/>
                <w:sz w:val="28"/>
                <w:szCs w:val="28"/>
              </w:rPr>
              <w:t>品种</w:t>
            </w:r>
          </w:p>
        </w:tc>
        <w:tc>
          <w:tcPr>
            <w:tcW w:w="745" w:type="pct"/>
            <w:vAlign w:val="center"/>
          </w:tcPr>
          <w:p w14:paraId="3F3F221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苗种规格</w:t>
            </w:r>
          </w:p>
          <w:p w14:paraId="6A0FFC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（厘米）</w:t>
            </w:r>
          </w:p>
        </w:tc>
        <w:tc>
          <w:tcPr>
            <w:tcW w:w="376" w:type="pct"/>
            <w:vAlign w:val="center"/>
          </w:tcPr>
          <w:p w14:paraId="094FA9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单位</w:t>
            </w:r>
          </w:p>
        </w:tc>
        <w:tc>
          <w:tcPr>
            <w:tcW w:w="741" w:type="pct"/>
            <w:vAlign w:val="center"/>
          </w:tcPr>
          <w:p w14:paraId="5EBDAF3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暂定数量</w:t>
            </w:r>
          </w:p>
          <w:p w14:paraId="5B3C921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（万尾）</w:t>
            </w:r>
          </w:p>
        </w:tc>
        <w:tc>
          <w:tcPr>
            <w:tcW w:w="712" w:type="pct"/>
            <w:vAlign w:val="center"/>
          </w:tcPr>
          <w:p w14:paraId="5FD6DC2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控制单价（元）</w:t>
            </w:r>
          </w:p>
        </w:tc>
        <w:tc>
          <w:tcPr>
            <w:tcW w:w="696" w:type="pct"/>
            <w:vAlign w:val="center"/>
          </w:tcPr>
          <w:p w14:paraId="06D53C1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总价</w:t>
            </w:r>
          </w:p>
          <w:p w14:paraId="51DE8C0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（万元）</w:t>
            </w:r>
          </w:p>
        </w:tc>
        <w:tc>
          <w:tcPr>
            <w:tcW w:w="385" w:type="pct"/>
            <w:vAlign w:val="center"/>
          </w:tcPr>
          <w:p w14:paraId="09C3A85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备注</w:t>
            </w:r>
          </w:p>
        </w:tc>
      </w:tr>
      <w:tr w14:paraId="4577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258" w:type="pct"/>
            <w:vAlign w:val="center"/>
          </w:tcPr>
          <w:p w14:paraId="4087C5D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1</w:t>
            </w:r>
          </w:p>
        </w:tc>
        <w:tc>
          <w:tcPr>
            <w:tcW w:w="1082" w:type="pct"/>
            <w:shd w:val="clear" w:color="auto" w:fill="auto"/>
            <w:vAlign w:val="center"/>
          </w:tcPr>
          <w:p w14:paraId="32FF5C91">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扁圆吻鲴</w:t>
            </w:r>
          </w:p>
          <w:p w14:paraId="6B62B067">
            <w:pPr>
              <w:pStyle w:val="20"/>
              <w:snapToGrid w:val="0"/>
              <w:rPr>
                <w:rFonts w:hint="eastAsia"/>
                <w:lang w:val="en-US" w:eastAsia="zh-CN"/>
              </w:rPr>
            </w:pPr>
            <w:r>
              <w:rPr>
                <w:rFonts w:hint="eastAsia" w:ascii="仿宋" w:hAnsi="仿宋" w:eastAsia="仿宋" w:cs="仿宋"/>
                <w:color w:val="000000"/>
                <w:kern w:val="0"/>
                <w:sz w:val="28"/>
                <w:szCs w:val="28"/>
                <w:lang w:val="en-US" w:eastAsia="zh-CN"/>
              </w:rPr>
              <w:t>（淡水广布种）</w:t>
            </w:r>
          </w:p>
        </w:tc>
        <w:tc>
          <w:tcPr>
            <w:tcW w:w="745" w:type="pct"/>
            <w:shd w:val="clear" w:color="auto" w:fill="auto"/>
            <w:vAlign w:val="center"/>
          </w:tcPr>
          <w:p w14:paraId="2B1D5E5B">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≥8cm</w:t>
            </w:r>
          </w:p>
        </w:tc>
        <w:tc>
          <w:tcPr>
            <w:tcW w:w="376" w:type="pct"/>
            <w:shd w:val="clear" w:color="auto" w:fill="auto"/>
            <w:vAlign w:val="center"/>
          </w:tcPr>
          <w:p w14:paraId="59BD5778">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尾</w:t>
            </w:r>
          </w:p>
        </w:tc>
        <w:tc>
          <w:tcPr>
            <w:tcW w:w="741" w:type="pct"/>
            <w:shd w:val="clear" w:color="auto" w:fill="auto"/>
            <w:vAlign w:val="center"/>
          </w:tcPr>
          <w:p w14:paraId="46892ED0">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20.79</w:t>
            </w:r>
          </w:p>
        </w:tc>
        <w:tc>
          <w:tcPr>
            <w:tcW w:w="712" w:type="pct"/>
            <w:shd w:val="clear" w:color="auto" w:fill="auto"/>
            <w:vAlign w:val="center"/>
          </w:tcPr>
          <w:p w14:paraId="1D3C6174">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lang w:val="en-US" w:eastAsia="zh-CN"/>
              </w:rPr>
              <w:t>0.38</w:t>
            </w:r>
          </w:p>
        </w:tc>
        <w:tc>
          <w:tcPr>
            <w:tcW w:w="696" w:type="pct"/>
            <w:vAlign w:val="center"/>
          </w:tcPr>
          <w:p w14:paraId="75FF642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7.90</w:t>
            </w:r>
          </w:p>
        </w:tc>
        <w:tc>
          <w:tcPr>
            <w:tcW w:w="385" w:type="pct"/>
            <w:vAlign w:val="center"/>
          </w:tcPr>
          <w:p w14:paraId="52A76C85">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p>
        </w:tc>
      </w:tr>
      <w:tr w14:paraId="717F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jc w:val="center"/>
        </w:trPr>
        <w:tc>
          <w:tcPr>
            <w:tcW w:w="5000" w:type="pct"/>
            <w:gridSpan w:val="8"/>
            <w:vAlign w:val="center"/>
          </w:tcPr>
          <w:p w14:paraId="6CCDD321">
            <w:pPr>
              <w:widowControl/>
              <w:snapToGrid w:val="0"/>
              <w:ind w:left="0" w:leftChars="0" w:right="0" w:rightChars="0" w:firstLine="0" w:firstLineChars="0"/>
              <w:jc w:val="left"/>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备注：</w:t>
            </w:r>
          </w:p>
          <w:p w14:paraId="066008A4">
            <w:pPr>
              <w:widowControl/>
              <w:snapToGrid w:val="0"/>
              <w:ind w:left="0" w:leftChars="0" w:right="0" w:rightChars="0" w:firstLine="0" w:firstLineChars="0"/>
              <w:jc w:val="left"/>
              <w:rPr>
                <w:rFonts w:hint="default" w:ascii="仿宋" w:hAnsi="仿宋" w:eastAsia="仿宋" w:cs="仿宋"/>
                <w:b/>
                <w:bCs/>
                <w:color w:val="000000"/>
                <w:kern w:val="0"/>
                <w:sz w:val="28"/>
                <w:szCs w:val="28"/>
                <w:lang w:val="en-US" w:eastAsia="zh-CN"/>
              </w:rPr>
            </w:pPr>
            <w:r>
              <w:rPr>
                <w:rFonts w:hint="eastAsia" w:ascii="仿宋" w:hAnsi="仿宋" w:eastAsia="仿宋" w:cs="仿宋"/>
                <w:b/>
                <w:bCs/>
                <w:color w:val="000000" w:themeColor="text1"/>
                <w:kern w:val="0"/>
                <w:sz w:val="28"/>
                <w:szCs w:val="28"/>
                <w:lang w:val="en-US" w:eastAsia="zh-CN"/>
                <w14:textFill>
                  <w14:solidFill>
                    <w14:schemeClr w14:val="tx1"/>
                  </w14:solidFill>
                </w14:textFill>
              </w:rPr>
              <w:t>1.本项目采购总价固定不变，结算时按成交单价核算实际供货数量，即供货数量=总价/成交单价。</w:t>
            </w:r>
          </w:p>
          <w:p w14:paraId="0C5666EF">
            <w:pPr>
              <w:widowControl/>
              <w:snapToGrid w:val="0"/>
              <w:ind w:right="0" w:rightChars="0"/>
              <w:jc w:val="left"/>
              <w:rPr>
                <w:rFonts w:hint="default" w:ascii="仿宋" w:hAnsi="仿宋" w:eastAsia="仿宋" w:cs="仿宋"/>
                <w:color w:val="auto"/>
                <w:sz w:val="28"/>
                <w:szCs w:val="28"/>
                <w:vertAlign w:val="baseline"/>
                <w:lang w:val="en-US" w:eastAsia="zh-CN"/>
              </w:rPr>
            </w:pPr>
            <w:r>
              <w:rPr>
                <w:rFonts w:hint="eastAsia" w:ascii="仿宋" w:hAnsi="仿宋" w:eastAsia="仿宋" w:cs="仿宋"/>
                <w:color w:val="000000"/>
                <w:kern w:val="0"/>
                <w:sz w:val="28"/>
                <w:szCs w:val="28"/>
                <w:lang w:val="en-US" w:eastAsia="zh-CN"/>
              </w:rPr>
              <w:t>2.报价包括但不限于以下费用：鱼苗价格、运输费、装卸费、投放费、保险费、验收费、人工工资及各种福利补贴费、税费等与本项目有关的一切费用。</w:t>
            </w:r>
          </w:p>
        </w:tc>
      </w:tr>
    </w:tbl>
    <w:p w14:paraId="399196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.竞价保证金：</w:t>
      </w:r>
      <w:r>
        <w:rPr>
          <w:rFonts w:hint="eastAsia" w:ascii="宋体" w:hAnsi="宋体" w:cs="宋体"/>
          <w:color w:val="auto"/>
          <w:sz w:val="28"/>
          <w:szCs w:val="28"/>
          <w:lang w:val="en-US" w:eastAsia="zh-CN"/>
        </w:rPr>
        <w:t>1500</w:t>
      </w:r>
      <w:r>
        <w:rPr>
          <w:rFonts w:hint="eastAsia" w:ascii="宋体" w:hAnsi="宋体" w:eastAsia="宋体" w:cs="宋体"/>
          <w:color w:val="auto"/>
          <w:sz w:val="28"/>
          <w:szCs w:val="28"/>
          <w:lang w:val="en-US" w:eastAsia="zh-CN"/>
        </w:rPr>
        <w:t>元。</w:t>
      </w:r>
    </w:p>
    <w:p w14:paraId="50F87DC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.采购要求（具体详见</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lang w:val="en-US" w:eastAsia="zh-CN"/>
        </w:rPr>
        <w:t>）：</w:t>
      </w:r>
    </w:p>
    <w:p w14:paraId="6FF10FA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1）上列水产苗种产地检疫、药残检测应</w:t>
      </w:r>
      <w:r>
        <w:rPr>
          <w:rFonts w:hint="eastAsia" w:ascii="宋体" w:hAnsi="宋体" w:cs="宋体"/>
          <w:color w:val="auto"/>
          <w:sz w:val="28"/>
          <w:szCs w:val="28"/>
          <w:lang w:val="en-US" w:eastAsia="zh-CN"/>
        </w:rPr>
        <w:t>符合</w:t>
      </w:r>
      <w:r>
        <w:rPr>
          <w:rFonts w:hint="eastAsia" w:ascii="宋体" w:hAnsi="宋体" w:eastAsia="宋体" w:cs="宋体"/>
          <w:color w:val="auto"/>
          <w:sz w:val="28"/>
          <w:szCs w:val="28"/>
          <w:lang w:val="en-US" w:eastAsia="zh-CN"/>
        </w:rPr>
        <w:t>《关于做好福建省水生生物增殖放流工作的指导意见》(闽海渔〔2020〕5号)和《关于加强水生生物增殖放流监管工作的通知》等文件的相关要求。苗种质量、规格、包装方式等技术指标应符合水产行业标准《水生生物增殖放流技术规程》(SC/T 9401-2010)和福建省地方标准《水生生物增殖放流技术规范》(DB35/T 1661-2017)</w:t>
      </w:r>
      <w:r>
        <w:rPr>
          <w:rFonts w:hint="eastAsia" w:ascii="宋体" w:hAnsi="宋体" w:cs="宋体"/>
          <w:color w:val="auto"/>
          <w:sz w:val="28"/>
          <w:szCs w:val="28"/>
          <w:lang w:val="en-US" w:eastAsia="zh-CN"/>
        </w:rPr>
        <w:t>的</w:t>
      </w:r>
      <w:r>
        <w:rPr>
          <w:rFonts w:hint="eastAsia" w:ascii="宋体" w:hAnsi="宋体" w:eastAsia="宋体" w:cs="宋体"/>
          <w:color w:val="auto"/>
          <w:sz w:val="28"/>
          <w:szCs w:val="28"/>
          <w:lang w:val="en-US" w:eastAsia="zh-CN"/>
        </w:rPr>
        <w:t>要求。</w:t>
      </w:r>
    </w:p>
    <w:p w14:paraId="29666F0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2）上列苗种来自持有《水产苗种生产许可证》</w:t>
      </w:r>
      <w:r>
        <w:rPr>
          <w:rFonts w:hint="eastAsia" w:ascii="宋体" w:hAnsi="宋体" w:cs="宋体"/>
          <w:color w:val="auto"/>
          <w:sz w:val="28"/>
          <w:szCs w:val="28"/>
          <w:lang w:val="en-US" w:eastAsia="zh-CN"/>
        </w:rPr>
        <w:t>和当地渔业主管部门出具的《鱼种（苗）场生产能力证明》</w:t>
      </w:r>
      <w:r>
        <w:rPr>
          <w:rFonts w:hint="eastAsia" w:ascii="宋体" w:hAnsi="宋体" w:eastAsia="宋体" w:cs="宋体"/>
          <w:color w:val="auto"/>
          <w:sz w:val="28"/>
          <w:szCs w:val="28"/>
          <w:lang w:val="en-US" w:eastAsia="zh-CN"/>
        </w:rPr>
        <w:t>的苗种生产单位，规格整齐并不得小于约定规格，所提供苗种是自繁自育苗种或使用仔稚幼体培育而来。</w:t>
      </w:r>
    </w:p>
    <w:p w14:paraId="4C7062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w:t>
      </w:r>
      <w:r>
        <w:rPr>
          <w:rFonts w:hint="default" w:ascii="宋体" w:hAnsi="宋体" w:eastAsia="宋体" w:cs="宋体"/>
          <w:color w:val="auto"/>
          <w:sz w:val="28"/>
          <w:szCs w:val="28"/>
          <w:lang w:val="en-US" w:eastAsia="zh-CN"/>
        </w:rPr>
        <w:t>苗种须由渔业官方兽医依法检疫合格，并出具水产苗种产地检疫合格证明。增殖放流苗种必须出具质量安全检验报告。</w:t>
      </w:r>
    </w:p>
    <w:p w14:paraId="6C8C2EC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4）苗种投放当日，委托人组织有关专家按照省市相关及合同要求对投放苗种进行验收。</w:t>
      </w:r>
    </w:p>
    <w:p w14:paraId="01C134C7">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cs="宋体"/>
          <w:b w:val="0"/>
          <w:bCs w:val="0"/>
          <w:color w:val="auto"/>
          <w:kern w:val="2"/>
          <w:sz w:val="28"/>
          <w:szCs w:val="28"/>
          <w:highlight w:val="none"/>
          <w:lang w:val="en-US" w:eastAsia="zh-CN" w:bidi="ar-SA"/>
        </w:rPr>
        <w:t>7</w:t>
      </w:r>
      <w:r>
        <w:rPr>
          <w:rFonts w:hint="eastAsia" w:ascii="宋体" w:hAnsi="宋体" w:eastAsia="宋体" w:cs="宋体"/>
          <w:b w:val="0"/>
          <w:bCs w:val="0"/>
          <w:color w:val="auto"/>
          <w:kern w:val="2"/>
          <w:sz w:val="28"/>
          <w:szCs w:val="28"/>
          <w:highlight w:val="none"/>
          <w:lang w:val="en-US" w:eastAsia="zh-CN" w:bidi="ar-SA"/>
        </w:rPr>
        <w:t>.合同：成交人应在成交公告发布之日起5个工作日内与采购人自行签定合同，合同不违背本公告采购实质性要求。</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6976FA2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1.竞价者必须遵守中华人民共和国法律、法规，具有独立法人资格的国内企业（失信被执行人除外）。</w:t>
      </w:r>
    </w:p>
    <w:p w14:paraId="362044F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cs="宋体"/>
          <w:color w:val="auto"/>
          <w:sz w:val="28"/>
          <w:szCs w:val="28"/>
          <w:highlight w:val="none"/>
          <w:lang w:val="en-US" w:eastAsia="zh-CN"/>
        </w:rPr>
        <w:t>2.竞价者必须具有履行合同所必需的能力，即竞价人需持有有效的《水产苗种生产许可证》</w:t>
      </w:r>
      <w:r>
        <w:rPr>
          <w:rFonts w:hint="eastAsia" w:ascii="宋体" w:hAnsi="宋体" w:eastAsia="宋体" w:cs="宋体"/>
          <w:b/>
          <w:bCs/>
          <w:color w:val="auto"/>
          <w:sz w:val="28"/>
          <w:szCs w:val="28"/>
          <w:highlight w:val="none"/>
          <w:lang w:val="en-US" w:eastAsia="zh-CN"/>
        </w:rPr>
        <w:t>（生产许可证的生产品种须包含本项目的竞价鱼苗品种）。</w:t>
      </w:r>
    </w:p>
    <w:p w14:paraId="4A13C86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3.竞价人应具备当地渔业主管部门出具的《鱼种（苗）场生产能力证明》。</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1500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w:t>
      </w:r>
      <w:r>
        <w:rPr>
          <w:rFonts w:hint="eastAsia" w:ascii="宋体" w:hAnsi="宋体" w:cs="宋体"/>
          <w:color w:val="000000" w:themeColor="text1"/>
          <w:sz w:val="28"/>
          <w:szCs w:val="28"/>
          <w:highlight w:val="none"/>
          <w:lang w:val="en-US" w:eastAsia="zh-CN"/>
          <w14:textFill>
            <w14:solidFill>
              <w14:schemeClr w14:val="tx1"/>
            </w14:solidFill>
          </w14:textFill>
        </w:rPr>
        <w:t>30</w:t>
      </w:r>
      <w:r>
        <w:rPr>
          <w:rFonts w:hint="eastAsia" w:ascii="宋体" w:hAnsi="宋体" w:cs="宋体"/>
          <w:color w:val="auto"/>
          <w:sz w:val="28"/>
          <w:szCs w:val="28"/>
          <w:highlight w:val="none"/>
          <w:lang w:val="en-US" w:eastAsia="zh-CN"/>
        </w:rPr>
        <w:t>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2EDCB0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（1）营业执照副本、法定代表人证复印件；</w:t>
      </w:r>
    </w:p>
    <w:p w14:paraId="31AF8C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（2）《水产苗种生产许可证》</w:t>
      </w:r>
      <w:r>
        <w:rPr>
          <w:rFonts w:hint="eastAsia" w:ascii="宋体" w:hAnsi="宋体" w:cs="宋体"/>
          <w:b w:val="0"/>
          <w:bCs w:val="0"/>
          <w:color w:val="auto"/>
          <w:sz w:val="28"/>
          <w:szCs w:val="28"/>
          <w:highlight w:val="none"/>
          <w:lang w:val="en-US" w:eastAsia="zh-CN"/>
        </w:rPr>
        <w:t>（生产许可证的生产品种须包含本项目的竞价鱼苗品种）资质</w:t>
      </w:r>
      <w:r>
        <w:rPr>
          <w:rFonts w:hint="eastAsia" w:ascii="宋体" w:hAnsi="宋体" w:cs="宋体"/>
          <w:color w:val="auto"/>
          <w:sz w:val="28"/>
          <w:szCs w:val="28"/>
          <w:highlight w:val="none"/>
          <w:lang w:val="en-US" w:eastAsia="zh-CN"/>
        </w:rPr>
        <w:t>复印件；</w:t>
      </w:r>
    </w:p>
    <w:p w14:paraId="06B25F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w:t>
      </w:r>
      <w:r>
        <w:rPr>
          <w:rFonts w:hint="eastAsia" w:ascii="宋体" w:hAnsi="宋体" w:cs="宋体"/>
          <w:color w:val="auto"/>
          <w:sz w:val="28"/>
          <w:szCs w:val="28"/>
          <w:lang w:val="en-US" w:eastAsia="zh-CN"/>
        </w:rPr>
        <w:t>当地渔业主管部门出具的《鱼种（苗）场生产能力证明》原件。（格式详见附件一）；</w:t>
      </w:r>
    </w:p>
    <w:p w14:paraId="0A60B11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）签订完整的承诺书</w:t>
      </w:r>
      <w:r>
        <w:rPr>
          <w:rFonts w:hint="eastAsia" w:ascii="宋体" w:hAnsi="宋体" w:cs="宋体"/>
          <w:color w:val="auto"/>
          <w:sz w:val="28"/>
          <w:szCs w:val="28"/>
          <w:highlight w:val="none"/>
          <w:lang w:val="en-US" w:eastAsia="zh-CN"/>
        </w:rPr>
        <w:t>；</w:t>
      </w:r>
      <w:bookmarkStart w:id="0" w:name="_GoBack"/>
      <w:bookmarkEnd w:id="0"/>
    </w:p>
    <w:p w14:paraId="5DAB182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3.1竞价人以</w:t>
      </w:r>
      <w:r>
        <w:rPr>
          <w:rFonts w:hint="eastAsia" w:ascii="宋体" w:hAnsi="宋体" w:eastAsia="宋体" w:cs="宋体"/>
          <w:b/>
          <w:bCs/>
          <w:color w:val="0000FF"/>
          <w:kern w:val="2"/>
          <w:sz w:val="28"/>
          <w:szCs w:val="28"/>
          <w:highlight w:val="none"/>
          <w:shd w:val="clear"/>
          <w:lang w:val="en-US" w:eastAsia="zh-CN"/>
        </w:rPr>
        <w:t>单价</w:t>
      </w:r>
      <w:r>
        <w:rPr>
          <w:rFonts w:hint="eastAsia" w:ascii="宋体" w:hAnsi="宋体" w:eastAsia="宋体" w:cs="宋体"/>
          <w:b/>
          <w:bCs/>
          <w:color w:val="0000FF"/>
          <w:sz w:val="28"/>
          <w:szCs w:val="28"/>
          <w:lang w:val="en-US" w:eastAsia="zh-CN"/>
        </w:rPr>
        <w:t>报价</w:t>
      </w:r>
      <w:r>
        <w:rPr>
          <w:rFonts w:hint="eastAsia" w:ascii="宋体" w:hAnsi="宋体" w:eastAsia="宋体" w:cs="宋体"/>
          <w:color w:val="auto"/>
          <w:sz w:val="28"/>
          <w:szCs w:val="28"/>
          <w:lang w:val="en-US" w:eastAsia="zh-CN"/>
        </w:rPr>
        <w:t>方式进行报价，竞价人在报价时不得高于最高单价限价，根据有效竞价人报价排名情况，由低到高排序，最低的一名即为成交人。最高控制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037E632E">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竞价人应以单价形式进行报价，竞价系统设置的价格表示最高限价，竞价人在竞价系统填报价格高于最高限价则为无效报价，填报单价最低的竞价人作为本项目成交人。</w:t>
      </w:r>
      <w:r>
        <w:rPr>
          <w:rFonts w:hint="eastAsia" w:ascii="宋体" w:hAnsi="宋体" w:eastAsia="宋体" w:cs="宋体"/>
          <w:color w:val="auto"/>
          <w:sz w:val="28"/>
          <w:szCs w:val="28"/>
          <w:highlight w:val="none"/>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325BEA9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不足</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000元时，按</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19FE0F61">
      <w:pPr>
        <w:widowControl/>
        <w:shd w:val="clear"/>
        <w:snapToGrid/>
        <w:spacing w:before="0" w:line="520" w:lineRule="exact"/>
        <w:ind w:left="0" w:firstLine="562" w:firstLineChars="200"/>
        <w:rPr>
          <w:rFonts w:hint="eastAsia" w:ascii="宋体" w:hAnsi="宋体" w:eastAsia="宋体" w:cs="宋体"/>
          <w:b/>
          <w:bCs/>
          <w:color w:val="auto"/>
          <w:kern w:val="2"/>
          <w:sz w:val="28"/>
          <w:szCs w:val="28"/>
          <w:highlight w:val="none"/>
          <w:shd w:val="clear"/>
          <w:lang w:val="en-US" w:eastAsia="zh-CN"/>
        </w:rPr>
      </w:pPr>
      <w:r>
        <w:rPr>
          <w:rFonts w:hint="eastAsia" w:ascii="宋体" w:hAnsi="宋体" w:eastAsia="宋体" w:cs="宋体"/>
          <w:b/>
          <w:bCs/>
          <w:color w:val="auto"/>
          <w:kern w:val="2"/>
          <w:sz w:val="28"/>
          <w:szCs w:val="28"/>
          <w:highlight w:val="none"/>
          <w:shd w:val="clear"/>
          <w:lang w:val="en-US" w:eastAsia="zh-CN"/>
        </w:rPr>
        <w:t>本次采购项目验收合格后，成交人向采购人提供正式发票，采购人收到正式发票做好审批手续后以转账方式将苗种款转至成交人银行基本结算账户。</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5"/>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2026年10月23日</w:t>
      </w:r>
    </w:p>
    <w:p w14:paraId="59CEBB5D">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2026年10月30日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连城县2026年增殖放流采购项目（</w:t>
      </w:r>
      <w:r>
        <w:rPr>
          <w:rFonts w:hint="eastAsia" w:ascii="宋体" w:hAnsi="宋体" w:cs="宋体"/>
          <w:color w:val="auto"/>
          <w:sz w:val="28"/>
          <w:szCs w:val="28"/>
          <w:highlight w:val="none"/>
          <w:u w:val="single"/>
          <w:lang w:val="en-US" w:eastAsia="zh-CN"/>
        </w:rPr>
        <w:t>扁圆吻鲴</w:t>
      </w:r>
      <w:r>
        <w:rPr>
          <w:rFonts w:hint="eastAsia" w:ascii="宋体" w:hAnsi="宋体" w:cs="宋体"/>
          <w:color w:val="auto"/>
          <w:sz w:val="28"/>
          <w:szCs w:val="28"/>
          <w:highlight w:val="none"/>
          <w:u w:val="single"/>
          <w:lang w:eastAsia="zh-CN"/>
        </w:rPr>
        <w:t>）</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LCCQJJ20261030</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E24B020">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4887E262">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20CEFFBB">
      <w:pPr>
        <w:rPr>
          <w:rFonts w:hint="eastAsia" w:ascii="仿宋_GB2312" w:eastAsia="仿宋_GB2312"/>
          <w:sz w:val="32"/>
          <w:szCs w:val="32"/>
          <w:lang w:eastAsia="zh-CN"/>
        </w:rPr>
      </w:pPr>
      <w:r>
        <w:rPr>
          <w:rFonts w:hint="eastAsia" w:ascii="仿宋_GB2312" w:eastAsia="仿宋_GB2312"/>
          <w:sz w:val="32"/>
          <w:szCs w:val="32"/>
        </w:rPr>
        <w:t>附件</w:t>
      </w:r>
      <w:r>
        <w:rPr>
          <w:rFonts w:hint="eastAsia" w:ascii="仿宋_GB2312" w:eastAsia="仿宋_GB2312"/>
          <w:sz w:val="32"/>
          <w:szCs w:val="32"/>
          <w:lang w:val="en-US" w:eastAsia="zh-CN"/>
        </w:rPr>
        <w:t>一</w:t>
      </w:r>
    </w:p>
    <w:p w14:paraId="0C50697C">
      <w:pPr>
        <w:jc w:val="center"/>
        <w:rPr>
          <w:b/>
          <w:sz w:val="36"/>
          <w:szCs w:val="36"/>
        </w:rPr>
      </w:pPr>
      <w:r>
        <w:rPr>
          <w:rFonts w:hint="eastAsia"/>
          <w:b/>
          <w:sz w:val="36"/>
          <w:szCs w:val="36"/>
        </w:rPr>
        <w:t>鱼种（苗）场生产能力证明</w:t>
      </w:r>
    </w:p>
    <w:p w14:paraId="7FC4E2BA"/>
    <w:p w14:paraId="7019653D">
      <w:pPr>
        <w:keepNext w:val="0"/>
        <w:keepLines/>
        <w:pageBreakBefore w:val="0"/>
        <w:widowControl w:val="0"/>
        <w:kinsoku/>
        <w:wordWrap w:val="0"/>
        <w:overflowPunct/>
        <w:topLinePunct w:val="0"/>
        <w:autoSpaceDE/>
        <w:autoSpaceDN/>
        <w:bidi w:val="0"/>
        <w:adjustRightInd/>
        <w:snapToGrid/>
        <w:spacing w:line="360" w:lineRule="auto"/>
        <w:ind w:firstLine="803" w:firstLineChars="251"/>
        <w:textAlignment w:val="auto"/>
        <w:rPr>
          <w:rFonts w:hint="eastAsia" w:ascii="仿宋_GB2312" w:eastAsia="仿宋_GB2312"/>
          <w:sz w:val="32"/>
          <w:szCs w:val="32"/>
        </w:rPr>
      </w:pPr>
      <w:r>
        <w:rPr>
          <w:rFonts w:hint="eastAsia" w:ascii="仿宋_GB2312" w:eastAsia="仿宋_GB2312"/>
          <w:sz w:val="32"/>
          <w:szCs w:val="32"/>
        </w:rPr>
        <w:t>根据《福建省水生生物增殖放流工作规范》第十条规定，我局派出</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俩位水产技术专家对</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进行实地核验，验明该场有下列生产能力：</w:t>
      </w:r>
    </w:p>
    <w:p w14:paraId="4933B9D5">
      <w:pPr>
        <w:spacing w:line="360" w:lineRule="auto"/>
        <w:ind w:firstLine="803" w:firstLineChars="251"/>
        <w:rPr>
          <w:rFonts w:ascii="仿宋_GB2312" w:eastAsia="仿宋_GB2312"/>
          <w:sz w:val="32"/>
          <w:szCs w:val="32"/>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55D3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noWrap w:val="0"/>
            <w:vAlign w:val="center"/>
          </w:tcPr>
          <w:p w14:paraId="5E115DDA">
            <w:pPr>
              <w:jc w:val="center"/>
              <w:rPr>
                <w:rFonts w:ascii="仿宋_GB2312" w:eastAsia="仿宋_GB2312"/>
                <w:sz w:val="32"/>
                <w:szCs w:val="32"/>
              </w:rPr>
            </w:pPr>
            <w:r>
              <w:rPr>
                <w:rFonts w:hint="eastAsia" w:ascii="仿宋_GB2312" w:eastAsia="仿宋_GB2312"/>
                <w:sz w:val="32"/>
                <w:szCs w:val="32"/>
              </w:rPr>
              <w:t>生产品种</w:t>
            </w:r>
          </w:p>
        </w:tc>
        <w:tc>
          <w:tcPr>
            <w:tcW w:w="2130" w:type="dxa"/>
            <w:noWrap w:val="0"/>
            <w:vAlign w:val="center"/>
          </w:tcPr>
          <w:p w14:paraId="36379E9C">
            <w:pPr>
              <w:jc w:val="center"/>
              <w:rPr>
                <w:rFonts w:ascii="仿宋_GB2312" w:eastAsia="仿宋_GB2312"/>
                <w:sz w:val="32"/>
                <w:szCs w:val="32"/>
              </w:rPr>
            </w:pPr>
            <w:r>
              <w:rPr>
                <w:rFonts w:hint="eastAsia" w:ascii="仿宋_GB2312" w:eastAsia="仿宋_GB2312"/>
                <w:sz w:val="32"/>
                <w:szCs w:val="32"/>
              </w:rPr>
              <w:t>苗种池面积</w:t>
            </w:r>
          </w:p>
          <w:p w14:paraId="2986A85F">
            <w:pPr>
              <w:jc w:val="center"/>
              <w:rPr>
                <w:rFonts w:ascii="仿宋_GB2312" w:eastAsia="仿宋_GB2312"/>
                <w:sz w:val="24"/>
              </w:rPr>
            </w:pPr>
            <w:r>
              <w:rPr>
                <w:rFonts w:hint="eastAsia" w:ascii="仿宋_GB2312" w:eastAsia="仿宋_GB2312"/>
                <w:sz w:val="24"/>
              </w:rPr>
              <w:t>（亩、平方米）</w:t>
            </w:r>
          </w:p>
        </w:tc>
        <w:tc>
          <w:tcPr>
            <w:tcW w:w="2131" w:type="dxa"/>
            <w:noWrap w:val="0"/>
            <w:vAlign w:val="center"/>
          </w:tcPr>
          <w:p w14:paraId="1AADBFF5">
            <w:pPr>
              <w:jc w:val="center"/>
              <w:rPr>
                <w:rFonts w:ascii="仿宋_GB2312" w:eastAsia="仿宋_GB2312"/>
                <w:sz w:val="32"/>
                <w:szCs w:val="32"/>
              </w:rPr>
            </w:pPr>
            <w:r>
              <w:rPr>
                <w:rFonts w:hint="eastAsia" w:ascii="仿宋_GB2312" w:eastAsia="仿宋_GB2312"/>
                <w:sz w:val="32"/>
                <w:szCs w:val="32"/>
              </w:rPr>
              <w:t>年产数量</w:t>
            </w:r>
          </w:p>
          <w:p w14:paraId="2E8224ED">
            <w:pPr>
              <w:jc w:val="center"/>
              <w:rPr>
                <w:rFonts w:ascii="仿宋_GB2312" w:eastAsia="仿宋_GB2312"/>
                <w:sz w:val="24"/>
              </w:rPr>
            </w:pPr>
            <w:r>
              <w:rPr>
                <w:rFonts w:hint="eastAsia" w:ascii="仿宋_GB2312" w:eastAsia="仿宋_GB2312"/>
                <w:sz w:val="24"/>
              </w:rPr>
              <w:t>（万尾、万只）</w:t>
            </w:r>
          </w:p>
        </w:tc>
        <w:tc>
          <w:tcPr>
            <w:tcW w:w="2131" w:type="dxa"/>
            <w:noWrap w:val="0"/>
            <w:vAlign w:val="center"/>
          </w:tcPr>
          <w:p w14:paraId="09AC870A">
            <w:pPr>
              <w:jc w:val="center"/>
              <w:rPr>
                <w:rFonts w:ascii="仿宋_GB2312" w:eastAsia="仿宋_GB2312"/>
                <w:sz w:val="32"/>
                <w:szCs w:val="32"/>
              </w:rPr>
            </w:pPr>
            <w:r>
              <w:rPr>
                <w:rFonts w:hint="eastAsia" w:ascii="仿宋_GB2312" w:eastAsia="仿宋_GB2312"/>
                <w:sz w:val="32"/>
                <w:szCs w:val="32"/>
              </w:rPr>
              <w:t>备  注</w:t>
            </w:r>
          </w:p>
        </w:tc>
      </w:tr>
      <w:tr w14:paraId="14F9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6BF9F451">
            <w:pPr>
              <w:jc w:val="center"/>
              <w:rPr>
                <w:rFonts w:ascii="仿宋_GB2312" w:eastAsia="仿宋_GB2312"/>
                <w:sz w:val="32"/>
                <w:szCs w:val="32"/>
              </w:rPr>
            </w:pPr>
          </w:p>
        </w:tc>
        <w:tc>
          <w:tcPr>
            <w:tcW w:w="2130" w:type="dxa"/>
            <w:noWrap w:val="0"/>
            <w:vAlign w:val="center"/>
          </w:tcPr>
          <w:p w14:paraId="6D03ABBD">
            <w:pPr>
              <w:jc w:val="center"/>
              <w:rPr>
                <w:rFonts w:ascii="仿宋_GB2312" w:eastAsia="仿宋_GB2312"/>
                <w:sz w:val="32"/>
                <w:szCs w:val="32"/>
              </w:rPr>
            </w:pPr>
          </w:p>
        </w:tc>
        <w:tc>
          <w:tcPr>
            <w:tcW w:w="2131" w:type="dxa"/>
            <w:noWrap w:val="0"/>
            <w:vAlign w:val="center"/>
          </w:tcPr>
          <w:p w14:paraId="4875A3A1">
            <w:pPr>
              <w:jc w:val="center"/>
              <w:rPr>
                <w:rFonts w:ascii="仿宋_GB2312" w:eastAsia="仿宋_GB2312"/>
                <w:sz w:val="32"/>
                <w:szCs w:val="32"/>
              </w:rPr>
            </w:pPr>
          </w:p>
        </w:tc>
        <w:tc>
          <w:tcPr>
            <w:tcW w:w="2131" w:type="dxa"/>
            <w:noWrap w:val="0"/>
            <w:vAlign w:val="center"/>
          </w:tcPr>
          <w:p w14:paraId="55C16DA7">
            <w:pPr>
              <w:jc w:val="center"/>
              <w:rPr>
                <w:rFonts w:ascii="仿宋_GB2312" w:eastAsia="仿宋_GB2312"/>
                <w:sz w:val="32"/>
                <w:szCs w:val="32"/>
              </w:rPr>
            </w:pPr>
          </w:p>
        </w:tc>
      </w:tr>
      <w:tr w14:paraId="18CE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2786651B">
            <w:pPr>
              <w:jc w:val="center"/>
              <w:rPr>
                <w:rFonts w:ascii="仿宋_GB2312" w:eastAsia="仿宋_GB2312"/>
                <w:sz w:val="32"/>
                <w:szCs w:val="32"/>
              </w:rPr>
            </w:pPr>
          </w:p>
        </w:tc>
        <w:tc>
          <w:tcPr>
            <w:tcW w:w="2130" w:type="dxa"/>
            <w:noWrap w:val="0"/>
            <w:vAlign w:val="center"/>
          </w:tcPr>
          <w:p w14:paraId="7F199BCA">
            <w:pPr>
              <w:jc w:val="center"/>
              <w:rPr>
                <w:rFonts w:ascii="仿宋_GB2312" w:eastAsia="仿宋_GB2312"/>
                <w:sz w:val="32"/>
                <w:szCs w:val="32"/>
              </w:rPr>
            </w:pPr>
          </w:p>
        </w:tc>
        <w:tc>
          <w:tcPr>
            <w:tcW w:w="2131" w:type="dxa"/>
            <w:noWrap w:val="0"/>
            <w:vAlign w:val="center"/>
          </w:tcPr>
          <w:p w14:paraId="1FF1C33E">
            <w:pPr>
              <w:jc w:val="center"/>
              <w:rPr>
                <w:rFonts w:ascii="仿宋_GB2312" w:eastAsia="仿宋_GB2312"/>
                <w:sz w:val="32"/>
                <w:szCs w:val="32"/>
              </w:rPr>
            </w:pPr>
          </w:p>
        </w:tc>
        <w:tc>
          <w:tcPr>
            <w:tcW w:w="2131" w:type="dxa"/>
            <w:noWrap w:val="0"/>
            <w:vAlign w:val="center"/>
          </w:tcPr>
          <w:p w14:paraId="08792C3D">
            <w:pPr>
              <w:jc w:val="center"/>
              <w:rPr>
                <w:rFonts w:ascii="仿宋_GB2312" w:eastAsia="仿宋_GB2312"/>
                <w:sz w:val="32"/>
                <w:szCs w:val="32"/>
              </w:rPr>
            </w:pPr>
          </w:p>
        </w:tc>
      </w:tr>
      <w:tr w14:paraId="06D3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1C99B4FD">
            <w:pPr>
              <w:jc w:val="center"/>
              <w:rPr>
                <w:rFonts w:ascii="仿宋_GB2312" w:eastAsia="仿宋_GB2312"/>
                <w:sz w:val="32"/>
                <w:szCs w:val="32"/>
              </w:rPr>
            </w:pPr>
          </w:p>
        </w:tc>
        <w:tc>
          <w:tcPr>
            <w:tcW w:w="2130" w:type="dxa"/>
            <w:noWrap w:val="0"/>
            <w:vAlign w:val="center"/>
          </w:tcPr>
          <w:p w14:paraId="3333DC44">
            <w:pPr>
              <w:jc w:val="center"/>
              <w:rPr>
                <w:rFonts w:ascii="仿宋_GB2312" w:eastAsia="仿宋_GB2312"/>
                <w:sz w:val="32"/>
                <w:szCs w:val="32"/>
              </w:rPr>
            </w:pPr>
          </w:p>
        </w:tc>
        <w:tc>
          <w:tcPr>
            <w:tcW w:w="2131" w:type="dxa"/>
            <w:noWrap w:val="0"/>
            <w:vAlign w:val="center"/>
          </w:tcPr>
          <w:p w14:paraId="23EC5D78">
            <w:pPr>
              <w:jc w:val="center"/>
              <w:rPr>
                <w:rFonts w:ascii="仿宋_GB2312" w:eastAsia="仿宋_GB2312"/>
                <w:sz w:val="32"/>
                <w:szCs w:val="32"/>
              </w:rPr>
            </w:pPr>
          </w:p>
        </w:tc>
        <w:tc>
          <w:tcPr>
            <w:tcW w:w="2131" w:type="dxa"/>
            <w:noWrap w:val="0"/>
            <w:vAlign w:val="center"/>
          </w:tcPr>
          <w:p w14:paraId="332DEA86">
            <w:pPr>
              <w:jc w:val="center"/>
              <w:rPr>
                <w:rFonts w:ascii="仿宋_GB2312" w:eastAsia="仿宋_GB2312"/>
                <w:sz w:val="32"/>
                <w:szCs w:val="32"/>
              </w:rPr>
            </w:pPr>
          </w:p>
        </w:tc>
      </w:tr>
    </w:tbl>
    <w:p w14:paraId="249380A6">
      <w:pPr>
        <w:rPr>
          <w:rFonts w:hint="eastAsia" w:ascii="仿宋_GB2312" w:eastAsia="仿宋_GB2312"/>
          <w:sz w:val="32"/>
          <w:szCs w:val="32"/>
        </w:rPr>
      </w:pPr>
      <w:r>
        <w:rPr>
          <w:rFonts w:hint="eastAsia" w:ascii="仿宋_GB2312" w:eastAsia="仿宋_GB2312"/>
          <w:sz w:val="32"/>
          <w:szCs w:val="32"/>
        </w:rPr>
        <w:t xml:space="preserve">   </w:t>
      </w:r>
    </w:p>
    <w:p w14:paraId="09856FD1">
      <w:pPr>
        <w:ind w:firstLine="960" w:firstLineChars="300"/>
        <w:rPr>
          <w:rFonts w:ascii="仿宋_GB2312" w:eastAsia="仿宋_GB2312"/>
          <w:sz w:val="32"/>
          <w:szCs w:val="32"/>
        </w:rPr>
      </w:pPr>
      <w:r>
        <w:rPr>
          <w:rFonts w:hint="eastAsia" w:ascii="仿宋_GB2312" w:eastAsia="仿宋_GB2312"/>
          <w:sz w:val="32"/>
          <w:szCs w:val="32"/>
        </w:rPr>
        <w:t>特此证明</w:t>
      </w:r>
    </w:p>
    <w:p w14:paraId="435035EC">
      <w:pPr>
        <w:rPr>
          <w:rFonts w:hint="eastAsia" w:ascii="仿宋_GB2312" w:eastAsia="仿宋_GB2312"/>
          <w:sz w:val="32"/>
          <w:szCs w:val="32"/>
        </w:rPr>
      </w:pPr>
      <w:r>
        <w:rPr>
          <w:rFonts w:hint="eastAsia" w:ascii="仿宋_GB2312" w:eastAsia="仿宋_GB2312"/>
          <w:sz w:val="32"/>
          <w:szCs w:val="32"/>
        </w:rPr>
        <w:t xml:space="preserve">   </w:t>
      </w:r>
    </w:p>
    <w:p w14:paraId="4AFB5683">
      <w:pPr>
        <w:ind w:firstLine="480" w:firstLineChars="150"/>
        <w:rPr>
          <w:rFonts w:ascii="仿宋_GB2312" w:eastAsia="仿宋_GB2312"/>
          <w:sz w:val="32"/>
          <w:szCs w:val="32"/>
        </w:rPr>
      </w:pPr>
      <w:r>
        <w:rPr>
          <w:rFonts w:hint="eastAsia" w:ascii="仿宋_GB2312" w:eastAsia="仿宋_GB2312"/>
          <w:sz w:val="32"/>
          <w:szCs w:val="32"/>
        </w:rPr>
        <w:t>核验专家（签名）：</w:t>
      </w:r>
    </w:p>
    <w:p w14:paraId="13434FD7">
      <w:pPr>
        <w:rPr>
          <w:rFonts w:ascii="仿宋_GB2312" w:eastAsia="仿宋_GB2312"/>
          <w:sz w:val="32"/>
          <w:szCs w:val="32"/>
        </w:rPr>
      </w:pPr>
    </w:p>
    <w:p w14:paraId="5BBFFAAB">
      <w:pPr>
        <w:rPr>
          <w:rFonts w:ascii="仿宋_GB2312" w:eastAsia="仿宋_GB2312"/>
          <w:sz w:val="32"/>
          <w:szCs w:val="32"/>
        </w:rPr>
      </w:pPr>
      <w:r>
        <w:rPr>
          <w:rFonts w:hint="eastAsia" w:ascii="仿宋_GB2312" w:eastAsia="仿宋_GB2312"/>
          <w:sz w:val="32"/>
          <w:szCs w:val="32"/>
        </w:rPr>
        <w:t xml:space="preserve">   主管局领导（签名）：</w:t>
      </w:r>
    </w:p>
    <w:p w14:paraId="41A2FC9B">
      <w:pPr>
        <w:rPr>
          <w:rFonts w:hint="eastAsia" w:ascii="仿宋_GB2312" w:eastAsia="仿宋_GB2312"/>
          <w:sz w:val="32"/>
          <w:szCs w:val="32"/>
        </w:rPr>
      </w:pPr>
    </w:p>
    <w:p w14:paraId="13210A0F">
      <w:pPr>
        <w:rPr>
          <w:rFonts w:ascii="仿宋_GB2312" w:eastAsia="仿宋_GB2312"/>
          <w:sz w:val="32"/>
          <w:szCs w:val="32"/>
        </w:rPr>
      </w:pPr>
    </w:p>
    <w:p w14:paraId="5952F01A">
      <w:pPr>
        <w:rPr>
          <w:rFonts w:ascii="仿宋_GB2312" w:eastAsia="仿宋_GB2312"/>
          <w:sz w:val="32"/>
          <w:szCs w:val="32"/>
        </w:rPr>
      </w:pPr>
      <w:r>
        <w:rPr>
          <w:rFonts w:hint="eastAsia" w:ascii="仿宋_GB2312" w:eastAsia="仿宋_GB2312"/>
          <w:sz w:val="32"/>
          <w:szCs w:val="32"/>
        </w:rPr>
        <w:t xml:space="preserve">                             证明人（渔业主管局/章）：</w:t>
      </w:r>
    </w:p>
    <w:p w14:paraId="028A2C30">
      <w:pPr>
        <w:rPr>
          <w:rFonts w:ascii="仿宋_GB2312" w:eastAsia="仿宋_GB2312"/>
          <w:sz w:val="32"/>
          <w:szCs w:val="32"/>
        </w:rPr>
      </w:pPr>
      <w:r>
        <w:rPr>
          <w:rFonts w:hint="eastAsia" w:ascii="仿宋_GB2312" w:eastAsia="仿宋_GB2312"/>
          <w:sz w:val="32"/>
          <w:szCs w:val="32"/>
        </w:rPr>
        <w:t xml:space="preserve">                             日  期：</w:t>
      </w:r>
    </w:p>
    <w:p w14:paraId="5F5FA03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附件二：合同</w:t>
      </w:r>
    </w:p>
    <w:p w14:paraId="5761C872">
      <w:pPr>
        <w:spacing w:before="120" w:line="300" w:lineRule="exact"/>
        <w:ind w:firstLine="720"/>
        <w:jc w:val="center"/>
        <w:rPr>
          <w:rFonts w:hint="eastAsia" w:ascii="黑体" w:hAnsi="黑体" w:eastAsia="黑体"/>
          <w:b/>
          <w:color w:val="000000" w:themeColor="text1"/>
          <w:kern w:val="44"/>
          <w:sz w:val="32"/>
          <w:szCs w:val="32"/>
          <w14:textFill>
            <w14:solidFill>
              <w14:schemeClr w14:val="tx1"/>
            </w14:solidFill>
          </w14:textFill>
        </w:rPr>
      </w:pPr>
      <w:r>
        <w:rPr>
          <w:rFonts w:hint="eastAsia" w:ascii="黑体" w:hAnsi="黑体" w:eastAsia="黑体"/>
          <w:b/>
          <w:color w:val="000000" w:themeColor="text1"/>
          <w:kern w:val="44"/>
          <w:sz w:val="32"/>
          <w:szCs w:val="32"/>
          <w14:textFill>
            <w14:solidFill>
              <w14:schemeClr w14:val="tx1"/>
            </w14:solidFill>
          </w14:textFill>
        </w:rPr>
        <w:t>苗种购销合同</w:t>
      </w:r>
    </w:p>
    <w:p w14:paraId="1F34B1D9">
      <w:pPr>
        <w:spacing w:line="360" w:lineRule="auto"/>
        <w:rPr>
          <w:rFonts w:ascii="宋体" w:hAnsi="宋体"/>
          <w:color w:val="000000" w:themeColor="text1"/>
          <w:szCs w:val="21"/>
          <w14:textFill>
            <w14:solidFill>
              <w14:schemeClr w14:val="tx1"/>
            </w14:solidFill>
          </w14:textFill>
        </w:rPr>
      </w:pPr>
    </w:p>
    <w:p w14:paraId="20653169">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甲方(采购人)：</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w:t>
      </w:r>
    </w:p>
    <w:p w14:paraId="29FEF969">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8"/>
          <w:szCs w:val="28"/>
          <w14:textFill>
            <w14:solidFill>
              <w14:schemeClr w14:val="tx1"/>
            </w14:solidFill>
          </w14:textFill>
        </w:rPr>
        <w:t>人）：</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w:t>
      </w:r>
    </w:p>
    <w:p w14:paraId="43FA9BE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甲方委托</w:t>
      </w:r>
      <w:r>
        <w:rPr>
          <w:rFonts w:hint="eastAsia" w:asciiTheme="minorEastAsia" w:hAnsiTheme="minorEastAsia" w:eastAsiaTheme="minorEastAsia" w:cstheme="minorEastAsia"/>
          <w:color w:val="000000" w:themeColor="text1"/>
          <w:sz w:val="28"/>
          <w:szCs w:val="28"/>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对</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进行</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竞价</w:t>
      </w:r>
      <w:r>
        <w:rPr>
          <w:rFonts w:hint="eastAsia" w:asciiTheme="minorEastAsia" w:hAnsiTheme="minorEastAsia" w:eastAsiaTheme="minorEastAsia" w:cstheme="minorEastAsia"/>
          <w:color w:val="000000" w:themeColor="text1"/>
          <w:sz w:val="28"/>
          <w:szCs w:val="28"/>
          <w14:textFill>
            <w14:solidFill>
              <w14:schemeClr w14:val="tx1"/>
            </w14:solidFill>
          </w14:textFill>
        </w:rPr>
        <w:t>采购（</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竞价</w:t>
      </w:r>
      <w:r>
        <w:rPr>
          <w:rFonts w:hint="eastAsia" w:asciiTheme="minorEastAsia" w:hAnsiTheme="minorEastAsia" w:eastAsiaTheme="minorEastAsia" w:cstheme="minorEastAsia"/>
          <w:color w:val="000000" w:themeColor="text1"/>
          <w:sz w:val="28"/>
          <w:szCs w:val="28"/>
          <w14:textFill>
            <w14:solidFill>
              <w14:schemeClr w14:val="tx1"/>
            </w14:solidFill>
          </w14:textFill>
        </w:rPr>
        <w:t>编号</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w:t>
      </w:r>
      <w:r>
        <w:rPr>
          <w:rFonts w:hint="eastAsia" w:asciiTheme="minorEastAsia" w:hAnsiTheme="minorEastAsia" w:eastAsiaTheme="minorEastAsia" w:cstheme="minorEastAsia"/>
          <w:color w:val="000000" w:themeColor="text1"/>
          <w:sz w:val="28"/>
          <w:szCs w:val="28"/>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）的</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竞价</w:t>
      </w:r>
      <w:r>
        <w:rPr>
          <w:rFonts w:hint="eastAsia" w:asciiTheme="minorEastAsia" w:hAnsiTheme="minorEastAsia" w:eastAsiaTheme="minorEastAsia" w:cstheme="minorEastAsia"/>
          <w:color w:val="000000" w:themeColor="text1"/>
          <w:sz w:val="28"/>
          <w:szCs w:val="28"/>
          <w14:textFill>
            <w14:solidFill>
              <w14:schemeClr w14:val="tx1"/>
            </w14:solidFill>
          </w14:textFill>
        </w:rPr>
        <w:t>结果，乙方为中标人</w:t>
      </w:r>
      <w:r>
        <w:rPr>
          <w:rFonts w:hint="eastAsia" w:asciiTheme="minorEastAsia" w:hAnsiTheme="minorEastAsia" w:eastAsiaTheme="minorEastAsia" w:cstheme="minorEastAsia"/>
          <w:color w:val="auto"/>
          <w:sz w:val="28"/>
          <w:szCs w:val="28"/>
        </w:rPr>
        <w:t>，现依照</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文件及相关文件的内容，双方达成如下协议：</w:t>
      </w:r>
    </w:p>
    <w:p w14:paraId="0B9F8872">
      <w:pPr>
        <w:pStyle w:val="29"/>
        <w:numPr>
          <w:ilvl w:val="0"/>
          <w:numId w:val="3"/>
        </w:numPr>
        <w:spacing w:line="360" w:lineRule="auto"/>
        <w:ind w:firstLineChars="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合同标的和合同价格</w:t>
      </w:r>
    </w:p>
    <w:tbl>
      <w:tblPr>
        <w:tblStyle w:val="15"/>
        <w:tblpPr w:leftFromText="180" w:rightFromText="180" w:vertAnchor="text" w:horzAnchor="page" w:tblpX="2151" w:tblpY="189"/>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9"/>
        <w:gridCol w:w="1489"/>
        <w:gridCol w:w="1490"/>
        <w:gridCol w:w="1736"/>
        <w:gridCol w:w="2693"/>
      </w:tblGrid>
      <w:tr w14:paraId="6CF5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5D26880C">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产品名称</w:t>
            </w:r>
          </w:p>
        </w:tc>
        <w:tc>
          <w:tcPr>
            <w:tcW w:w="1489" w:type="dxa"/>
            <w:tcBorders>
              <w:bottom w:val="single" w:color="auto" w:sz="4" w:space="0"/>
            </w:tcBorders>
            <w:vAlign w:val="center"/>
          </w:tcPr>
          <w:p w14:paraId="717D47A3">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规格</w:t>
            </w:r>
          </w:p>
        </w:tc>
        <w:tc>
          <w:tcPr>
            <w:tcW w:w="1490" w:type="dxa"/>
            <w:tcBorders>
              <w:bottom w:val="single" w:color="auto" w:sz="4" w:space="0"/>
            </w:tcBorders>
            <w:vAlign w:val="center"/>
          </w:tcPr>
          <w:p w14:paraId="662A7805">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单 价</w:t>
            </w:r>
          </w:p>
        </w:tc>
        <w:tc>
          <w:tcPr>
            <w:tcW w:w="1736" w:type="dxa"/>
            <w:tcBorders>
              <w:bottom w:val="single" w:color="auto" w:sz="4" w:space="0"/>
            </w:tcBorders>
            <w:vAlign w:val="center"/>
          </w:tcPr>
          <w:p w14:paraId="39F26F68">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数 量</w:t>
            </w:r>
          </w:p>
        </w:tc>
        <w:tc>
          <w:tcPr>
            <w:tcW w:w="2693" w:type="dxa"/>
            <w:tcBorders>
              <w:bottom w:val="single" w:color="auto" w:sz="4" w:space="0"/>
            </w:tcBorders>
            <w:vAlign w:val="center"/>
          </w:tcPr>
          <w:p w14:paraId="23519A13">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总 价</w:t>
            </w:r>
          </w:p>
        </w:tc>
      </w:tr>
      <w:tr w14:paraId="3D4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68FD19E">
            <w:pPr>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1489" w:type="dxa"/>
            <w:tcBorders>
              <w:bottom w:val="single" w:color="auto" w:sz="4" w:space="0"/>
            </w:tcBorders>
            <w:vAlign w:val="center"/>
          </w:tcPr>
          <w:p w14:paraId="56BC2968">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p>
        </w:tc>
        <w:tc>
          <w:tcPr>
            <w:tcW w:w="1490" w:type="dxa"/>
            <w:tcBorders>
              <w:bottom w:val="single" w:color="auto" w:sz="4" w:space="0"/>
            </w:tcBorders>
            <w:vAlign w:val="center"/>
          </w:tcPr>
          <w:p w14:paraId="771917A9">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p>
        </w:tc>
        <w:tc>
          <w:tcPr>
            <w:tcW w:w="1736" w:type="dxa"/>
            <w:tcBorders>
              <w:bottom w:val="single" w:color="auto" w:sz="4" w:space="0"/>
            </w:tcBorders>
            <w:vAlign w:val="center"/>
          </w:tcPr>
          <w:p w14:paraId="4E10543E">
            <w:pPr>
              <w:widowControl/>
              <w:jc w:val="center"/>
              <w:textAlignment w:val="center"/>
              <w:rPr>
                <w:rFonts w:hint="eastAsia" w:asciiTheme="minorEastAsia" w:hAnsiTheme="minorEastAsia" w:eastAsiaTheme="minorEastAsia" w:cstheme="minorEastAsia"/>
                <w:color w:val="000000"/>
                <w:sz w:val="28"/>
                <w:szCs w:val="28"/>
              </w:rPr>
            </w:pPr>
          </w:p>
        </w:tc>
        <w:tc>
          <w:tcPr>
            <w:tcW w:w="2693" w:type="dxa"/>
            <w:tcBorders>
              <w:bottom w:val="single" w:color="auto" w:sz="4" w:space="0"/>
            </w:tcBorders>
            <w:vAlign w:val="center"/>
          </w:tcPr>
          <w:p w14:paraId="629E5F9E">
            <w:pPr>
              <w:jc w:val="center"/>
              <w:rPr>
                <w:rFonts w:hint="eastAsia" w:asciiTheme="minorEastAsia" w:hAnsiTheme="minorEastAsia" w:eastAsiaTheme="minorEastAsia" w:cstheme="minorEastAsia"/>
                <w:color w:val="000000"/>
                <w:sz w:val="28"/>
                <w:szCs w:val="28"/>
              </w:rPr>
            </w:pPr>
          </w:p>
        </w:tc>
      </w:tr>
      <w:tr w14:paraId="0453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4EF2699">
            <w:pPr>
              <w:keepNext w:val="0"/>
              <w:keepLines w:val="0"/>
              <w:widowControl/>
              <w:suppressLineNumbers w:val="0"/>
              <w:jc w:val="center"/>
              <w:textAlignment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1489" w:type="dxa"/>
            <w:tcBorders>
              <w:bottom w:val="single" w:color="auto" w:sz="4" w:space="0"/>
            </w:tcBorders>
            <w:vAlign w:val="center"/>
          </w:tcPr>
          <w:p w14:paraId="1F3DE52E">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p>
        </w:tc>
        <w:tc>
          <w:tcPr>
            <w:tcW w:w="1490" w:type="dxa"/>
            <w:tcBorders>
              <w:bottom w:val="single" w:color="auto" w:sz="4" w:space="0"/>
            </w:tcBorders>
            <w:vAlign w:val="center"/>
          </w:tcPr>
          <w:p w14:paraId="59ACEC08">
            <w:pPr>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1736" w:type="dxa"/>
            <w:tcBorders>
              <w:bottom w:val="single" w:color="auto" w:sz="4" w:space="0"/>
            </w:tcBorders>
            <w:vAlign w:val="center"/>
          </w:tcPr>
          <w:p w14:paraId="2533B26D">
            <w:pPr>
              <w:widowControl/>
              <w:jc w:val="center"/>
              <w:textAlignment w:val="center"/>
              <w:rPr>
                <w:rFonts w:hint="eastAsia" w:asciiTheme="minorEastAsia" w:hAnsiTheme="minorEastAsia" w:eastAsiaTheme="minorEastAsia" w:cstheme="minorEastAsia"/>
                <w:color w:val="000000"/>
                <w:sz w:val="28"/>
                <w:szCs w:val="28"/>
              </w:rPr>
            </w:pPr>
          </w:p>
        </w:tc>
        <w:tc>
          <w:tcPr>
            <w:tcW w:w="2693" w:type="dxa"/>
            <w:tcBorders>
              <w:bottom w:val="single" w:color="auto" w:sz="4" w:space="0"/>
            </w:tcBorders>
            <w:vAlign w:val="center"/>
          </w:tcPr>
          <w:p w14:paraId="4C5DBA41">
            <w:pPr>
              <w:jc w:val="center"/>
              <w:rPr>
                <w:rFonts w:hint="eastAsia" w:asciiTheme="minorEastAsia" w:hAnsiTheme="minorEastAsia" w:eastAsiaTheme="minorEastAsia" w:cstheme="minorEastAsia"/>
                <w:color w:val="000000"/>
                <w:sz w:val="28"/>
                <w:szCs w:val="28"/>
                <w:lang w:val="en-US" w:eastAsia="zh-CN"/>
              </w:rPr>
            </w:pPr>
          </w:p>
        </w:tc>
      </w:tr>
      <w:tr w14:paraId="1B80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97" w:type="dxa"/>
            <w:gridSpan w:val="5"/>
            <w:vAlign w:val="center"/>
          </w:tcPr>
          <w:p w14:paraId="64668C75">
            <w:pPr>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合同总金额（大写）人民币：</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stheme="minorEastAsia"/>
                <w:color w:val="000000"/>
                <w:sz w:val="28"/>
                <w:szCs w:val="28"/>
                <w:lang w:val="en-US" w:eastAsia="zh-CN"/>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p>
        </w:tc>
      </w:tr>
    </w:tbl>
    <w:p w14:paraId="5A74D98A">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14:paraId="280591E7">
      <w:pPr>
        <w:pStyle w:val="2"/>
        <w:rPr>
          <w:rFonts w:hint="eastAsia" w:asciiTheme="minorEastAsia" w:hAnsiTheme="minorEastAsia" w:eastAsiaTheme="minorEastAsia" w:cstheme="minorEastAsia"/>
          <w:color w:val="000000" w:themeColor="text1"/>
          <w:sz w:val="28"/>
          <w:szCs w:val="28"/>
          <w14:textFill>
            <w14:solidFill>
              <w14:schemeClr w14:val="tx1"/>
            </w14:solidFill>
          </w14:textFill>
        </w:rPr>
      </w:pPr>
    </w:p>
    <w:p w14:paraId="73F11169">
      <w:pPr>
        <w:pStyle w:val="2"/>
        <w:rPr>
          <w:rFonts w:hint="eastAsia" w:asciiTheme="minorEastAsia" w:hAnsiTheme="minorEastAsia" w:eastAsiaTheme="minorEastAsia" w:cstheme="minorEastAsia"/>
          <w:color w:val="000000" w:themeColor="text1"/>
          <w:sz w:val="28"/>
          <w:szCs w:val="28"/>
          <w14:textFill>
            <w14:solidFill>
              <w14:schemeClr w14:val="tx1"/>
            </w14:solidFill>
          </w14:textFill>
        </w:rPr>
      </w:pPr>
    </w:p>
    <w:p w14:paraId="79F66479">
      <w:pPr>
        <w:pStyle w:val="2"/>
        <w:rPr>
          <w:rFonts w:hint="eastAsia" w:asciiTheme="minorEastAsia" w:hAnsiTheme="minorEastAsia" w:eastAsiaTheme="minorEastAsia" w:cstheme="minorEastAsia"/>
          <w:color w:val="000000" w:themeColor="text1"/>
          <w:sz w:val="28"/>
          <w:szCs w:val="28"/>
          <w14:textFill>
            <w14:solidFill>
              <w14:schemeClr w14:val="tx1"/>
            </w14:solidFill>
          </w14:textFill>
        </w:rPr>
      </w:pPr>
    </w:p>
    <w:p w14:paraId="60B9A230">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2、交货时间和交货地点</w:t>
      </w:r>
    </w:p>
    <w:p w14:paraId="4802A7A3">
      <w:pPr>
        <w:spacing w:line="360" w:lineRule="auto"/>
        <w:ind w:firstLine="48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2.1交货时间：202</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年11月份完成。甲方不定期到乙方检查苗种生长情况，当达到协议供苗规格时，供苗时间视甲方工作安排和天气情况，甲方提前5天电话告知乙方准备苗种。</w:t>
      </w:r>
    </w:p>
    <w:p w14:paraId="6BA293F7">
      <w:pPr>
        <w:spacing w:line="360" w:lineRule="auto"/>
        <w:ind w:firstLine="48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2.2交货地点：</w:t>
      </w:r>
      <w:r>
        <w:rPr>
          <w:rFonts w:hint="eastAsia" w:asciiTheme="minorEastAsia" w:hAnsiTheme="minorEastAsia" w:eastAsiaTheme="minorEastAsia" w:cstheme="minorEastAsia"/>
          <w:color w:val="000000" w:themeColor="text1"/>
          <w:sz w:val="28"/>
          <w:szCs w:val="28"/>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w:t>
      </w:r>
    </w:p>
    <w:p w14:paraId="727DD2A8">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3、付款方式与条件</w:t>
      </w:r>
    </w:p>
    <w:p w14:paraId="056793F9">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乙方完成合同约定投苗并通过验收后及时向甲方提供正式发票，甲方收到正式发票做好审批手续后以转账方式将苗种款转至乙方银行基本结算账户。</w:t>
      </w:r>
    </w:p>
    <w:p w14:paraId="72C083D4">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4、质量要求和技术标准</w:t>
      </w:r>
    </w:p>
    <w:p w14:paraId="3C3C3D60">
      <w:pPr>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苗种规格整齐、无畸形，健康、活动能力强，无病害，体表无明显出血，无明显寄生虫，鱼类鳞片无明显脱落。苗种起运前，乙方应向甲方提供近期苗种药残检测报告（有资质的检测部门或采购单位、供应商辖区渔业主管部门药残快检报告单），检测项目为氯霉素、孔雀石绿、硝基呋喃类代谢物。检测不合格的不得起运，甲方有权终止乙方供苗资格。样品中超过5%数量的苗种未达到质量要求（主要指畸形、明显脱鳞、脱粘、出血苗种）的，甲方不予验收，由乙方无条件更换苗种</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color w:val="auto"/>
          <w:sz w:val="28"/>
          <w:szCs w:val="28"/>
          <w:lang w:val="en-US" w:eastAsia="zh-CN"/>
        </w:rPr>
        <w:t>采购标的规格不符合规定参数的</w:t>
      </w:r>
      <w:r>
        <w:rPr>
          <w:rFonts w:hint="eastAsia" w:asciiTheme="minorEastAsia" w:hAnsiTheme="minorEastAsia" w:eastAsiaTheme="minorEastAsia" w:cstheme="minorEastAsia"/>
          <w:color w:val="auto"/>
          <w:sz w:val="28"/>
          <w:szCs w:val="28"/>
        </w:rPr>
        <w:t>，甲方不予验收。</w:t>
      </w:r>
    </w:p>
    <w:p w14:paraId="6A817E0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5、验收</w:t>
      </w:r>
    </w:p>
    <w:p w14:paraId="78663A0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5.1、装运方式：鱼桶（箱）、氧气袋打包</w:t>
      </w:r>
    </w:p>
    <w:p w14:paraId="6AA4BFC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5.2、验收地点：</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w:t>
      </w:r>
    </w:p>
    <w:p w14:paraId="1A53209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5.3、验收：甲方</w:t>
      </w:r>
      <w:r>
        <w:rPr>
          <w:rFonts w:hint="eastAsia" w:asciiTheme="minorEastAsia" w:hAnsiTheme="minorEastAsia" w:eastAsiaTheme="minorEastAsia" w:cstheme="minorEastAsia"/>
          <w:color w:val="auto"/>
          <w:sz w:val="28"/>
          <w:szCs w:val="28"/>
          <w:lang w:val="en-US" w:eastAsia="zh-CN"/>
        </w:rPr>
        <w:t>按照《</w:t>
      </w:r>
      <w:r>
        <w:rPr>
          <w:rFonts w:hint="eastAsia" w:asciiTheme="minorEastAsia" w:hAnsiTheme="minorEastAsia" w:eastAsiaTheme="minorEastAsia" w:cstheme="minorEastAsia"/>
          <w:color w:val="auto"/>
          <w:sz w:val="28"/>
          <w:szCs w:val="28"/>
        </w:rPr>
        <w:t>龙岩市农业农村局关于规范财政资金增殖放流项目苗种现场验收流程的通知</w:t>
      </w:r>
      <w:r>
        <w:rPr>
          <w:rFonts w:hint="eastAsia" w:asciiTheme="minorEastAsia" w:hAnsiTheme="minorEastAsia" w:eastAsiaTheme="minorEastAsia" w:cstheme="minorEastAsia"/>
          <w:color w:val="auto"/>
          <w:sz w:val="28"/>
          <w:szCs w:val="28"/>
          <w:lang w:val="en-US" w:eastAsia="zh-CN"/>
        </w:rPr>
        <w:t>》要求组织</w:t>
      </w:r>
      <w:r>
        <w:rPr>
          <w:rFonts w:hint="eastAsia" w:asciiTheme="minorEastAsia" w:hAnsiTheme="minorEastAsia" w:eastAsiaTheme="minorEastAsia" w:cstheme="minorEastAsia"/>
          <w:color w:val="auto"/>
          <w:sz w:val="28"/>
          <w:szCs w:val="28"/>
        </w:rPr>
        <w:t>验收。</w:t>
      </w:r>
    </w:p>
    <w:p w14:paraId="094C1026">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5.4、抽样比例与计数办法：抽样比例为20%。抽样重（数）量少于乙方自报重（数）量时，该批次苗种全部按抽样差率扣数；多于乙方自报重（数）量时，按自报重（数）量计数。少于合同约定供应量的，乙应组织第二次供苗，供苗量应等于合同约定供应量。超出合同约定供应量的，由乙方自行处理。</w:t>
      </w:r>
    </w:p>
    <w:p w14:paraId="69E05472">
      <w:pPr>
        <w:spacing w:line="360" w:lineRule="auto"/>
        <w:ind w:firstLine="560" w:firstLineChars="2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双方对抽样有异议的，可重新抽样。重抽方法按照《龙岩市农业农村局关于规范财政资金增殖放流项目苗种现场验收流程的通知》执行。</w:t>
      </w:r>
    </w:p>
    <w:p w14:paraId="732F87B1">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6、违约责任</w:t>
      </w:r>
    </w:p>
    <w:p w14:paraId="728D3E13">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6.1未按期交货的违约责任</w:t>
      </w:r>
    </w:p>
    <w:p w14:paraId="60CCECD1">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6.1.1如果乙方未能按合同规定的时间按时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按迟交货物金额的</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3 </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p>
    <w:p w14:paraId="221F603E">
      <w:pPr>
        <w:spacing w:line="360" w:lineRule="auto"/>
        <w:ind w:firstLine="420" w:firstLineChars="15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6.1.2如果乙方未能按合同规定的时间或双方另行确定的延期交货期按时足额交货的（不可抗力除外），乙方应按迟交货物金额的</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8"/>
          <w:szCs w:val="28"/>
          <w14:textFill>
            <w14:solidFill>
              <w14:schemeClr w14:val="tx1"/>
            </w14:solidFill>
          </w14:textFill>
        </w:rPr>
        <w:t>％向甲方支付逾期交货的违约金。逾期交货违约金的支付甲方有权从未付的合同货款中予以扣除。若乙方逾期交货达30天（含30天）以上的，甲方有权单方解除本合同，乙方仍应按上述约定支付延期交货违约金。</w:t>
      </w:r>
    </w:p>
    <w:p w14:paraId="47431F5A">
      <w:pPr>
        <w:spacing w:line="360" w:lineRule="auto"/>
        <w:ind w:firstLine="6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6.2若乙方不能交货的或交货不合格从而影响甲方正常使用的，乙方应向甲方偿付不能交货部分货款的</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8"/>
          <w:szCs w:val="28"/>
          <w14:textFill>
            <w14:solidFill>
              <w14:schemeClr w14:val="tx1"/>
            </w14:solidFill>
          </w14:textFill>
        </w:rPr>
        <w:t>％的违约金。违约金不足以补偿损失的，甲方有权要求乙方赔偿实际产生的损失。</w:t>
      </w:r>
    </w:p>
    <w:p w14:paraId="6B284F22">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7、违约终止合同</w:t>
      </w:r>
    </w:p>
    <w:p w14:paraId="7CA2A023">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7.1在补救违约而采取的任何其他措施未能实现的情况下，即在甲方发出的违约通知后30天内（或经甲方书面确认的更长时间内）仍未纠正其下述任何一种违约行为，甲方有权向乙方发出书面违约通知，甲方终止本合同：  </w:t>
      </w:r>
    </w:p>
    <w:p w14:paraId="5BC6C8CD">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7.1.1如果乙方未能在合同规定的期限内或双方另行确定的延期交货时间内交付合同约定的货物。</w:t>
      </w:r>
    </w:p>
    <w:p w14:paraId="20C06450">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7.1.2乙方未能履行合同项下的任何其它义务。</w:t>
      </w:r>
    </w:p>
    <w:p w14:paraId="2A54FE62">
      <w:pPr>
        <w:spacing w:line="360" w:lineRule="auto"/>
        <w:ind w:firstLine="12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8、不可抗力</w:t>
      </w:r>
    </w:p>
    <w:p w14:paraId="629C541E">
      <w:pPr>
        <w:spacing w:line="360" w:lineRule="auto"/>
        <w:ind w:firstLine="48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14:paraId="5A3BE573">
      <w:pPr>
        <w:spacing w:line="360" w:lineRule="auto"/>
        <w:ind w:firstLine="6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本合同中的不可抗力指不能预见、不能避免并不能克服的客观情况。包括但不限于：自然灾害如地震、台风、洪水、火灾；政府行为、法律规定或其适用的变化或者其他任何无法预见、避免或者控制的事件。</w:t>
      </w:r>
    </w:p>
    <w:p w14:paraId="15C3406A">
      <w:pPr>
        <w:spacing w:line="360" w:lineRule="auto"/>
        <w:ind w:firstLine="12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9、合同纠纷处理方式：因本合同或与本合同有关的一切事项发生争议，由双方友好协商解决。协商不成的，向甲方所在地的人民法院提起诉讼。</w:t>
      </w:r>
    </w:p>
    <w:p w14:paraId="15AD74E0">
      <w:pPr>
        <w:spacing w:line="360" w:lineRule="auto"/>
        <w:ind w:firstLine="12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10、其他约定</w:t>
      </w:r>
    </w:p>
    <w:p w14:paraId="1898FE80">
      <w:pPr>
        <w:spacing w:line="360" w:lineRule="auto"/>
        <w:ind w:firstLine="700" w:firstLineChars="25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10.1本采购项目的</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竞价</w:t>
      </w:r>
      <w:r>
        <w:rPr>
          <w:rFonts w:hint="eastAsia" w:asciiTheme="minorEastAsia" w:hAnsiTheme="minorEastAsia" w:eastAsiaTheme="minorEastAsia" w:cstheme="minorEastAsia"/>
          <w:color w:val="000000" w:themeColor="text1"/>
          <w:sz w:val="28"/>
          <w:szCs w:val="28"/>
          <w14:textFill>
            <w14:solidFill>
              <w14:schemeClr w14:val="tx1"/>
            </w14:solidFill>
          </w14:textFill>
        </w:rPr>
        <w:t>文件、中标人的投标文件以及相关的澄清确认函（如果有的话）均为本合同不可分割的一部分，与本合同具有同等法律效力。</w:t>
      </w:r>
    </w:p>
    <w:p w14:paraId="5C12BC2A">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10.2本合同未尽事宜，双方另行补充。</w:t>
      </w:r>
    </w:p>
    <w:p w14:paraId="431CE2A3">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10.3本合同一式</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8"/>
          <w:szCs w:val="28"/>
          <w14:textFill>
            <w14:solidFill>
              <w14:schemeClr w14:val="tx1"/>
            </w14:solidFill>
          </w14:textFill>
        </w:rPr>
        <w:t>份，经双方授权代表签字并盖章后生效。甲方</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二份</w:t>
      </w:r>
      <w:r>
        <w:rPr>
          <w:rFonts w:hint="eastAsia" w:asciiTheme="minorEastAsia" w:hAnsiTheme="minorEastAsia" w:eastAsiaTheme="minorEastAsia" w:cstheme="minorEastAsia"/>
          <w:color w:val="000000" w:themeColor="text1"/>
          <w:sz w:val="28"/>
          <w:szCs w:val="28"/>
          <w14:textFill>
            <w14:solidFill>
              <w14:schemeClr w14:val="tx1"/>
            </w14:solidFill>
          </w14:textFill>
        </w:rPr>
        <w:t>、乙方一份。</w:t>
      </w:r>
    </w:p>
    <w:p w14:paraId="1D3D3753">
      <w:pPr>
        <w:pStyle w:val="2"/>
        <w:rPr>
          <w:rFonts w:hint="eastAsia"/>
        </w:rPr>
      </w:pPr>
    </w:p>
    <w:p w14:paraId="46668401">
      <w:pPr>
        <w:pStyle w:val="2"/>
        <w:ind w:firstLine="1960" w:firstLineChars="700"/>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以下无正文</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14:textFill>
            <w14:solidFill>
              <w14:schemeClr w14:val="tx1"/>
            </w14:solidFill>
          </w14:textFill>
        </w:rPr>
        <w:br w:type="page"/>
      </w:r>
    </w:p>
    <w:p w14:paraId="080830D4">
      <w:pPr>
        <w:pStyle w:val="2"/>
        <w:rPr>
          <w:rFonts w:hint="eastAsia" w:asciiTheme="minorEastAsia" w:hAnsiTheme="minorEastAsia" w:eastAsiaTheme="minorEastAsia" w:cstheme="minorEastAsia"/>
          <w:color w:val="000000" w:themeColor="text1"/>
          <w:sz w:val="28"/>
          <w:szCs w:val="28"/>
          <w14:textFill>
            <w14:solidFill>
              <w14:schemeClr w14:val="tx1"/>
            </w14:solidFill>
          </w14:textFill>
        </w:rPr>
      </w:pPr>
    </w:p>
    <w:p w14:paraId="506DA4C6">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本页无正文，双方签字盖章处</w:t>
      </w:r>
      <w:r>
        <w:rPr>
          <w:rFonts w:hint="eastAsia" w:ascii="宋体" w:hAnsi="宋体" w:eastAsia="宋体" w:cs="宋体"/>
          <w:b/>
          <w:bCs/>
          <w:color w:val="auto"/>
          <w:sz w:val="28"/>
          <w:szCs w:val="28"/>
          <w:highlight w:val="none"/>
          <w:lang w:eastAsia="zh-CN"/>
        </w:rPr>
        <w:t>）</w:t>
      </w:r>
    </w:p>
    <w:p w14:paraId="7049B035">
      <w:pPr>
        <w:jc w:val="center"/>
        <w:rPr>
          <w:rFonts w:hint="default" w:asciiTheme="minorEastAsia" w:hAnsiTheme="minorEastAsia" w:eastAsiaTheme="minorEastAsia" w:cstheme="minorEastAsia"/>
          <w:color w:val="000000" w:themeColor="text1"/>
          <w:sz w:val="28"/>
          <w:szCs w:val="28"/>
          <w:lang w:val="en-US" w:eastAsia="zh-CN"/>
          <w14:textFill>
            <w14:solidFill>
              <w14:schemeClr w14:val="tx1"/>
            </w14:solidFill>
          </w14:textFill>
        </w:rPr>
      </w:pPr>
    </w:p>
    <w:p w14:paraId="07C6EF06">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14:paraId="1EB89D29">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甲    方：                            乙    方：</w:t>
      </w:r>
    </w:p>
    <w:p w14:paraId="2E8F4BB6">
      <w:pPr>
        <w:spacing w:line="360" w:lineRule="auto"/>
        <w:ind w:left="5250" w:hanging="7000" w:hangingChars="2500"/>
        <w:rPr>
          <w:rFonts w:hint="eastAsia" w:asciiTheme="minorEastAsia" w:hAnsiTheme="minorEastAsia" w:eastAsiaTheme="minorEastAsia" w:cstheme="minorEastAsia"/>
          <w:color w:val="000000" w:themeColor="text1"/>
          <w:sz w:val="28"/>
          <w:szCs w:val="28"/>
          <w:lang w:val="en-US"/>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单位地址：                          单位地址：</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p>
    <w:p w14:paraId="0337F711">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法定代表人：                          法定代表人：</w:t>
      </w:r>
    </w:p>
    <w:p w14:paraId="147F1E85">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委托代理人：                          委托代理人：</w:t>
      </w:r>
    </w:p>
    <w:p w14:paraId="4D856DCF">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电    话：                            电    话：</w:t>
      </w:r>
    </w:p>
    <w:p w14:paraId="4406DF07">
      <w:pPr>
        <w:spacing w:line="360" w:lineRule="auto"/>
        <w:ind w:right="-1331" w:rightChars="-634"/>
        <w:jc w:val="left"/>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开户银行：                            开户银行：</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w:t>
      </w:r>
    </w:p>
    <w:p w14:paraId="2CAB650D">
      <w:pPr>
        <w:spacing w:line="360" w:lineRule="auto"/>
        <w:jc w:val="left"/>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账    号：                            账    号：</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p>
    <w:p w14:paraId="594E3076">
      <w:pPr>
        <w:spacing w:line="360" w:lineRule="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年   月   日                          年   月   日</w:t>
      </w:r>
    </w:p>
    <w:p w14:paraId="5E1D61A2">
      <w:pPr>
        <w:rPr>
          <w:rFonts w:hint="default" w:asciiTheme="minorEastAsia" w:hAnsiTheme="minorEastAsia" w:eastAsiaTheme="minorEastAsia" w:cstheme="minorEastAsia"/>
          <w:color w:val="auto"/>
          <w:sz w:val="28"/>
          <w:szCs w:val="28"/>
          <w:highlight w:val="none"/>
          <w:lang w:val="en-US" w:eastAsia="zh-CN"/>
        </w:rPr>
      </w:pPr>
    </w:p>
    <w:sectPr>
      <w:footerReference r:id="rId3" w:type="default"/>
      <w:pgSz w:w="11906" w:h="16838"/>
      <w:pgMar w:top="1553" w:right="1531" w:bottom="1553"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021E08">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04021E08">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4"/>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abstractNum w:abstractNumId="2">
    <w:nsid w:val="09DF4EC0"/>
    <w:multiLevelType w:val="multilevel"/>
    <w:tmpl w:val="09DF4EC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MmU0Yjk5NmUyMjAwNzM3OGEzNzg5ZGMyZDkzOWUifQ=="/>
  </w:docVars>
  <w:rsids>
    <w:rsidRoot w:val="3062140F"/>
    <w:rsid w:val="00061656"/>
    <w:rsid w:val="00072DF4"/>
    <w:rsid w:val="000F1B6A"/>
    <w:rsid w:val="001457F7"/>
    <w:rsid w:val="00160F00"/>
    <w:rsid w:val="001A43A7"/>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661E94"/>
    <w:rsid w:val="02CA3FAE"/>
    <w:rsid w:val="039E3DB5"/>
    <w:rsid w:val="043164D2"/>
    <w:rsid w:val="04973358"/>
    <w:rsid w:val="04F91A92"/>
    <w:rsid w:val="06B84C89"/>
    <w:rsid w:val="06E710CA"/>
    <w:rsid w:val="076D2FEB"/>
    <w:rsid w:val="0804406F"/>
    <w:rsid w:val="081C4C9C"/>
    <w:rsid w:val="0834033F"/>
    <w:rsid w:val="0AD32091"/>
    <w:rsid w:val="0AD43D25"/>
    <w:rsid w:val="0AEE0C79"/>
    <w:rsid w:val="0B2D79F3"/>
    <w:rsid w:val="0C0C7087"/>
    <w:rsid w:val="0C9C0329"/>
    <w:rsid w:val="0CA830A9"/>
    <w:rsid w:val="0CDA1129"/>
    <w:rsid w:val="0D0C3638"/>
    <w:rsid w:val="0D724C37"/>
    <w:rsid w:val="0DDD71A5"/>
    <w:rsid w:val="0E6A79B6"/>
    <w:rsid w:val="0E8467A8"/>
    <w:rsid w:val="0F153787"/>
    <w:rsid w:val="10554859"/>
    <w:rsid w:val="108A4FA0"/>
    <w:rsid w:val="115251AE"/>
    <w:rsid w:val="128A572B"/>
    <w:rsid w:val="137205A3"/>
    <w:rsid w:val="1380777F"/>
    <w:rsid w:val="138E2060"/>
    <w:rsid w:val="1410018A"/>
    <w:rsid w:val="141C0605"/>
    <w:rsid w:val="14416FC6"/>
    <w:rsid w:val="14DE0881"/>
    <w:rsid w:val="15474BF8"/>
    <w:rsid w:val="1569686F"/>
    <w:rsid w:val="16052A7F"/>
    <w:rsid w:val="167C30C3"/>
    <w:rsid w:val="169951BC"/>
    <w:rsid w:val="16AB5ECF"/>
    <w:rsid w:val="183B56FD"/>
    <w:rsid w:val="18AE0B48"/>
    <w:rsid w:val="18EF3710"/>
    <w:rsid w:val="1A394265"/>
    <w:rsid w:val="1ABD4496"/>
    <w:rsid w:val="1B215742"/>
    <w:rsid w:val="1B590390"/>
    <w:rsid w:val="1CC932F4"/>
    <w:rsid w:val="1CF82A78"/>
    <w:rsid w:val="1D570296"/>
    <w:rsid w:val="1E303C84"/>
    <w:rsid w:val="1EA56673"/>
    <w:rsid w:val="1EF00CA7"/>
    <w:rsid w:val="1F633F72"/>
    <w:rsid w:val="1FB913FE"/>
    <w:rsid w:val="203C362E"/>
    <w:rsid w:val="20E02F65"/>
    <w:rsid w:val="20EE7214"/>
    <w:rsid w:val="211A411E"/>
    <w:rsid w:val="214C72A5"/>
    <w:rsid w:val="21E464DA"/>
    <w:rsid w:val="226244CC"/>
    <w:rsid w:val="22670CA5"/>
    <w:rsid w:val="22950329"/>
    <w:rsid w:val="22A30872"/>
    <w:rsid w:val="234F36E4"/>
    <w:rsid w:val="236A7C99"/>
    <w:rsid w:val="23761465"/>
    <w:rsid w:val="23A6593F"/>
    <w:rsid w:val="246A52EB"/>
    <w:rsid w:val="24741525"/>
    <w:rsid w:val="249C78F6"/>
    <w:rsid w:val="24AF2DCF"/>
    <w:rsid w:val="255D06C1"/>
    <w:rsid w:val="25AD5A5E"/>
    <w:rsid w:val="25F64131"/>
    <w:rsid w:val="26364389"/>
    <w:rsid w:val="26906C30"/>
    <w:rsid w:val="26945745"/>
    <w:rsid w:val="27421CD9"/>
    <w:rsid w:val="28355CE1"/>
    <w:rsid w:val="2861758C"/>
    <w:rsid w:val="2892098A"/>
    <w:rsid w:val="297E0FC2"/>
    <w:rsid w:val="2A8C2B55"/>
    <w:rsid w:val="2AC415FD"/>
    <w:rsid w:val="2B023949"/>
    <w:rsid w:val="2B474184"/>
    <w:rsid w:val="2B9065B4"/>
    <w:rsid w:val="2C2A04A0"/>
    <w:rsid w:val="2C4C065B"/>
    <w:rsid w:val="2C5C26DC"/>
    <w:rsid w:val="2C790770"/>
    <w:rsid w:val="2CDF621C"/>
    <w:rsid w:val="2D6207C6"/>
    <w:rsid w:val="2D697A29"/>
    <w:rsid w:val="2D6E1B3E"/>
    <w:rsid w:val="2E301AB4"/>
    <w:rsid w:val="2E7E609A"/>
    <w:rsid w:val="2F251CFC"/>
    <w:rsid w:val="2F3740ED"/>
    <w:rsid w:val="2F642552"/>
    <w:rsid w:val="2FF9333B"/>
    <w:rsid w:val="300F15EE"/>
    <w:rsid w:val="3062140F"/>
    <w:rsid w:val="31496EC2"/>
    <w:rsid w:val="31866716"/>
    <w:rsid w:val="31E57E30"/>
    <w:rsid w:val="31F6203D"/>
    <w:rsid w:val="32165023"/>
    <w:rsid w:val="32613CE0"/>
    <w:rsid w:val="330407DF"/>
    <w:rsid w:val="33B379FC"/>
    <w:rsid w:val="33BB5A80"/>
    <w:rsid w:val="348738A9"/>
    <w:rsid w:val="34A710A8"/>
    <w:rsid w:val="351850F6"/>
    <w:rsid w:val="354D07DD"/>
    <w:rsid w:val="355A0B35"/>
    <w:rsid w:val="36070CBD"/>
    <w:rsid w:val="366756A0"/>
    <w:rsid w:val="371B5B3B"/>
    <w:rsid w:val="3741602B"/>
    <w:rsid w:val="38A87E0A"/>
    <w:rsid w:val="39237EB6"/>
    <w:rsid w:val="39C752B8"/>
    <w:rsid w:val="3A0C4B4E"/>
    <w:rsid w:val="3CDB07AE"/>
    <w:rsid w:val="3D143517"/>
    <w:rsid w:val="3D3F6CF4"/>
    <w:rsid w:val="3D71306C"/>
    <w:rsid w:val="3D731A17"/>
    <w:rsid w:val="3DC87AC0"/>
    <w:rsid w:val="3E166E94"/>
    <w:rsid w:val="3FA56A13"/>
    <w:rsid w:val="410835EE"/>
    <w:rsid w:val="418B6AEE"/>
    <w:rsid w:val="42030652"/>
    <w:rsid w:val="422C3859"/>
    <w:rsid w:val="423D177E"/>
    <w:rsid w:val="424010B3"/>
    <w:rsid w:val="42890CAC"/>
    <w:rsid w:val="429531AD"/>
    <w:rsid w:val="42B93F19"/>
    <w:rsid w:val="42E9200F"/>
    <w:rsid w:val="432E70E3"/>
    <w:rsid w:val="440C522D"/>
    <w:rsid w:val="44891733"/>
    <w:rsid w:val="44B738AE"/>
    <w:rsid w:val="44E55E41"/>
    <w:rsid w:val="45A2046C"/>
    <w:rsid w:val="45C03291"/>
    <w:rsid w:val="46797B93"/>
    <w:rsid w:val="46965745"/>
    <w:rsid w:val="4758626E"/>
    <w:rsid w:val="47CB141F"/>
    <w:rsid w:val="47ED28F0"/>
    <w:rsid w:val="483D40CA"/>
    <w:rsid w:val="48556CDA"/>
    <w:rsid w:val="485D0F10"/>
    <w:rsid w:val="490214AF"/>
    <w:rsid w:val="493429D0"/>
    <w:rsid w:val="4A58410E"/>
    <w:rsid w:val="4ACA1E61"/>
    <w:rsid w:val="4B42467C"/>
    <w:rsid w:val="4C6355B6"/>
    <w:rsid w:val="4D235499"/>
    <w:rsid w:val="4D2550DF"/>
    <w:rsid w:val="4D515A96"/>
    <w:rsid w:val="4DA2556F"/>
    <w:rsid w:val="4E097504"/>
    <w:rsid w:val="4E143612"/>
    <w:rsid w:val="4E630603"/>
    <w:rsid w:val="4E661F86"/>
    <w:rsid w:val="4E997C57"/>
    <w:rsid w:val="4E9D3635"/>
    <w:rsid w:val="4EAE24CC"/>
    <w:rsid w:val="4ED62599"/>
    <w:rsid w:val="4F4F373F"/>
    <w:rsid w:val="4F541F42"/>
    <w:rsid w:val="500100D3"/>
    <w:rsid w:val="51A703F2"/>
    <w:rsid w:val="51AA471F"/>
    <w:rsid w:val="51F76DE0"/>
    <w:rsid w:val="522E2CD6"/>
    <w:rsid w:val="524A20F8"/>
    <w:rsid w:val="524E2EDF"/>
    <w:rsid w:val="53351704"/>
    <w:rsid w:val="53CB6FAB"/>
    <w:rsid w:val="542826BF"/>
    <w:rsid w:val="545B5616"/>
    <w:rsid w:val="54A1380C"/>
    <w:rsid w:val="55915C48"/>
    <w:rsid w:val="55BA1450"/>
    <w:rsid w:val="55E46AC8"/>
    <w:rsid w:val="56DC71A4"/>
    <w:rsid w:val="56EB10E9"/>
    <w:rsid w:val="575B631B"/>
    <w:rsid w:val="57997D0E"/>
    <w:rsid w:val="59AF6DF2"/>
    <w:rsid w:val="59E02F96"/>
    <w:rsid w:val="5A10637D"/>
    <w:rsid w:val="5A244F70"/>
    <w:rsid w:val="5B280C0A"/>
    <w:rsid w:val="5B7B6BD3"/>
    <w:rsid w:val="5BA1276A"/>
    <w:rsid w:val="5C1B076F"/>
    <w:rsid w:val="5C2441D3"/>
    <w:rsid w:val="5C7C6734"/>
    <w:rsid w:val="5C9245A9"/>
    <w:rsid w:val="5C9A35A3"/>
    <w:rsid w:val="5D2C2ED8"/>
    <w:rsid w:val="5D434E88"/>
    <w:rsid w:val="5DBB508D"/>
    <w:rsid w:val="5E047FD0"/>
    <w:rsid w:val="5E135FAF"/>
    <w:rsid w:val="5EA42C9D"/>
    <w:rsid w:val="5F1519BF"/>
    <w:rsid w:val="602A7EDE"/>
    <w:rsid w:val="607446D2"/>
    <w:rsid w:val="616E7593"/>
    <w:rsid w:val="6189617B"/>
    <w:rsid w:val="620F4C9D"/>
    <w:rsid w:val="636B6B43"/>
    <w:rsid w:val="63F56C8F"/>
    <w:rsid w:val="63F81C8C"/>
    <w:rsid w:val="640D0C57"/>
    <w:rsid w:val="64433D8E"/>
    <w:rsid w:val="64A64644"/>
    <w:rsid w:val="64C574CA"/>
    <w:rsid w:val="64D67929"/>
    <w:rsid w:val="65EE0CA2"/>
    <w:rsid w:val="664066EE"/>
    <w:rsid w:val="664A0B53"/>
    <w:rsid w:val="671B7875"/>
    <w:rsid w:val="6760797E"/>
    <w:rsid w:val="67A07D7A"/>
    <w:rsid w:val="67B160B6"/>
    <w:rsid w:val="67F820E4"/>
    <w:rsid w:val="680A030D"/>
    <w:rsid w:val="69113EED"/>
    <w:rsid w:val="69780E80"/>
    <w:rsid w:val="6A0A1171"/>
    <w:rsid w:val="6B1D005F"/>
    <w:rsid w:val="6B23122A"/>
    <w:rsid w:val="6B776A6D"/>
    <w:rsid w:val="6BCB02F6"/>
    <w:rsid w:val="6CA81B7D"/>
    <w:rsid w:val="6CDF6E4C"/>
    <w:rsid w:val="6D7B66F3"/>
    <w:rsid w:val="6DDB5D0B"/>
    <w:rsid w:val="6E661D1D"/>
    <w:rsid w:val="6F343BCA"/>
    <w:rsid w:val="6F5D5B73"/>
    <w:rsid w:val="6F812C77"/>
    <w:rsid w:val="7007345D"/>
    <w:rsid w:val="705F07D2"/>
    <w:rsid w:val="706E1953"/>
    <w:rsid w:val="707966E1"/>
    <w:rsid w:val="709E0487"/>
    <w:rsid w:val="71B2527A"/>
    <w:rsid w:val="72312642"/>
    <w:rsid w:val="729A0B48"/>
    <w:rsid w:val="729B4033"/>
    <w:rsid w:val="73242ECD"/>
    <w:rsid w:val="75A82C1C"/>
    <w:rsid w:val="75C93329"/>
    <w:rsid w:val="77354B5A"/>
    <w:rsid w:val="77875CB0"/>
    <w:rsid w:val="77CE5972"/>
    <w:rsid w:val="77EB3293"/>
    <w:rsid w:val="786F5C73"/>
    <w:rsid w:val="78EB1D38"/>
    <w:rsid w:val="78F75F2F"/>
    <w:rsid w:val="79162DAA"/>
    <w:rsid w:val="7956473D"/>
    <w:rsid w:val="7975216F"/>
    <w:rsid w:val="79B76855"/>
    <w:rsid w:val="7AD654A8"/>
    <w:rsid w:val="7C207AE9"/>
    <w:rsid w:val="7C435390"/>
    <w:rsid w:val="7CE44BA4"/>
    <w:rsid w:val="7CE9798F"/>
    <w:rsid w:val="7E663674"/>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5">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1"/>
    <w:qFormat/>
    <w:uiPriority w:val="1624"/>
    <w:pPr>
      <w:spacing w:after="120"/>
      <w:ind w:left="200" w:leftChars="200"/>
    </w:pPr>
    <w:rPr>
      <w:rFonts w:eastAsia="宋体"/>
      <w:kern w:val="0"/>
      <w:sz w:val="20"/>
    </w:rPr>
  </w:style>
  <w:style w:type="paragraph" w:styleId="6">
    <w:name w:val="Normal Indent"/>
    <w:basedOn w:val="1"/>
    <w:next w:val="1"/>
    <w:qFormat/>
    <w:uiPriority w:val="0"/>
    <w:pPr>
      <w:ind w:firstLine="420"/>
    </w:pPr>
    <w:rPr>
      <w:szCs w:val="20"/>
    </w:rPr>
  </w:style>
  <w:style w:type="paragraph" w:styleId="7">
    <w:name w:val="Body Text"/>
    <w:basedOn w:val="1"/>
    <w:next w:val="8"/>
    <w:qFormat/>
    <w:uiPriority w:val="0"/>
    <w:pPr>
      <w:spacing w:line="380" w:lineRule="exact"/>
    </w:pPr>
    <w:rPr>
      <w:sz w:val="24"/>
    </w:rPr>
  </w:style>
  <w:style w:type="paragraph" w:customStyle="1" w:styleId="8">
    <w:name w:val="样式 表格正文 + 两端对齐"/>
    <w:basedOn w:val="1"/>
    <w:next w:val="9"/>
    <w:qFormat/>
    <w:uiPriority w:val="0"/>
    <w:pPr>
      <w:spacing w:line="300" w:lineRule="auto"/>
    </w:pPr>
  </w:style>
  <w:style w:type="paragraph" w:customStyle="1" w:styleId="9">
    <w:name w:val="正文1"/>
    <w:basedOn w:val="1"/>
    <w:qFormat/>
    <w:uiPriority w:val="0"/>
    <w:pPr>
      <w:spacing w:line="480" w:lineRule="exact"/>
      <w:ind w:firstLine="567"/>
    </w:pPr>
    <w:rPr>
      <w:rFonts w:ascii="幼圆" w:eastAsia="幼圆"/>
      <w:sz w:val="28"/>
      <w:szCs w:val="20"/>
    </w:rPr>
  </w:style>
  <w:style w:type="paragraph" w:styleId="10">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Normal (Web)"/>
    <w:basedOn w:val="1"/>
    <w:qFormat/>
    <w:uiPriority w:val="0"/>
    <w:pPr>
      <w:spacing w:before="100" w:beforeAutospacing="1" w:after="100" w:afterAutospacing="1"/>
      <w:jc w:val="left"/>
    </w:pPr>
    <w:rPr>
      <w:rFonts w:cs="Times New Roman"/>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page number"/>
    <w:basedOn w:val="17"/>
    <w:qFormat/>
    <w:uiPriority w:val="0"/>
  </w:style>
  <w:style w:type="paragraph" w:customStyle="1" w:styleId="20">
    <w:name w:val="Fließtext"/>
    <w:basedOn w:val="1"/>
    <w:qFormat/>
    <w:uiPriority w:val="0"/>
    <w:pPr>
      <w:overflowPunct w:val="0"/>
      <w:autoSpaceDE w:val="0"/>
      <w:autoSpaceDN w:val="0"/>
      <w:adjustRightInd w:val="0"/>
      <w:textAlignment w:val="baseline"/>
    </w:pPr>
    <w:rPr>
      <w:kern w:val="28"/>
      <w:szCs w:val="20"/>
    </w:rPr>
  </w:style>
  <w:style w:type="paragraph" w:customStyle="1" w:styleId="21">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22">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3">
    <w:name w:val="批注框文本 Char"/>
    <w:basedOn w:val="17"/>
    <w:link w:val="11"/>
    <w:qFormat/>
    <w:uiPriority w:val="0"/>
    <w:rPr>
      <w:rFonts w:ascii="Calibri" w:hAnsi="Calibri" w:eastAsia="宋体" w:cs="Arial"/>
      <w:kern w:val="2"/>
      <w:sz w:val="18"/>
      <w:szCs w:val="18"/>
    </w:rPr>
  </w:style>
  <w:style w:type="paragraph" w:customStyle="1" w:styleId="24">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101"/>
    <w:basedOn w:val="17"/>
    <w:qFormat/>
    <w:uiPriority w:val="0"/>
    <w:rPr>
      <w:rFonts w:hint="eastAsia" w:ascii="宋体" w:hAnsi="宋体" w:eastAsia="宋体" w:cs="宋体"/>
      <w:color w:val="000000"/>
      <w:sz w:val="20"/>
      <w:szCs w:val="20"/>
      <w:u w:val="none"/>
    </w:rPr>
  </w:style>
  <w:style w:type="character" w:customStyle="1" w:styleId="27">
    <w:name w:val="font11"/>
    <w:basedOn w:val="17"/>
    <w:qFormat/>
    <w:uiPriority w:val="0"/>
    <w:rPr>
      <w:rFonts w:hint="eastAsia" w:ascii="微软雅黑" w:hAnsi="微软雅黑" w:eastAsia="微软雅黑" w:cs="微软雅黑"/>
      <w:color w:val="000000"/>
      <w:sz w:val="20"/>
      <w:szCs w:val="20"/>
      <w:u w:val="none"/>
    </w:rPr>
  </w:style>
  <w:style w:type="paragraph" w:customStyle="1" w:styleId="28">
    <w:name w:val="样式3"/>
    <w:basedOn w:val="10"/>
    <w:qFormat/>
    <w:uiPriority w:val="0"/>
    <w:pPr>
      <w:spacing w:line="0" w:lineRule="atLeast"/>
      <w:outlineLvl w:val="0"/>
    </w:pPr>
    <w:rPr>
      <w:sz w:val="28"/>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6492</Words>
  <Characters>6915</Characters>
  <Lines>4</Lines>
  <Paragraphs>7</Paragraphs>
  <TotalTime>0</TotalTime>
  <ScaleCrop>false</ScaleCrop>
  <LinksUpToDate>false</LinksUpToDate>
  <CharactersWithSpaces>7562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2026-08-18T03:52:00Z</cp:lastPrinted>
  <dcterms:modified xsi:type="dcterms:W3CDTF">2026-10-20T01:26:05Z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DAD1C510F1A44CB3894B438DA00F080E_13</vt:lpwstr>
  </property>
  <property fmtid="{D5CDD505-2E9C-101B-9397-08002B2CF9AE}" pid="4" name="KSOTemplateDocerSaveRecord">
    <vt:lpwstr>eyJoZGlkIjoiMmY5M2NkNzgzMTNhYzNmYjU2NTc2OGQwMGFkNmU3N2MiLCJ1c2VySWQiOiIxNTc4Njk4MDQ3In0=</vt:lpwstr>
  </property>
</Properties>
</file>