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C5253">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44"/>
          <w:szCs w:val="44"/>
        </w:rPr>
      </w:pPr>
      <w:bookmarkStart w:id="3" w:name="_GoBack"/>
      <w:r>
        <w:rPr>
          <w:rFonts w:hint="eastAsia" w:ascii="宋体" w:hAnsi="宋体" w:eastAsia="宋体" w:cs="宋体"/>
          <w:b/>
          <w:bCs/>
          <w:color w:val="auto"/>
          <w:kern w:val="0"/>
          <w:sz w:val="44"/>
          <w:szCs w:val="44"/>
          <w:shd w:val="clear" w:color="auto" w:fill="FFFFFF"/>
        </w:rPr>
        <w:t>网络竞价须知</w:t>
      </w:r>
    </w:p>
    <w:p w14:paraId="1CE15580">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28"/>
          <w:szCs w:val="28"/>
        </w:rPr>
      </w:pPr>
      <w:r>
        <w:rPr>
          <w:rFonts w:hint="eastAsia" w:ascii="宋体" w:hAnsi="宋体" w:eastAsia="宋体" w:cs="宋体"/>
          <w:b/>
          <w:bCs/>
          <w:color w:val="auto"/>
          <w:kern w:val="0"/>
          <w:sz w:val="28"/>
          <w:szCs w:val="28"/>
          <w:shd w:val="clear" w:color="auto" w:fill="FFFFFF"/>
        </w:rPr>
        <w:t>（项目编号:</w:t>
      </w:r>
      <w:r>
        <w:rPr>
          <w:rFonts w:hint="eastAsia" w:ascii="宋体" w:hAnsi="宋体" w:cs="宋体"/>
          <w:b/>
          <w:bCs/>
          <w:color w:val="auto"/>
          <w:kern w:val="0"/>
          <w:sz w:val="28"/>
          <w:szCs w:val="28"/>
          <w:shd w:val="clear" w:color="auto" w:fill="FFFFFF"/>
          <w:lang w:eastAsia="zh-CN"/>
        </w:rPr>
        <w:t>LCCQJJ20261010</w:t>
      </w:r>
      <w:r>
        <w:rPr>
          <w:rFonts w:hint="eastAsia" w:ascii="宋体" w:hAnsi="宋体" w:eastAsia="宋体" w:cs="宋体"/>
          <w:b/>
          <w:bCs/>
          <w:color w:val="auto"/>
          <w:kern w:val="0"/>
          <w:sz w:val="28"/>
          <w:szCs w:val="28"/>
          <w:shd w:val="clear" w:color="auto" w:fill="FFFFFF"/>
        </w:rPr>
        <w:t>）</w:t>
      </w:r>
    </w:p>
    <w:p w14:paraId="7DB3E8E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连城县国有资产产权交易服务有限公司（以下简称本公司）遵循“公开、公平、公正、诚实信用”的原则，依照国家法律、法规、政策为本次竞价活动提供服务。现将有关竞价事项告知如下：</w:t>
      </w:r>
    </w:p>
    <w:p w14:paraId="33FE093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一、竞价、报名时间、地点</w:t>
      </w:r>
    </w:p>
    <w:p w14:paraId="096AB3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w:t>
      </w:r>
      <w:r>
        <w:rPr>
          <w:rFonts w:hint="eastAsia" w:ascii="宋体" w:hAnsi="宋体" w:cs="宋体"/>
          <w:color w:val="auto"/>
          <w:sz w:val="28"/>
          <w:szCs w:val="28"/>
          <w:lang w:val="en-US" w:eastAsia="zh-CN"/>
        </w:rPr>
        <w:t>截</w:t>
      </w:r>
      <w:r>
        <w:rPr>
          <w:rFonts w:hint="eastAsia" w:ascii="宋体" w:hAnsi="宋体" w:eastAsia="宋体" w:cs="宋体"/>
          <w:color w:val="auto"/>
          <w:sz w:val="28"/>
          <w:szCs w:val="28"/>
          <w:lang w:val="en-US" w:eastAsia="zh-CN"/>
        </w:rPr>
        <w:t>止时间：</w:t>
      </w:r>
      <w:r>
        <w:rPr>
          <w:rFonts w:hint="eastAsia" w:ascii="宋体" w:hAnsi="宋体" w:cs="宋体"/>
          <w:color w:val="auto"/>
          <w:sz w:val="28"/>
          <w:szCs w:val="28"/>
          <w:lang w:val="en-US" w:eastAsia="zh-CN"/>
        </w:rPr>
        <w:t>2026年10月10日上午10:00止</w:t>
      </w:r>
      <w:r>
        <w:rPr>
          <w:rFonts w:hint="eastAsia" w:ascii="宋体" w:hAnsi="宋体" w:eastAsia="宋体" w:cs="宋体"/>
          <w:color w:val="auto"/>
          <w:sz w:val="28"/>
          <w:szCs w:val="28"/>
          <w:lang w:val="en-US" w:eastAsia="zh-CN"/>
        </w:rPr>
        <w:t>。</w:t>
      </w:r>
    </w:p>
    <w:p w14:paraId="2F49FF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竞价地点：</w:t>
      </w:r>
      <w:r>
        <w:rPr>
          <w:rFonts w:hint="eastAsia" w:ascii="宋体" w:hAnsi="宋体" w:eastAsia="宋体" w:cs="宋体"/>
          <w:color w:val="auto"/>
          <w:sz w:val="28"/>
          <w:szCs w:val="28"/>
          <w:lang w:eastAsia="zh-CN"/>
        </w:rPr>
        <w:t>连城县招标投标交易平台</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https://lcyjy.enjoy5191.com/home</w:t>
      </w:r>
      <w:r>
        <w:rPr>
          <w:rFonts w:hint="eastAsia" w:ascii="宋体" w:hAnsi="宋体" w:eastAsia="宋体" w:cs="宋体"/>
          <w:color w:val="auto"/>
          <w:sz w:val="28"/>
          <w:szCs w:val="28"/>
        </w:rPr>
        <w:t xml:space="preserve"> )</w:t>
      </w:r>
    </w:p>
    <w:p w14:paraId="671033C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w:t>
      </w:r>
      <w:r>
        <w:rPr>
          <w:rFonts w:hint="eastAsia" w:ascii="宋体" w:hAnsi="宋体" w:cs="宋体"/>
          <w:color w:val="auto"/>
          <w:sz w:val="28"/>
          <w:szCs w:val="28"/>
          <w:lang w:val="en-US" w:eastAsia="zh-CN"/>
        </w:rPr>
        <w:t>截止</w:t>
      </w:r>
      <w:r>
        <w:rPr>
          <w:rFonts w:hint="eastAsia" w:ascii="宋体" w:hAnsi="宋体" w:eastAsia="宋体" w:cs="宋体"/>
          <w:color w:val="auto"/>
          <w:sz w:val="28"/>
          <w:szCs w:val="28"/>
          <w:lang w:val="en-US" w:eastAsia="zh-CN"/>
        </w:rPr>
        <w:t>时间：</w:t>
      </w:r>
      <w:r>
        <w:rPr>
          <w:rFonts w:hint="eastAsia" w:ascii="宋体" w:hAnsi="宋体" w:cs="宋体"/>
          <w:color w:val="auto"/>
          <w:sz w:val="28"/>
          <w:szCs w:val="28"/>
          <w:lang w:val="en-US" w:eastAsia="zh-CN"/>
        </w:rPr>
        <w:t>2026年10月10日上午10:00止。</w:t>
      </w:r>
    </w:p>
    <w:p w14:paraId="3E1DC9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报名地点：连城县国有资产产权交易服务有限公司（福建省龙岩市连城县莲峰镇李彭村彭坊桥路1号4层）</w:t>
      </w:r>
    </w:p>
    <w:p w14:paraId="14DF3CA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color w:val="auto"/>
          <w:sz w:val="28"/>
          <w:szCs w:val="28"/>
          <w:lang w:val="en-US" w:eastAsia="zh-CN"/>
        </w:rPr>
      </w:pPr>
      <w:r>
        <w:rPr>
          <w:rFonts w:hint="eastAsia" w:ascii="宋体" w:hAnsi="宋体" w:eastAsia="宋体" w:cs="宋体"/>
          <w:color w:val="auto"/>
          <w:sz w:val="28"/>
          <w:szCs w:val="28"/>
          <w:lang w:val="en-US" w:eastAsia="zh-CN"/>
        </w:rPr>
        <w:t>连城产权联系电话：</w:t>
      </w:r>
      <w:r>
        <w:rPr>
          <w:rFonts w:hint="eastAsia" w:ascii="宋体" w:hAnsi="宋体" w:cs="宋体"/>
          <w:color w:val="auto"/>
          <w:sz w:val="28"/>
          <w:szCs w:val="28"/>
          <w:lang w:val="en-US" w:eastAsia="zh-CN"/>
        </w:rPr>
        <w:t>林女士  18039878961</w:t>
      </w:r>
    </w:p>
    <w:p w14:paraId="100308C1">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二、项目概况及工作要求</w:t>
      </w:r>
    </w:p>
    <w:p w14:paraId="6C617DF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color w:val="auto"/>
          <w:sz w:val="28"/>
          <w:szCs w:val="28"/>
          <w:lang w:val="en-US" w:eastAsia="zh-CN"/>
        </w:rPr>
        <w:t>生态度假养老社区（一期）7号楼养老度假公寓改造工程设计</w:t>
      </w:r>
      <w:r>
        <w:rPr>
          <w:rFonts w:hint="eastAsia" w:ascii="宋体" w:hAnsi="宋体" w:eastAsia="宋体" w:cs="宋体"/>
          <w:b w:val="0"/>
          <w:bCs w:val="0"/>
          <w:color w:val="auto"/>
          <w:sz w:val="28"/>
          <w:szCs w:val="28"/>
          <w:lang w:val="en-US" w:eastAsia="zh-CN"/>
        </w:rPr>
        <w:t>。</w:t>
      </w:r>
    </w:p>
    <w:p w14:paraId="3A73A13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2.项目</w:t>
      </w:r>
      <w:r>
        <w:rPr>
          <w:rFonts w:hint="eastAsia" w:ascii="宋体" w:hAnsi="宋体" w:cs="宋体"/>
          <w:b w:val="0"/>
          <w:bCs w:val="0"/>
          <w:color w:val="auto"/>
          <w:sz w:val="28"/>
          <w:szCs w:val="28"/>
          <w:lang w:val="en-US" w:eastAsia="zh-CN"/>
        </w:rPr>
        <w:t>规模</w:t>
      </w:r>
      <w:r>
        <w:rPr>
          <w:rFonts w:hint="eastAsia" w:ascii="宋体" w:hAnsi="宋体" w:eastAsia="宋体" w:cs="宋体"/>
          <w:b w:val="0"/>
          <w:bCs w:val="0"/>
          <w:color w:val="auto"/>
          <w:sz w:val="28"/>
          <w:szCs w:val="28"/>
          <w:lang w:val="en-US" w:eastAsia="zh-CN"/>
        </w:rPr>
        <w:t>：</w:t>
      </w:r>
      <w:bookmarkStart w:id="0" w:name="EB1e74973335fd4e33a0ad05f482f333fe"/>
      <w:r>
        <w:rPr>
          <w:rFonts w:hint="eastAsia" w:ascii="宋体" w:hAnsi="宋体" w:eastAsia="宋体" w:cs="宋体"/>
          <w:b w:val="0"/>
          <w:bCs w:val="0"/>
          <w:color w:val="auto"/>
          <w:sz w:val="28"/>
          <w:szCs w:val="28"/>
          <w:lang w:val="en-US" w:eastAsia="zh-CN"/>
        </w:rPr>
        <w:t>莲嘉小区</w:t>
      </w:r>
      <w:r>
        <w:rPr>
          <w:rFonts w:hint="eastAsia" w:ascii="宋体" w:hAnsi="宋体" w:cs="宋体"/>
          <w:b w:val="0"/>
          <w:bCs w:val="0"/>
          <w:color w:val="auto"/>
          <w:sz w:val="28"/>
          <w:szCs w:val="28"/>
          <w:lang w:val="en-US" w:eastAsia="zh-CN"/>
        </w:rPr>
        <w:t>7号</w:t>
      </w:r>
      <w:r>
        <w:rPr>
          <w:rFonts w:hint="eastAsia" w:ascii="宋体" w:hAnsi="宋体" w:eastAsia="宋体" w:cs="宋体"/>
          <w:b w:val="0"/>
          <w:bCs w:val="0"/>
          <w:color w:val="auto"/>
          <w:sz w:val="28"/>
          <w:szCs w:val="28"/>
          <w:lang w:val="en-US" w:eastAsia="zh-CN"/>
        </w:rPr>
        <w:t>楼总建筑面积约2978.53㎡，拟打造养老度假公寓，共计68间房（其中单人间16间、双人间52间（具体以最终图纸为主））、运营办公用房，酒店接待大厅，会议室，休息室等功能室。配套建设适老设施，如无障碍通道、扶手、防滑地面等。</w:t>
      </w:r>
    </w:p>
    <w:p w14:paraId="75782C2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设计范围：</w:t>
      </w:r>
      <w:bookmarkEnd w:id="0"/>
      <w:r>
        <w:rPr>
          <w:rFonts w:hint="eastAsia" w:ascii="宋体" w:hAnsi="宋体" w:eastAsia="宋体" w:cs="宋体"/>
          <w:b w:val="0"/>
          <w:bCs w:val="0"/>
          <w:color w:val="auto"/>
          <w:sz w:val="28"/>
          <w:szCs w:val="28"/>
          <w:lang w:val="en-US" w:eastAsia="zh-CN"/>
        </w:rPr>
        <w:t>包括但不限于本项目方案设计、初步设计、施工图设计等,并对成本进行审核和监控，现场重大和关键工序施工方案的合理化建议，现场施工的配合工作等。</w:t>
      </w:r>
      <w:bookmarkStart w:id="1" w:name="EB67e0e90db02641b09c266f0f7e70b8f6"/>
    </w:p>
    <w:p w14:paraId="237D8C45">
      <w:pPr>
        <w:pStyle w:val="11"/>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firstLine="560" w:firstLineChars="200"/>
        <w:jc w:val="both"/>
        <w:rPr>
          <w:color w:val="auto"/>
        </w:rPr>
      </w:pPr>
      <w:r>
        <w:rPr>
          <w:rFonts w:hint="eastAsia" w:ascii="宋体" w:hAnsi="宋体" w:cs="宋体"/>
          <w:b w:val="0"/>
          <w:bCs w:val="0"/>
          <w:color w:val="auto"/>
          <w:sz w:val="28"/>
          <w:szCs w:val="28"/>
          <w:lang w:val="en-US" w:eastAsia="zh-CN"/>
        </w:rPr>
        <w:t>设计成果：</w:t>
      </w:r>
      <w:r>
        <w:rPr>
          <w:rFonts w:hint="eastAsia" w:ascii="宋体" w:hAnsi="宋体" w:eastAsia="宋体" w:cs="宋体"/>
          <w:b w:val="0"/>
          <w:bCs w:val="0"/>
          <w:color w:val="auto"/>
          <w:kern w:val="2"/>
          <w:sz w:val="28"/>
          <w:szCs w:val="28"/>
          <w:lang w:val="en-US" w:eastAsia="zh-CN" w:bidi="ar-SA"/>
        </w:rPr>
        <w:t>包括但不限于</w:t>
      </w:r>
      <w:r>
        <w:rPr>
          <w:rFonts w:hint="default" w:ascii="宋体" w:hAnsi="宋体" w:eastAsia="宋体" w:cs="宋体"/>
          <w:b w:val="0"/>
          <w:bCs w:val="0"/>
          <w:color w:val="auto"/>
          <w:kern w:val="2"/>
          <w:sz w:val="28"/>
          <w:szCs w:val="28"/>
          <w:lang w:val="en-US" w:eastAsia="zh-CN" w:bidi="ar-SA"/>
        </w:rPr>
        <w:t>概念方案</w:t>
      </w:r>
      <w:r>
        <w:rPr>
          <w:rFonts w:hint="eastAsia" w:ascii="宋体" w:hAnsi="宋体" w:eastAsia="宋体" w:cs="宋体"/>
          <w:b w:val="0"/>
          <w:bCs w:val="0"/>
          <w:color w:val="auto"/>
          <w:kern w:val="2"/>
          <w:sz w:val="28"/>
          <w:szCs w:val="28"/>
          <w:lang w:val="en-US" w:eastAsia="zh-CN" w:bidi="ar-SA"/>
        </w:rPr>
        <w:t>、</w:t>
      </w:r>
      <w:r>
        <w:rPr>
          <w:rFonts w:hint="default" w:ascii="宋体" w:hAnsi="宋体" w:eastAsia="宋体" w:cs="宋体"/>
          <w:b w:val="0"/>
          <w:bCs w:val="0"/>
          <w:color w:val="auto"/>
          <w:kern w:val="2"/>
          <w:sz w:val="28"/>
          <w:szCs w:val="28"/>
          <w:lang w:val="en-US" w:eastAsia="zh-CN" w:bidi="ar-SA"/>
        </w:rPr>
        <w:t>深化方案</w:t>
      </w:r>
      <w:r>
        <w:rPr>
          <w:rFonts w:hint="eastAsia" w:ascii="宋体" w:hAnsi="宋体" w:eastAsia="宋体" w:cs="宋体"/>
          <w:b w:val="0"/>
          <w:bCs w:val="0"/>
          <w:color w:val="auto"/>
          <w:kern w:val="2"/>
          <w:sz w:val="28"/>
          <w:szCs w:val="28"/>
          <w:lang w:val="en-US" w:eastAsia="zh-CN" w:bidi="ar-SA"/>
        </w:rPr>
        <w:t>和</w:t>
      </w:r>
      <w:r>
        <w:rPr>
          <w:rFonts w:hint="default" w:ascii="宋体" w:hAnsi="宋体" w:eastAsia="宋体" w:cs="宋体"/>
          <w:b w:val="0"/>
          <w:bCs w:val="0"/>
          <w:color w:val="auto"/>
          <w:kern w:val="2"/>
          <w:sz w:val="28"/>
          <w:szCs w:val="28"/>
          <w:lang w:val="en-US" w:eastAsia="zh-CN" w:bidi="ar-SA"/>
        </w:rPr>
        <w:t>施工图</w:t>
      </w:r>
      <w:r>
        <w:rPr>
          <w:rFonts w:hint="eastAsia" w:ascii="宋体" w:hAnsi="宋体" w:eastAsia="宋体" w:cs="宋体"/>
          <w:b w:val="0"/>
          <w:bCs w:val="0"/>
          <w:color w:val="auto"/>
          <w:kern w:val="2"/>
          <w:sz w:val="28"/>
          <w:szCs w:val="28"/>
          <w:lang w:val="en-US" w:eastAsia="zh-CN" w:bidi="ar-SA"/>
        </w:rPr>
        <w:t>等。其中</w:t>
      </w:r>
      <w:r>
        <w:rPr>
          <w:rFonts w:hint="default" w:ascii="宋体" w:hAnsi="宋体" w:eastAsia="宋体" w:cs="宋体"/>
          <w:b w:val="0"/>
          <w:bCs w:val="0"/>
          <w:color w:val="auto"/>
          <w:kern w:val="2"/>
          <w:sz w:val="28"/>
          <w:szCs w:val="28"/>
          <w:lang w:val="en-US" w:eastAsia="zh-CN" w:bidi="ar-SA"/>
        </w:rPr>
        <w:t>概念方案： 风格意向图集、总平与流线分析、空间草图。深化方案：全套效果图、天花地面材质图、灯光设计图、家具方案。施工图：全套专业施工蓝图及节点大样施工图。</w:t>
      </w:r>
    </w:p>
    <w:bookmarkEnd w:id="1"/>
    <w:p w14:paraId="5F18A66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yellow"/>
          <w:lang w:val="en-US" w:eastAsia="zh-CN"/>
        </w:rPr>
      </w:pPr>
      <w:r>
        <w:rPr>
          <w:rFonts w:hint="eastAsia" w:ascii="宋体" w:hAnsi="宋体" w:eastAsia="宋体" w:cs="宋体"/>
          <w:b w:val="0"/>
          <w:bCs w:val="0"/>
          <w:color w:val="auto"/>
          <w:sz w:val="28"/>
          <w:szCs w:val="28"/>
          <w:highlight w:val="none"/>
          <w:lang w:val="en-US" w:eastAsia="zh-CN"/>
        </w:rPr>
        <w:t>3.</w:t>
      </w:r>
      <w:r>
        <w:rPr>
          <w:rFonts w:hint="eastAsia" w:ascii="宋体" w:hAnsi="宋体" w:cs="宋体"/>
          <w:b w:val="0"/>
          <w:bCs w:val="0"/>
          <w:color w:val="auto"/>
          <w:sz w:val="28"/>
          <w:szCs w:val="28"/>
          <w:highlight w:val="none"/>
          <w:lang w:val="en-US" w:eastAsia="zh-CN"/>
        </w:rPr>
        <w:t>招标控制价</w:t>
      </w:r>
      <w:r>
        <w:rPr>
          <w:rFonts w:hint="eastAsia" w:ascii="宋体" w:hAnsi="宋体" w:eastAsia="宋体" w:cs="宋体"/>
          <w:b w:val="0"/>
          <w:bCs w:val="0"/>
          <w:color w:val="auto"/>
          <w:sz w:val="28"/>
          <w:szCs w:val="28"/>
          <w:highlight w:val="none"/>
          <w:lang w:val="en-US" w:eastAsia="zh-CN"/>
        </w:rPr>
        <w:t>：</w:t>
      </w:r>
      <w:r>
        <w:rPr>
          <w:rFonts w:hint="eastAsia" w:ascii="宋体" w:hAnsi="宋体" w:eastAsia="宋体" w:cs="宋体"/>
          <w:b w:val="0"/>
          <w:bCs w:val="0"/>
          <w:color w:val="auto"/>
          <w:sz w:val="28"/>
          <w:szCs w:val="28"/>
          <w:highlight w:val="none"/>
          <w:lang w:val="en-US" w:eastAsia="zh-CN"/>
        </w:rPr>
        <w:t>本项目最低优惠下浮率为30%，工程总投资暂定</w:t>
      </w:r>
      <w:r>
        <w:rPr>
          <w:rFonts w:hint="eastAsia" w:ascii="宋体" w:hAnsi="宋体" w:cs="宋体"/>
          <w:b w:val="0"/>
          <w:bCs w:val="0"/>
          <w:color w:val="auto"/>
          <w:sz w:val="28"/>
          <w:szCs w:val="28"/>
          <w:highlight w:val="none"/>
          <w:lang w:val="en-US" w:eastAsia="zh-CN"/>
        </w:rPr>
        <w:t>1000</w:t>
      </w:r>
      <w:r>
        <w:rPr>
          <w:rFonts w:hint="eastAsia" w:ascii="宋体" w:hAnsi="宋体" w:eastAsia="宋体" w:cs="宋体"/>
          <w:b w:val="0"/>
          <w:bCs w:val="0"/>
          <w:color w:val="auto"/>
          <w:sz w:val="28"/>
          <w:szCs w:val="28"/>
          <w:highlight w:val="none"/>
          <w:lang w:val="en-US" w:eastAsia="zh-CN"/>
        </w:rPr>
        <w:t>万元</w:t>
      </w:r>
      <w:r>
        <w:rPr>
          <w:rFonts w:hint="eastAsia" w:ascii="宋体" w:hAnsi="宋体" w:cs="宋体"/>
          <w:b w:val="0"/>
          <w:bCs w:val="0"/>
          <w:color w:val="auto"/>
          <w:sz w:val="28"/>
          <w:szCs w:val="28"/>
          <w:highlight w:val="none"/>
          <w:lang w:val="en-US" w:eastAsia="zh-CN"/>
        </w:rPr>
        <w:t>（含设备）</w:t>
      </w:r>
      <w:r>
        <w:rPr>
          <w:rFonts w:hint="eastAsia" w:ascii="宋体" w:hAnsi="宋体" w:eastAsia="宋体" w:cs="宋体"/>
          <w:b w:val="0"/>
          <w:bCs w:val="0"/>
          <w:color w:val="auto"/>
          <w:sz w:val="28"/>
          <w:szCs w:val="28"/>
          <w:highlight w:val="none"/>
          <w:lang w:val="en-US" w:eastAsia="zh-CN"/>
        </w:rPr>
        <w:t>（最终以预算审定金额作为结算基价确定设计费用）。设计费计算办法：</w:t>
      </w:r>
      <w:bookmarkStart w:id="2" w:name="EBf6c922f4342240a5a3028de6cfcb0704"/>
      <w:r>
        <w:rPr>
          <w:rFonts w:hint="eastAsia" w:ascii="宋体" w:hAnsi="宋体" w:eastAsia="宋体" w:cs="宋体"/>
          <w:b w:val="0"/>
          <w:bCs w:val="0"/>
          <w:color w:val="auto"/>
          <w:sz w:val="28"/>
          <w:szCs w:val="28"/>
          <w:highlight w:val="none"/>
          <w:lang w:val="en-US" w:eastAsia="zh-CN"/>
        </w:rPr>
        <w:t>参照国家发展计划委员会、建设部《工程勘察设计收费标准》（2002年修订本）收费计取，具体计算方式如下：①工程设计收费＝工程设计收费基准价×（1-成交下浮率）；②工程设计收费基准价＝基本设计收费＋其他设计收费，③基本设计收费＝工程设计收费基价×专业调整系数×工程复杂程度调整系数×附加调整系数，其中，专业调整系数为1.0，工程复杂程度调整系数为0.85，附加调整系数为1.0，最终以经以连城县财政投资评审中心或具备资质的第三方审核机构出具的工程预算评审结论书的金额（扣除暂列金、暂估价）作为工程设计收费计算基数。</w:t>
      </w:r>
      <w:bookmarkEnd w:id="2"/>
    </w:p>
    <w:p w14:paraId="25CF4BA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注：1）本项目工程设计费包括但不限于专家评审费、设备进出场费、竞价服务费、现场踏勘费、税费、驻场费等，竞价人应充分考虑人工、材料、机械、政策调整及其他不可预见的一切因素，风险费用应自行考虑计入投标报价，竞价人未考虑风险因素造成的损失由竞价人自行负责。2）本项目以优惠下浮率方式进行报价；竞价人投报下浮率区间为30%（含）-100%（含）。竞价人须在此区间内报价，投报下浮率超过区间值为无效报价。</w:t>
      </w:r>
    </w:p>
    <w:p w14:paraId="06D29DF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4.竞价保证金</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3000</w:t>
      </w:r>
      <w:r>
        <w:rPr>
          <w:rFonts w:hint="eastAsia" w:ascii="宋体" w:hAnsi="宋体" w:eastAsia="宋体" w:cs="宋体"/>
          <w:color w:val="auto"/>
          <w:sz w:val="28"/>
          <w:szCs w:val="28"/>
          <w:highlight w:val="none"/>
          <w:lang w:val="en-US" w:eastAsia="zh-CN"/>
        </w:rPr>
        <w:t>元。</w:t>
      </w:r>
    </w:p>
    <w:p w14:paraId="1B1EB91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rPr>
        <w:t>.工作要求</w:t>
      </w:r>
      <w:r>
        <w:rPr>
          <w:rFonts w:hint="eastAsia" w:ascii="宋体" w:hAnsi="宋体" w:eastAsia="宋体" w:cs="宋体"/>
          <w:b/>
          <w:bCs/>
          <w:color w:val="auto"/>
          <w:kern w:val="0"/>
          <w:sz w:val="28"/>
          <w:szCs w:val="28"/>
          <w:highlight w:val="none"/>
          <w:shd w:val="clear" w:color="auto" w:fill="FFFFFF"/>
          <w:lang w:val="en-US" w:eastAsia="zh-CN" w:bidi="ar-SA"/>
        </w:rPr>
        <w:t>（具体按委托人要求及《</w:t>
      </w:r>
      <w:r>
        <w:rPr>
          <w:rFonts w:hint="eastAsia" w:ascii="宋体" w:hAnsi="宋体" w:cs="宋体"/>
          <w:b/>
          <w:bCs/>
          <w:color w:val="auto"/>
          <w:sz w:val="28"/>
          <w:szCs w:val="28"/>
          <w:highlight w:val="none"/>
          <w:lang w:val="en-US" w:eastAsia="zh-CN"/>
        </w:rPr>
        <w:t>建设工程设计合同</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kern w:val="0"/>
          <w:sz w:val="28"/>
          <w:szCs w:val="28"/>
          <w:highlight w:val="none"/>
          <w:shd w:val="clear" w:color="auto" w:fill="FFFFFF"/>
          <w:lang w:val="en-US" w:eastAsia="zh-CN" w:bidi="ar-SA"/>
        </w:rPr>
        <w:t>执行）</w:t>
      </w:r>
      <w:r>
        <w:rPr>
          <w:rFonts w:hint="eastAsia" w:ascii="宋体" w:hAnsi="宋体" w:eastAsia="宋体" w:cs="宋体"/>
          <w:color w:val="auto"/>
          <w:sz w:val="28"/>
          <w:szCs w:val="28"/>
          <w:highlight w:val="none"/>
        </w:rPr>
        <w:t>：</w:t>
      </w:r>
    </w:p>
    <w:p w14:paraId="4C41D45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（1）设计周期：</w:t>
      </w:r>
      <w:r>
        <w:rPr>
          <w:rFonts w:hint="eastAsia" w:ascii="宋体" w:hAnsi="宋体" w:eastAsia="宋体" w:cs="宋体"/>
          <w:b w:val="0"/>
          <w:bCs w:val="0"/>
          <w:color w:val="auto"/>
          <w:sz w:val="28"/>
          <w:szCs w:val="28"/>
          <w:highlight w:val="none"/>
          <w:lang w:val="en-US" w:eastAsia="zh-CN"/>
        </w:rPr>
        <w:t>合同签订后</w:t>
      </w:r>
      <w:r>
        <w:rPr>
          <w:rFonts w:hint="eastAsia" w:ascii="宋体" w:hAnsi="宋体" w:cs="宋体"/>
          <w:b w:val="0"/>
          <w:bCs w:val="0"/>
          <w:color w:val="auto"/>
          <w:sz w:val="28"/>
          <w:szCs w:val="28"/>
          <w:highlight w:val="none"/>
          <w:lang w:val="en-US" w:eastAsia="zh-CN"/>
        </w:rPr>
        <w:t>15</w:t>
      </w:r>
      <w:r>
        <w:rPr>
          <w:rFonts w:hint="eastAsia" w:ascii="宋体" w:hAnsi="宋体" w:eastAsia="宋体" w:cs="宋体"/>
          <w:b w:val="0"/>
          <w:bCs w:val="0"/>
          <w:color w:val="auto"/>
          <w:sz w:val="28"/>
          <w:szCs w:val="28"/>
          <w:highlight w:val="none"/>
          <w:lang w:val="en-US" w:eastAsia="zh-CN"/>
        </w:rPr>
        <w:t>日内完成方案设计优化、初步设计和施工图设计。</w:t>
      </w:r>
    </w:p>
    <w:p w14:paraId="229183A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（2）质量要求：符合现行国家、地方及行业相关设计规范要求，通过相关行政主管部门及施工图审查机构审查。</w:t>
      </w:r>
    </w:p>
    <w:p w14:paraId="412494F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（3）是否收取履约保证金：否。　</w:t>
      </w:r>
    </w:p>
    <w:p w14:paraId="0B69E3AD">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14:paraId="2AFD0D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1.遵守中华人民共和国法律、法规，且能够诚信经营的境内具有独立法人资格的供应商均有可能成为合格的竞价人,但已经被列入失信被执行人名单（截止报名时间）的除外。</w:t>
      </w:r>
    </w:p>
    <w:p w14:paraId="2E0B414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2.近三年执业未因违反执业规范和执业纪律受到处罚，具有良好的商业信誉。</w:t>
      </w:r>
    </w:p>
    <w:p w14:paraId="36A7401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3.竞价人必须是委托人邀请的单位</w:t>
      </w:r>
      <w:r>
        <w:rPr>
          <w:rFonts w:hint="eastAsia" w:ascii="宋体" w:hAnsi="宋体" w:cs="宋体"/>
          <w:color w:val="auto"/>
          <w:sz w:val="28"/>
          <w:szCs w:val="28"/>
          <w:lang w:val="en-US" w:eastAsia="zh-CN"/>
        </w:rPr>
        <w:t>。</w:t>
      </w:r>
    </w:p>
    <w:p w14:paraId="3F4EB38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.竞价人须具备建设行政主管部门核发的工程设计综合甲级资质或建筑行业（建筑工程）乙级及以上资质或建筑装饰工程设计</w:t>
      </w:r>
      <w:r>
        <w:rPr>
          <w:rFonts w:hint="eastAsia" w:ascii="宋体" w:hAnsi="宋体" w:eastAsia="宋体" w:cs="宋体"/>
          <w:color w:val="auto"/>
          <w:sz w:val="28"/>
          <w:szCs w:val="28"/>
          <w:highlight w:val="none"/>
          <w:lang w:val="en-US" w:eastAsia="zh-CN"/>
        </w:rPr>
        <w:t>专项乙级及以上资质。</w:t>
      </w:r>
    </w:p>
    <w:p w14:paraId="6B1E901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.设计人员要求：拟担任本设计项目负责人应具备一级国家注册建筑师执业资格。</w:t>
      </w:r>
    </w:p>
    <w:p w14:paraId="7233402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lang w:val="en-US" w:eastAsia="zh-CN"/>
        </w:rPr>
        <w:t>供应商</w:t>
      </w:r>
      <w:r>
        <w:rPr>
          <w:rFonts w:hint="eastAsia" w:ascii="宋体" w:hAnsi="宋体" w:eastAsia="宋体" w:cs="宋体"/>
          <w:color w:val="auto"/>
          <w:sz w:val="28"/>
          <w:szCs w:val="28"/>
        </w:rPr>
        <w:t>。</w:t>
      </w:r>
    </w:p>
    <w:p w14:paraId="5B96E7FD">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14:paraId="3829FF2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1.竞价保证金</w:t>
      </w:r>
      <w:r>
        <w:rPr>
          <w:rFonts w:hint="eastAsia" w:ascii="宋体" w:hAnsi="宋体" w:cs="宋体"/>
          <w:color w:val="auto"/>
          <w:sz w:val="28"/>
          <w:szCs w:val="28"/>
          <w:lang w:val="en-US" w:eastAsia="zh-CN"/>
        </w:rPr>
        <w:t>3000</w:t>
      </w:r>
      <w:r>
        <w:rPr>
          <w:rFonts w:hint="eastAsia" w:ascii="宋体" w:hAnsi="宋体" w:eastAsia="宋体" w:cs="宋体"/>
          <w:color w:val="auto"/>
          <w:sz w:val="28"/>
          <w:szCs w:val="28"/>
          <w:lang w:val="en-US" w:eastAsia="zh-CN"/>
        </w:rPr>
        <w:t>元</w:t>
      </w:r>
      <w:r>
        <w:rPr>
          <w:rFonts w:hint="eastAsia" w:ascii="宋体" w:hAnsi="宋体" w:eastAsia="宋体" w:cs="宋体"/>
          <w:color w:val="auto"/>
          <w:sz w:val="28"/>
          <w:szCs w:val="28"/>
          <w:lang w:val="en-US" w:eastAsia="zh-CN"/>
        </w:rPr>
        <w:t>，必须于</w:t>
      </w:r>
      <w:r>
        <w:rPr>
          <w:rFonts w:hint="eastAsia" w:ascii="宋体" w:hAnsi="宋体" w:cs="宋体"/>
          <w:color w:val="auto"/>
          <w:sz w:val="28"/>
          <w:szCs w:val="28"/>
          <w:lang w:val="en-US" w:eastAsia="zh-CN"/>
        </w:rPr>
        <w:t>2026年10月10日上午</w:t>
      </w:r>
      <w:r>
        <w:rPr>
          <w:rFonts w:hint="eastAsia" w:ascii="宋体" w:hAnsi="宋体" w:cs="宋体"/>
          <w:b/>
          <w:bCs/>
          <w:color w:val="auto"/>
          <w:kern w:val="0"/>
          <w:sz w:val="28"/>
          <w:szCs w:val="28"/>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w:t>
      </w:r>
    </w:p>
    <w:p w14:paraId="37C3312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2.竞价成交后，成交人必须在成交之日起</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个工作日内与本公司签订《竞价结果通知书》，并在签订《竞价结果通知书》</w:t>
      </w: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个工作日内向委托人提供《</w:t>
      </w:r>
      <w:r>
        <w:rPr>
          <w:rFonts w:hint="eastAsia" w:ascii="宋体" w:hAnsi="宋体" w:cs="宋体"/>
          <w:color w:val="auto"/>
          <w:sz w:val="28"/>
          <w:szCs w:val="28"/>
          <w:lang w:val="en-US" w:eastAsia="zh-CN"/>
        </w:rPr>
        <w:t>建设工程设计合同</w:t>
      </w:r>
      <w:r>
        <w:rPr>
          <w:rFonts w:hint="eastAsia" w:ascii="宋体" w:hAnsi="宋体" w:eastAsia="宋体" w:cs="宋体"/>
          <w:color w:val="auto"/>
          <w:sz w:val="28"/>
          <w:szCs w:val="28"/>
          <w:lang w:val="en-US" w:eastAsia="zh-CN"/>
        </w:rPr>
        <w:t>》，由委托人经过相应审批程序后签订。</w:t>
      </w:r>
    </w:p>
    <w:p w14:paraId="746ABC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3.成交人的竞价保证金在成交人与委托人签订委托合同后10个工作日内一次性无息退回。</w:t>
      </w:r>
    </w:p>
    <w:p w14:paraId="3AE710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4.未成交人的保证金，在竞价结束后10个工作日内（遇法定节假日顺延）无息退回。</w:t>
      </w:r>
    </w:p>
    <w:p w14:paraId="78C3076C">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14:paraId="1D58011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14:paraId="29905A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（1）营业执照副本、法定代表人身份证复印件；</w:t>
      </w:r>
    </w:p>
    <w:p w14:paraId="73D1E8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（2）签订完整的承诺书</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格式详见附件1</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lang w:val="en-US" w:eastAsia="zh-CN"/>
        </w:rPr>
        <w:t>；</w:t>
      </w:r>
    </w:p>
    <w:p w14:paraId="3894F3C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（3）已缴纳的竞价保证金凭证；</w:t>
      </w:r>
    </w:p>
    <w:p w14:paraId="279EF0F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（4）在参加本次采购活动前3年内在经营活动中没有重大违法记录的书面声明（格式可参考附件</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w:t>
      </w:r>
    </w:p>
    <w:p w14:paraId="56BDA23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（5）通过“信用中国”网（www.creditchina.gov.cn）或中国政府采购网（www.ccgp.gov.cn）信用信息查询无严重违法失信行为信息记录的打印件（或截图）；</w:t>
      </w:r>
    </w:p>
    <w:p w14:paraId="7630B82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（6）建设行政主管部门核发的工程设计综合甲级资质或建筑行业（建筑工程）乙级及以上资质或建筑装饰工程设计专项乙级及以上资质证书复印件</w:t>
      </w:r>
      <w:r>
        <w:rPr>
          <w:rFonts w:hint="eastAsia" w:ascii="宋体" w:hAnsi="宋体" w:cs="宋体"/>
          <w:color w:val="auto"/>
          <w:sz w:val="28"/>
          <w:szCs w:val="28"/>
          <w:lang w:val="en-US" w:eastAsia="zh-CN"/>
        </w:rPr>
        <w:t>；</w:t>
      </w:r>
    </w:p>
    <w:p w14:paraId="436A8AA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7）拟担任设计项目负责人的注册证书复印件，拟派的设计项目负责人必须为竞价人的本企业在岗人员，以住房和城乡建设行政主管部门颁发的有效执业注册证书或社保管理部门出具的社保缴费证明所署单位【社保缴费证明为竞价截止时间前（不包括当月）连续三个月为其缴纳的社保证明（至少包含养老保险，由于社保部门原因上一个月的社保证明无法提供的可往前顺延一个月）】为准。</w:t>
      </w:r>
    </w:p>
    <w:p w14:paraId="08D0099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如有需到现场办理竞价手续的，应提供《授权委托书》原件和委托代理人身份证复印件（法定代表人除外）</w:t>
      </w:r>
    </w:p>
    <w:p w14:paraId="5A46ADB8">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以上材料须加盖公章后上传至“连城县招标投标交易平台</w:t>
      </w:r>
      <w:r>
        <w:rPr>
          <w:rFonts w:hint="eastAsia" w:ascii="宋体" w:hAnsi="宋体" w:eastAsia="宋体" w:cs="宋体"/>
          <w:color w:val="auto"/>
          <w:sz w:val="28"/>
          <w:szCs w:val="28"/>
          <w:lang w:val="en-US" w:eastAsia="zh-CN"/>
        </w:rPr>
        <w:t>”。</w:t>
      </w:r>
    </w:p>
    <w:p w14:paraId="79DABAB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14:paraId="056F92B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14:paraId="744C1C7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544E223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04D01115">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14:paraId="43D9F5F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1.本场竞价对参与竟价的人数不做限制，不受竟价人数量影响，只要有符合条件的竞价人参与并达成交易即可。</w:t>
      </w:r>
    </w:p>
    <w:p w14:paraId="6C1920A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p>
    <w:p w14:paraId="3D441B2B">
      <w:pPr>
        <w:keepNext w:val="0"/>
        <w:keepLines w:val="0"/>
        <w:pageBreakBefore w:val="0"/>
        <w:widowControl/>
        <w:shd w:val="clear"/>
        <w:kinsoku/>
        <w:wordWrap/>
        <w:overflowPunct/>
        <w:topLinePunct w:val="0"/>
        <w:autoSpaceDE/>
        <w:autoSpaceDN/>
        <w:bidi w:val="0"/>
        <w:snapToGrid/>
        <w:spacing w:line="360" w:lineRule="auto"/>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b/>
          <w:bCs/>
          <w:color w:val="auto"/>
          <w:kern w:val="2"/>
          <w:sz w:val="28"/>
          <w:szCs w:val="28"/>
          <w:highlight w:val="none"/>
          <w:shd w:val="clear"/>
          <w:lang w:val="en-US" w:eastAsia="zh-CN"/>
        </w:rPr>
        <w:t>报价截止时间后，系统将自动开启解密，提交报价的供应商需在30分钟内进行解密，否则视为撤回报价。</w:t>
      </w:r>
    </w:p>
    <w:p w14:paraId="4511397C">
      <w:pPr>
        <w:keepNext w:val="0"/>
        <w:keepLines/>
        <w:pageBreakBefore w:val="0"/>
        <w:widowControl/>
        <w:shd w:val="clear"/>
        <w:kinsoku/>
        <w:wordWrap w:val="0"/>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cs="宋体"/>
          <w:color w:val="auto"/>
          <w:kern w:val="2"/>
          <w:sz w:val="28"/>
          <w:szCs w:val="28"/>
          <w:highlight w:val="none"/>
          <w:shd w:val="clear"/>
          <w:lang w:val="en-US" w:eastAsia="zh-CN"/>
        </w:rPr>
        <w:t>正</w:t>
      </w:r>
      <w:r>
        <w:rPr>
          <w:rFonts w:hint="eastAsia" w:ascii="宋体" w:hAnsi="宋体" w:eastAsia="宋体" w:cs="宋体"/>
          <w:color w:val="auto"/>
          <w:kern w:val="2"/>
          <w:sz w:val="28"/>
          <w:szCs w:val="28"/>
          <w:highlight w:val="none"/>
          <w:shd w:val="clear"/>
          <w:lang w:eastAsia="zh-CN"/>
        </w:rPr>
        <w:t>向一次</w:t>
      </w:r>
      <w:r>
        <w:rPr>
          <w:rFonts w:hint="eastAsia" w:ascii="宋体" w:hAnsi="宋体" w:eastAsia="宋体" w:cs="宋体"/>
          <w:color w:val="auto"/>
          <w:kern w:val="2"/>
          <w:sz w:val="28"/>
          <w:szCs w:val="28"/>
          <w:highlight w:val="none"/>
          <w:shd w:val="clear"/>
          <w:lang w:eastAsia="zh-CN"/>
        </w:rPr>
        <w:t>性报价</w:t>
      </w:r>
      <w:r>
        <w:rPr>
          <w:rFonts w:hint="eastAsia" w:ascii="宋体" w:hAnsi="宋体" w:eastAsia="宋体" w:cs="宋体"/>
          <w:color w:val="auto"/>
          <w:kern w:val="2"/>
          <w:sz w:val="28"/>
          <w:szCs w:val="28"/>
          <w:highlight w:val="none"/>
          <w:shd w:val="clear"/>
        </w:rPr>
        <w:t>、</w:t>
      </w:r>
      <w:r>
        <w:rPr>
          <w:rFonts w:hint="eastAsia" w:ascii="宋体" w:hAnsi="宋体" w:cs="宋体"/>
          <w:b/>
          <w:bCs/>
          <w:color w:val="auto"/>
          <w:kern w:val="2"/>
          <w:sz w:val="28"/>
          <w:szCs w:val="28"/>
          <w:highlight w:val="none"/>
          <w:shd w:val="clear"/>
          <w:lang w:val="en-US" w:eastAsia="zh-CN"/>
        </w:rPr>
        <w:t>优惠下浮率高</w:t>
      </w:r>
      <w:r>
        <w:rPr>
          <w:rFonts w:hint="eastAsia" w:ascii="宋体" w:hAnsi="宋体" w:eastAsia="宋体" w:cs="宋体"/>
          <w:b/>
          <w:bCs/>
          <w:color w:val="auto"/>
          <w:kern w:val="2"/>
          <w:sz w:val="28"/>
          <w:szCs w:val="28"/>
          <w:highlight w:val="none"/>
          <w:shd w:val="clear"/>
          <w:lang w:val="en-US" w:eastAsia="zh-CN"/>
        </w:rPr>
        <w:t>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334151D4">
      <w:pPr>
        <w:pageBreakBefore w:val="0"/>
        <w:widowControl/>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3.1竞价人以</w:t>
      </w:r>
      <w:r>
        <w:rPr>
          <w:rFonts w:hint="eastAsia" w:ascii="宋体" w:hAnsi="宋体" w:eastAsia="宋体" w:cs="宋体"/>
          <w:color w:val="auto"/>
          <w:kern w:val="2"/>
          <w:sz w:val="28"/>
          <w:szCs w:val="28"/>
          <w:highlight w:val="none"/>
          <w:shd w:val="clear"/>
          <w:lang w:val="en-US" w:eastAsia="zh-CN"/>
        </w:rPr>
        <w:t>优惠下浮率</w:t>
      </w:r>
      <w:r>
        <w:rPr>
          <w:rFonts w:hint="eastAsia" w:ascii="宋体" w:hAnsi="宋体" w:eastAsia="宋体" w:cs="宋体"/>
          <w:color w:val="auto"/>
          <w:sz w:val="28"/>
          <w:szCs w:val="28"/>
          <w:lang w:val="en-US" w:eastAsia="zh-CN"/>
        </w:rPr>
        <w:t>报价方式进行报价，竞价人在投报下浮率区间内报价【报价区间为30%（含）-100%（含）】，投报下浮率超过区间值为无效报价。根据有效竞价人报价排名情况，由高到低排序，</w:t>
      </w:r>
      <w:r>
        <w:rPr>
          <w:rFonts w:hint="eastAsia" w:ascii="宋体" w:hAnsi="宋体" w:cs="宋体"/>
          <w:color w:val="auto"/>
          <w:sz w:val="28"/>
          <w:szCs w:val="28"/>
          <w:lang w:val="en-US" w:eastAsia="zh-CN"/>
        </w:rPr>
        <w:t>投报</w:t>
      </w:r>
      <w:r>
        <w:rPr>
          <w:rFonts w:hint="eastAsia" w:ascii="宋体" w:hAnsi="宋体" w:cs="宋体"/>
          <w:color w:val="auto"/>
          <w:sz w:val="28"/>
          <w:szCs w:val="28"/>
          <w:lang w:val="en-US" w:eastAsia="zh-CN"/>
        </w:rPr>
        <w:t>优惠下浮率</w:t>
      </w:r>
      <w:r>
        <w:rPr>
          <w:rFonts w:hint="eastAsia" w:ascii="宋体" w:hAnsi="宋体" w:eastAsia="宋体" w:cs="宋体"/>
          <w:color w:val="auto"/>
          <w:sz w:val="28"/>
          <w:szCs w:val="28"/>
          <w:lang w:val="en-US" w:eastAsia="zh-CN"/>
        </w:rPr>
        <w:t>最高</w:t>
      </w:r>
      <w:r>
        <w:rPr>
          <w:rFonts w:hint="eastAsia" w:ascii="宋体" w:hAnsi="宋体" w:eastAsia="宋体" w:cs="宋体"/>
          <w:color w:val="auto"/>
          <w:sz w:val="28"/>
          <w:szCs w:val="28"/>
          <w:lang w:val="en-US" w:eastAsia="zh-CN"/>
        </w:rPr>
        <w:t>的一名即为成交人。设计费用为包干价，包括但不限于税费、服务费、文印费、差旅费、交通费、住宿费</w:t>
      </w:r>
      <w:r>
        <w:rPr>
          <w:rFonts w:hint="eastAsia" w:ascii="宋体" w:hAnsi="宋体" w:cs="宋体"/>
          <w:color w:val="auto"/>
          <w:sz w:val="28"/>
          <w:szCs w:val="28"/>
          <w:lang w:val="en-US" w:eastAsia="zh-CN"/>
        </w:rPr>
        <w:t>、专家评审费</w:t>
      </w:r>
      <w:r>
        <w:rPr>
          <w:rFonts w:hint="eastAsia" w:ascii="宋体" w:hAnsi="宋体" w:eastAsia="宋体" w:cs="宋体"/>
          <w:color w:val="auto"/>
          <w:sz w:val="28"/>
          <w:szCs w:val="28"/>
          <w:lang w:val="en-US" w:eastAsia="zh-CN"/>
        </w:rPr>
        <w:t>等所有相关费用，竞价人应对本次</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内容应有充分认识，自行判断能够完成本项目所需的费用，风险费用应自行考虑计入投标报价，竞价人未考虑风险因素造成的损失由竞价人自行负责。</w:t>
      </w:r>
    </w:p>
    <w:p w14:paraId="3D4BA223">
      <w:pPr>
        <w:pageBreakBefore w:val="0"/>
        <w:widowControl/>
        <w:shd w:val="clea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3.2若有两个或两个以上的报价相等时，以解密时间优先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p>
    <w:p w14:paraId="684EF7BF">
      <w:pPr>
        <w:pageBreakBefore w:val="0"/>
        <w:widowControl/>
        <w:shd w:val="clear"/>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应以</w:t>
      </w:r>
      <w:r>
        <w:rPr>
          <w:rFonts w:hint="eastAsia" w:ascii="宋体" w:hAnsi="宋体" w:cs="宋体"/>
          <w:b/>
          <w:bCs/>
          <w:color w:val="auto"/>
          <w:kern w:val="2"/>
          <w:sz w:val="28"/>
          <w:szCs w:val="28"/>
          <w:u w:val="none"/>
          <w:lang w:val="en-US" w:eastAsia="zh-CN" w:bidi="ar-SA"/>
        </w:rPr>
        <w:t>优惠下浮率</w:t>
      </w:r>
      <w:r>
        <w:rPr>
          <w:rFonts w:hint="eastAsia" w:ascii="宋体" w:hAnsi="宋体" w:eastAsia="宋体" w:cs="宋体"/>
          <w:b/>
          <w:bCs/>
          <w:color w:val="auto"/>
          <w:kern w:val="2"/>
          <w:sz w:val="28"/>
          <w:szCs w:val="28"/>
          <w:u w:val="none"/>
          <w:lang w:val="en-US" w:eastAsia="zh-CN" w:bidi="ar-SA"/>
        </w:rPr>
        <w:t>形式</w:t>
      </w:r>
      <w:r>
        <w:rPr>
          <w:rFonts w:hint="eastAsia" w:ascii="宋体" w:hAnsi="宋体" w:eastAsia="宋体" w:cs="宋体"/>
          <w:b/>
          <w:bCs/>
          <w:color w:val="auto"/>
          <w:kern w:val="2"/>
          <w:sz w:val="28"/>
          <w:szCs w:val="28"/>
          <w:shd w:val="clear"/>
        </w:rPr>
        <w:t>进行报价，竞价系统设置的价格表示</w:t>
      </w:r>
      <w:r>
        <w:rPr>
          <w:rFonts w:hint="eastAsia" w:ascii="宋体" w:hAnsi="宋体" w:eastAsia="宋体" w:cs="宋体"/>
          <w:b/>
          <w:bCs/>
          <w:color w:val="auto"/>
          <w:kern w:val="2"/>
          <w:sz w:val="28"/>
          <w:szCs w:val="28"/>
          <w:shd w:val="clear"/>
          <w:lang w:val="en-US" w:eastAsia="zh-CN"/>
        </w:rPr>
        <w:t>最低优惠下浮率</w:t>
      </w:r>
      <w:r>
        <w:rPr>
          <w:rFonts w:hint="eastAsia" w:ascii="宋体" w:hAnsi="宋体" w:eastAsia="宋体" w:cs="宋体"/>
          <w:b/>
          <w:bCs/>
          <w:color w:val="auto"/>
          <w:kern w:val="2"/>
          <w:sz w:val="28"/>
          <w:szCs w:val="28"/>
          <w:shd w:val="clear"/>
        </w:rPr>
        <w:t>，</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在竞价系统填报</w:t>
      </w:r>
      <w:r>
        <w:rPr>
          <w:rFonts w:hint="eastAsia" w:ascii="宋体" w:hAnsi="宋体" w:eastAsia="宋体" w:cs="宋体"/>
          <w:b/>
          <w:bCs/>
          <w:color w:val="auto"/>
          <w:kern w:val="2"/>
          <w:sz w:val="28"/>
          <w:szCs w:val="28"/>
          <w:shd w:val="clear"/>
          <w:lang w:val="en-US" w:eastAsia="zh-CN"/>
        </w:rPr>
        <w:t>价格低</w:t>
      </w:r>
      <w:r>
        <w:rPr>
          <w:rFonts w:hint="eastAsia" w:ascii="宋体" w:hAnsi="宋体" w:eastAsia="宋体" w:cs="宋体"/>
          <w:b/>
          <w:bCs/>
          <w:color w:val="auto"/>
          <w:kern w:val="2"/>
          <w:sz w:val="28"/>
          <w:szCs w:val="28"/>
          <w:shd w:val="clear"/>
        </w:rPr>
        <w:t>于</w:t>
      </w:r>
      <w:r>
        <w:rPr>
          <w:rFonts w:hint="eastAsia" w:ascii="宋体" w:hAnsi="宋体" w:eastAsia="宋体" w:cs="宋体"/>
          <w:b/>
          <w:bCs/>
          <w:color w:val="auto"/>
          <w:kern w:val="2"/>
          <w:sz w:val="28"/>
          <w:szCs w:val="28"/>
          <w:shd w:val="clear"/>
          <w:lang w:val="en-US" w:eastAsia="zh-CN"/>
        </w:rPr>
        <w:t>最低优惠下浮率则</w:t>
      </w:r>
      <w:r>
        <w:rPr>
          <w:rFonts w:hint="eastAsia" w:ascii="宋体" w:hAnsi="宋体" w:eastAsia="宋体" w:cs="宋体"/>
          <w:b/>
          <w:bCs/>
          <w:color w:val="auto"/>
          <w:kern w:val="2"/>
          <w:sz w:val="28"/>
          <w:szCs w:val="28"/>
          <w:shd w:val="clear"/>
        </w:rPr>
        <w:t>为无效报价</w:t>
      </w:r>
      <w:r>
        <w:rPr>
          <w:rFonts w:hint="eastAsia" w:ascii="宋体" w:hAnsi="宋体" w:eastAsia="宋体" w:cs="宋体"/>
          <w:b/>
          <w:bCs/>
          <w:color w:val="auto"/>
          <w:kern w:val="2"/>
          <w:sz w:val="28"/>
          <w:szCs w:val="28"/>
          <w:shd w:val="clear"/>
          <w:lang w:eastAsia="zh-CN"/>
        </w:rPr>
        <w:t>，</w:t>
      </w:r>
      <w:r>
        <w:rPr>
          <w:rFonts w:hint="eastAsia" w:ascii="宋体" w:hAnsi="宋体" w:eastAsia="宋体" w:cs="宋体"/>
          <w:b/>
          <w:bCs/>
          <w:color w:val="auto"/>
          <w:kern w:val="2"/>
          <w:sz w:val="28"/>
          <w:szCs w:val="28"/>
          <w:shd w:val="clear"/>
        </w:rPr>
        <w:t>填报</w:t>
      </w:r>
      <w:r>
        <w:rPr>
          <w:rFonts w:hint="eastAsia" w:ascii="宋体" w:hAnsi="宋体" w:cs="宋体"/>
          <w:b/>
          <w:bCs/>
          <w:color w:val="auto"/>
          <w:kern w:val="2"/>
          <w:sz w:val="28"/>
          <w:szCs w:val="28"/>
          <w:u w:val="none"/>
          <w:lang w:val="en-US" w:eastAsia="zh-CN" w:bidi="ar-SA"/>
        </w:rPr>
        <w:t>优惠下浮率</w:t>
      </w:r>
      <w:r>
        <w:rPr>
          <w:rFonts w:hint="eastAsia" w:ascii="宋体" w:hAnsi="宋体" w:eastAsia="宋体" w:cs="宋体"/>
          <w:b/>
          <w:bCs/>
          <w:color w:val="auto"/>
          <w:kern w:val="2"/>
          <w:sz w:val="28"/>
          <w:szCs w:val="28"/>
          <w:shd w:val="clear"/>
          <w:lang w:val="en-US" w:eastAsia="zh-CN"/>
        </w:rPr>
        <w:t>最</w:t>
      </w:r>
      <w:r>
        <w:rPr>
          <w:rFonts w:hint="eastAsia" w:ascii="宋体" w:hAnsi="宋体" w:cs="宋体"/>
          <w:b/>
          <w:bCs/>
          <w:color w:val="auto"/>
          <w:kern w:val="2"/>
          <w:sz w:val="28"/>
          <w:szCs w:val="28"/>
          <w:shd w:val="clear"/>
          <w:lang w:val="en-US" w:eastAsia="zh-CN"/>
        </w:rPr>
        <w:t>高</w:t>
      </w:r>
      <w:r>
        <w:rPr>
          <w:rFonts w:hint="eastAsia" w:ascii="宋体" w:hAnsi="宋体" w:eastAsia="宋体" w:cs="宋体"/>
          <w:b/>
          <w:bCs/>
          <w:color w:val="auto"/>
          <w:kern w:val="2"/>
          <w:sz w:val="28"/>
          <w:szCs w:val="28"/>
          <w:shd w:val="clear"/>
          <w:lang w:val="en-US" w:eastAsia="zh-CN"/>
        </w:rPr>
        <w:t>的</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69552E4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5.特别提示：标的的合格竞价人,应在</w:t>
      </w:r>
      <w:r>
        <w:rPr>
          <w:rFonts w:hint="eastAsia" w:ascii="宋体" w:hAnsi="宋体" w:eastAsia="宋体" w:cs="宋体"/>
          <w:color w:val="auto"/>
          <w:sz w:val="28"/>
          <w:szCs w:val="28"/>
          <w:lang w:val="en-US" w:eastAsia="zh-CN"/>
        </w:rPr>
        <w:t>投报下浮率区间内</w:t>
      </w:r>
      <w:r>
        <w:rPr>
          <w:rFonts w:hint="eastAsia" w:ascii="宋体" w:hAnsi="宋体" w:eastAsia="宋体" w:cs="宋体"/>
          <w:color w:val="auto"/>
          <w:sz w:val="28"/>
          <w:szCs w:val="28"/>
          <w:lang w:val="en-US" w:eastAsia="zh-CN"/>
        </w:rPr>
        <w:t>进行报价，同时成交人应签署《竞价结果通知书》等相关文件，否则视同为违约。</w:t>
      </w:r>
    </w:p>
    <w:p w14:paraId="588A761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14:paraId="7245641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w:t>
      </w:r>
      <w:r>
        <w:rPr>
          <w:rFonts w:hint="eastAsia" w:ascii="宋体" w:hAnsi="宋体" w:cs="宋体"/>
          <w:b/>
          <w:bCs/>
          <w:color w:val="auto"/>
          <w:sz w:val="28"/>
          <w:szCs w:val="28"/>
          <w:lang w:val="en-US" w:eastAsia="zh-CN"/>
        </w:rPr>
        <w:t>招标代理服务</w:t>
      </w:r>
      <w:r>
        <w:rPr>
          <w:rFonts w:hint="eastAsia" w:ascii="宋体" w:hAnsi="宋体" w:eastAsia="宋体" w:cs="宋体"/>
          <w:b/>
          <w:bCs/>
          <w:color w:val="auto"/>
          <w:sz w:val="28"/>
          <w:szCs w:val="28"/>
          <w:lang w:val="en-US" w:eastAsia="zh-CN"/>
        </w:rPr>
        <w:t>费</w:t>
      </w:r>
    </w:p>
    <w:p w14:paraId="18B186B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rPr>
        <w:t>竞价成交后，</w:t>
      </w:r>
      <w:r>
        <w:rPr>
          <w:rFonts w:hint="eastAsia" w:asciiTheme="minorEastAsia" w:hAnsiTheme="minorEastAsia" w:eastAsiaTheme="minorEastAsia" w:cstheme="minorEastAsia"/>
          <w:color w:val="auto"/>
          <w:sz w:val="28"/>
          <w:szCs w:val="28"/>
          <w:highlight w:val="none"/>
        </w:rPr>
        <w:t>成交人应</w:t>
      </w:r>
      <w:r>
        <w:rPr>
          <w:rFonts w:hint="eastAsia" w:asciiTheme="minorEastAsia" w:hAnsiTheme="minorEastAsia" w:eastAsiaTheme="minorEastAsia" w:cstheme="minorEastAsia"/>
          <w:b w:val="0"/>
          <w:bCs w:val="0"/>
          <w:color w:val="auto"/>
          <w:sz w:val="28"/>
          <w:szCs w:val="28"/>
          <w:highlight w:val="none"/>
        </w:rPr>
        <w:t>向本公司一次性支付</w:t>
      </w:r>
      <w:r>
        <w:rPr>
          <w:rFonts w:hint="eastAsia" w:asciiTheme="minorEastAsia" w:hAnsiTheme="minorEastAsia" w:eastAsiaTheme="minorEastAsia" w:cstheme="minorEastAsia"/>
          <w:b/>
          <w:bCs/>
          <w:color w:val="auto"/>
          <w:sz w:val="28"/>
          <w:szCs w:val="28"/>
          <w:highlight w:val="none"/>
          <w:lang w:val="en-US" w:eastAsia="zh-CN"/>
        </w:rPr>
        <w:t>3000</w:t>
      </w:r>
      <w:r>
        <w:rPr>
          <w:rFonts w:hint="eastAsia" w:asciiTheme="minorEastAsia" w:hAnsiTheme="minorEastAsia" w:eastAsiaTheme="minorEastAsia" w:cstheme="minorEastAsia"/>
          <w:b/>
          <w:bCs/>
          <w:color w:val="auto"/>
          <w:sz w:val="28"/>
          <w:szCs w:val="28"/>
          <w:highlight w:val="none"/>
        </w:rPr>
        <w:t>元</w:t>
      </w:r>
      <w:r>
        <w:rPr>
          <w:rFonts w:hint="eastAsia" w:asciiTheme="minorEastAsia" w:hAnsiTheme="minorEastAsia" w:eastAsiaTheme="minorEastAsia" w:cstheme="minorEastAsia"/>
          <w:b w:val="0"/>
          <w:bCs w:val="0"/>
          <w:color w:val="auto"/>
          <w:sz w:val="28"/>
          <w:szCs w:val="28"/>
          <w:highlight w:val="none"/>
        </w:rPr>
        <w:t>交易服务费</w:t>
      </w:r>
      <w:r>
        <w:rPr>
          <w:rFonts w:hint="eastAsia" w:ascii="宋体" w:hAnsi="宋体" w:eastAsia="宋体" w:cs="宋体"/>
          <w:color w:val="auto"/>
          <w:sz w:val="28"/>
          <w:szCs w:val="28"/>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3013105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八、付款方式</w:t>
      </w:r>
    </w:p>
    <w:tbl>
      <w:tblPr>
        <w:tblStyle w:val="14"/>
        <w:tblW w:w="9780"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560"/>
        <w:gridCol w:w="1470"/>
        <w:gridCol w:w="6750"/>
      </w:tblGrid>
      <w:tr w14:paraId="59E3F94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96" w:hRule="atLeast"/>
          <w:jc w:val="center"/>
        </w:trPr>
        <w:tc>
          <w:tcPr>
            <w:tcW w:w="1560" w:type="dxa"/>
            <w:tcBorders>
              <w:top w:val="single" w:color="auto" w:sz="12" w:space="0"/>
              <w:left w:val="single" w:color="auto" w:sz="12" w:space="0"/>
              <w:bottom w:val="single" w:color="auto" w:sz="4" w:space="0"/>
              <w:right w:val="single" w:color="auto" w:sz="4" w:space="0"/>
            </w:tcBorders>
            <w:noWrap w:val="0"/>
            <w:vAlign w:val="center"/>
          </w:tcPr>
          <w:p w14:paraId="048E68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付费次序</w:t>
            </w:r>
          </w:p>
        </w:tc>
        <w:tc>
          <w:tcPr>
            <w:tcW w:w="1470" w:type="dxa"/>
            <w:tcBorders>
              <w:top w:val="single" w:color="auto" w:sz="12" w:space="0"/>
              <w:left w:val="single" w:color="auto" w:sz="4" w:space="0"/>
              <w:bottom w:val="single" w:color="auto" w:sz="4" w:space="0"/>
              <w:right w:val="single" w:color="auto" w:sz="4" w:space="0"/>
            </w:tcBorders>
            <w:noWrap w:val="0"/>
            <w:vAlign w:val="center"/>
          </w:tcPr>
          <w:p w14:paraId="081373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比例（%）</w:t>
            </w:r>
          </w:p>
        </w:tc>
        <w:tc>
          <w:tcPr>
            <w:tcW w:w="6750" w:type="dxa"/>
            <w:tcBorders>
              <w:top w:val="single" w:color="auto" w:sz="12" w:space="0"/>
              <w:left w:val="single" w:color="auto" w:sz="4" w:space="0"/>
              <w:bottom w:val="single" w:color="auto" w:sz="4" w:space="0"/>
              <w:right w:val="single" w:color="auto" w:sz="12" w:space="0"/>
            </w:tcBorders>
            <w:noWrap w:val="0"/>
            <w:vAlign w:val="center"/>
          </w:tcPr>
          <w:p w14:paraId="034A5AD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付费时间</w:t>
            </w:r>
          </w:p>
        </w:tc>
      </w:tr>
      <w:tr w14:paraId="75311C6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48" w:hRule="exact"/>
          <w:jc w:val="center"/>
        </w:trPr>
        <w:tc>
          <w:tcPr>
            <w:tcW w:w="1560" w:type="dxa"/>
            <w:tcBorders>
              <w:top w:val="single" w:color="auto" w:sz="4" w:space="0"/>
              <w:left w:val="single" w:color="auto" w:sz="12" w:space="0"/>
              <w:bottom w:val="single" w:color="auto" w:sz="4" w:space="0"/>
              <w:right w:val="single" w:color="auto" w:sz="4" w:space="0"/>
            </w:tcBorders>
            <w:noWrap w:val="0"/>
            <w:vAlign w:val="center"/>
          </w:tcPr>
          <w:p w14:paraId="26D7913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6F86CF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90</w:t>
            </w:r>
          </w:p>
        </w:tc>
        <w:tc>
          <w:tcPr>
            <w:tcW w:w="6750" w:type="dxa"/>
            <w:tcBorders>
              <w:top w:val="single" w:color="auto" w:sz="4" w:space="0"/>
              <w:left w:val="single" w:color="auto" w:sz="4" w:space="0"/>
              <w:bottom w:val="single" w:color="auto" w:sz="4" w:space="0"/>
              <w:right w:val="single" w:color="auto" w:sz="12" w:space="0"/>
            </w:tcBorders>
            <w:noWrap w:val="0"/>
            <w:vAlign w:val="center"/>
          </w:tcPr>
          <w:p w14:paraId="7FB20BC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预审成果出具后</w:t>
            </w:r>
            <w:r>
              <w:rPr>
                <w:rFonts w:hint="eastAsia" w:ascii="宋体" w:hAnsi="宋体" w:eastAsia="宋体" w:cs="宋体"/>
                <w:b w:val="0"/>
                <w:bCs w:val="0"/>
                <w:color w:val="auto"/>
                <w:sz w:val="28"/>
                <w:szCs w:val="28"/>
                <w:lang w:val="en-US" w:eastAsia="zh-CN"/>
              </w:rPr>
              <w:t>且提供相关票据的，支付合同价款的</w:t>
            </w:r>
            <w:r>
              <w:rPr>
                <w:rFonts w:hint="eastAsia" w:ascii="宋体" w:hAnsi="宋体" w:cs="宋体"/>
                <w:b w:val="0"/>
                <w:bCs w:val="0"/>
                <w:color w:val="auto"/>
                <w:sz w:val="28"/>
                <w:szCs w:val="28"/>
                <w:lang w:val="en-US" w:eastAsia="zh-CN"/>
              </w:rPr>
              <w:t>90</w:t>
            </w:r>
            <w:r>
              <w:rPr>
                <w:rFonts w:hint="eastAsia" w:ascii="宋体" w:hAnsi="宋体" w:eastAsia="宋体" w:cs="宋体"/>
                <w:b w:val="0"/>
                <w:bCs w:val="0"/>
                <w:color w:val="auto"/>
                <w:sz w:val="28"/>
                <w:szCs w:val="28"/>
                <w:lang w:val="en-US" w:eastAsia="zh-CN"/>
              </w:rPr>
              <w:t>。</w:t>
            </w:r>
          </w:p>
        </w:tc>
      </w:tr>
      <w:tr w14:paraId="4FCDE21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78" w:hRule="exact"/>
          <w:jc w:val="center"/>
        </w:trPr>
        <w:tc>
          <w:tcPr>
            <w:tcW w:w="1560" w:type="dxa"/>
            <w:tcBorders>
              <w:top w:val="single" w:color="auto" w:sz="4" w:space="0"/>
              <w:left w:val="single" w:color="auto" w:sz="12" w:space="0"/>
              <w:bottom w:val="single" w:color="auto" w:sz="4" w:space="0"/>
              <w:right w:val="single" w:color="auto" w:sz="4" w:space="0"/>
            </w:tcBorders>
            <w:noWrap w:val="0"/>
            <w:vAlign w:val="center"/>
          </w:tcPr>
          <w:p w14:paraId="6BC8199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p>
        </w:tc>
        <w:tc>
          <w:tcPr>
            <w:tcW w:w="1470" w:type="dxa"/>
            <w:tcBorders>
              <w:top w:val="single" w:color="auto" w:sz="4" w:space="0"/>
              <w:left w:val="single" w:color="auto" w:sz="4" w:space="0"/>
              <w:bottom w:val="single" w:color="auto" w:sz="4" w:space="0"/>
              <w:right w:val="single" w:color="auto" w:sz="4" w:space="0"/>
            </w:tcBorders>
            <w:noWrap w:val="0"/>
            <w:vAlign w:val="center"/>
          </w:tcPr>
          <w:p w14:paraId="236A42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10</w:t>
            </w:r>
          </w:p>
        </w:tc>
        <w:tc>
          <w:tcPr>
            <w:tcW w:w="6750" w:type="dxa"/>
            <w:tcBorders>
              <w:top w:val="single" w:color="auto" w:sz="4" w:space="0"/>
              <w:left w:val="single" w:color="auto" w:sz="4" w:space="0"/>
              <w:bottom w:val="single" w:color="auto" w:sz="4" w:space="0"/>
              <w:right w:val="single" w:color="auto" w:sz="12" w:space="0"/>
            </w:tcBorders>
            <w:noWrap w:val="0"/>
            <w:vAlign w:val="center"/>
          </w:tcPr>
          <w:p w14:paraId="4509497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项目竣工验收后且提供相关票据的，支付剩余合同价款。</w:t>
            </w:r>
          </w:p>
        </w:tc>
      </w:tr>
    </w:tbl>
    <w:p w14:paraId="73894D18">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九、费用承担</w:t>
      </w:r>
    </w:p>
    <w:p w14:paraId="2A42370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14:paraId="4D3726A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2.成交价为包干价，包括但不限于税费、服务费、文印费、差旅费、交通费、住宿费</w:t>
      </w:r>
      <w:r>
        <w:rPr>
          <w:rFonts w:hint="eastAsia" w:ascii="宋体" w:hAnsi="宋体" w:cs="宋体"/>
          <w:color w:val="auto"/>
          <w:sz w:val="28"/>
          <w:szCs w:val="28"/>
          <w:lang w:val="en-US" w:eastAsia="zh-CN"/>
        </w:rPr>
        <w:t>、专家评审费</w:t>
      </w:r>
      <w:r>
        <w:rPr>
          <w:rFonts w:hint="eastAsia" w:ascii="宋体" w:hAnsi="宋体" w:eastAsia="宋体" w:cs="宋体"/>
          <w:color w:val="auto"/>
          <w:sz w:val="28"/>
          <w:szCs w:val="28"/>
          <w:lang w:val="en-US" w:eastAsia="zh-CN"/>
        </w:rPr>
        <w:t>等所有相关费用，竞价人应对本次</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内容应有充分认识，自行判断能够完成本项目所需的费用，风险费用应自行考虑计入投标报价，竞价人未考虑风险因素造成的损失由竞价人自行负责。</w:t>
      </w:r>
    </w:p>
    <w:p w14:paraId="2A393E11">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十、违约责任</w:t>
      </w:r>
    </w:p>
    <w:p w14:paraId="1131CB3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E2882F">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十一、注意事项</w:t>
      </w:r>
    </w:p>
    <w:p w14:paraId="3799D9B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14:paraId="6F04C0B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5108A0E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b/>
          <w:bCs/>
          <w:color w:val="auto"/>
          <w:sz w:val="28"/>
          <w:szCs w:val="28"/>
          <w:lang w:val="en-US" w:eastAsia="zh-CN"/>
        </w:rPr>
        <w:t>建设工程设计合同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b/>
          <w:bCs/>
          <w:color w:val="auto"/>
          <w:sz w:val="28"/>
          <w:szCs w:val="28"/>
          <w:lang w:val="en-US" w:eastAsia="zh-CN"/>
        </w:rPr>
        <w:t>建设工程设计合同</w:t>
      </w:r>
      <w:r>
        <w:rPr>
          <w:rFonts w:hint="eastAsia" w:ascii="宋体" w:hAnsi="宋体" w:eastAsia="宋体" w:cs="宋体"/>
          <w:color w:val="auto"/>
          <w:sz w:val="28"/>
          <w:szCs w:val="28"/>
          <w:lang w:val="en-US" w:eastAsia="zh-CN"/>
        </w:rPr>
        <w:t>》约定为准。</w:t>
      </w:r>
    </w:p>
    <w:p w14:paraId="7CE1083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14:paraId="23C1E10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十二、特别提示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14:paraId="78A93B82">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441E8E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14:paraId="432669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val="0"/>
                <w:bCs w:val="0"/>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7EB5EEB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3119618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406400</wp:posOffset>
            </wp:positionH>
            <wp:positionV relativeFrom="paragraph">
              <wp:posOffset>165100</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w:t>
      </w:r>
    </w:p>
    <w:p w14:paraId="39D11BF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14:paraId="286D155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w:t>
      </w:r>
    </w:p>
    <w:p w14:paraId="7E78EFC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lang w:val="en-US" w:eastAsia="zh-CN"/>
        </w:rPr>
        <w:t>202</w:t>
      </w: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年</w:t>
      </w:r>
      <w:r>
        <w:rPr>
          <w:rFonts w:hint="eastAsia" w:ascii="宋体" w:hAnsi="宋体" w:cs="宋体"/>
          <w:color w:val="auto"/>
          <w:sz w:val="28"/>
          <w:szCs w:val="28"/>
          <w:lang w:val="en-US" w:eastAsia="zh-CN"/>
        </w:rPr>
        <w:t>9</w:t>
      </w:r>
      <w:r>
        <w:rPr>
          <w:rFonts w:hint="eastAsia" w:ascii="宋体" w:hAnsi="宋体" w:eastAsia="宋体" w:cs="宋体"/>
          <w:color w:val="auto"/>
          <w:sz w:val="28"/>
          <w:szCs w:val="28"/>
          <w:lang w:val="en-US" w:eastAsia="zh-CN"/>
        </w:rPr>
        <w:t>月</w:t>
      </w:r>
      <w:r>
        <w:rPr>
          <w:rFonts w:hint="eastAsia" w:ascii="宋体" w:hAnsi="宋体" w:cs="宋体"/>
          <w:color w:val="auto"/>
          <w:sz w:val="28"/>
          <w:szCs w:val="28"/>
          <w:lang w:val="en-US" w:eastAsia="zh-CN"/>
        </w:rPr>
        <w:t>29</w:t>
      </w:r>
      <w:r>
        <w:rPr>
          <w:rFonts w:hint="eastAsia" w:ascii="宋体" w:hAnsi="宋体" w:eastAsia="宋体" w:cs="宋体"/>
          <w:color w:val="auto"/>
          <w:sz w:val="28"/>
          <w:szCs w:val="28"/>
          <w:lang w:val="en-US" w:eastAsia="zh-CN"/>
        </w:rPr>
        <w:t>日</w:t>
      </w:r>
    </w:p>
    <w:p w14:paraId="32BDA8FD">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auto"/>
          <w:sz w:val="28"/>
          <w:szCs w:val="28"/>
        </w:rPr>
      </w:pPr>
    </w:p>
    <w:p w14:paraId="692DA672">
      <w:pP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14:paraId="3BBD414D">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auto"/>
          <w:sz w:val="28"/>
          <w:szCs w:val="28"/>
        </w:rPr>
      </w:pPr>
    </w:p>
    <w:p w14:paraId="111BAAA1">
      <w:pPr>
        <w:keepNext w:val="0"/>
        <w:keepLines w:val="0"/>
        <w:pageBreakBefore w:val="0"/>
        <w:kinsoku/>
        <w:wordWrap/>
        <w:overflowPunct/>
        <w:topLinePunct w:val="0"/>
        <w:autoSpaceDE/>
        <w:autoSpaceDN/>
        <w:bidi w:val="0"/>
        <w:spacing w:line="480" w:lineRule="exact"/>
        <w:jc w:val="left"/>
        <w:rPr>
          <w:rFonts w:hint="eastAsia" w:ascii="宋体" w:hAnsi="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 xml:space="preserve">附件1：                     </w:t>
      </w:r>
    </w:p>
    <w:p w14:paraId="38CAF3E4">
      <w:pPr>
        <w:keepNext w:val="0"/>
        <w:keepLines w:val="0"/>
        <w:pageBreakBefore w:val="0"/>
        <w:kinsoku/>
        <w:wordWrap/>
        <w:overflowPunct/>
        <w:topLinePunct w:val="0"/>
        <w:autoSpaceDE/>
        <w:autoSpaceDN/>
        <w:bidi w:val="0"/>
        <w:spacing w:line="480" w:lineRule="exact"/>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承 诺 书</w:t>
      </w:r>
    </w:p>
    <w:p w14:paraId="5B274E5E">
      <w:pPr>
        <w:keepNext w:val="0"/>
        <w:keepLines w:val="0"/>
        <w:pageBreakBefore w:val="0"/>
        <w:kinsoku/>
        <w:wordWrap/>
        <w:overflowPunct/>
        <w:topLinePunct w:val="0"/>
        <w:autoSpaceDE/>
        <w:autoSpaceDN/>
        <w:bidi w:val="0"/>
        <w:spacing w:line="480" w:lineRule="exact"/>
        <w:ind w:firstLine="5880" w:firstLineChars="2100"/>
        <w:jc w:val="both"/>
        <w:rPr>
          <w:rFonts w:hint="eastAsia" w:ascii="宋体" w:hAnsi="宋体" w:eastAsia="宋体" w:cs="宋体"/>
          <w:color w:val="auto"/>
          <w:sz w:val="28"/>
          <w:szCs w:val="28"/>
        </w:rPr>
      </w:pPr>
    </w:p>
    <w:p w14:paraId="46646B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8"/>
          <w:szCs w:val="28"/>
          <w:u w:val="single"/>
        </w:rPr>
      </w:pPr>
      <w:r>
        <w:rPr>
          <w:rFonts w:hint="eastAsia" w:ascii="宋体" w:hAnsi="宋体" w:eastAsia="宋体" w:cs="宋体"/>
          <w:b/>
          <w:bCs/>
          <w:color w:val="auto"/>
          <w:sz w:val="28"/>
          <w:szCs w:val="28"/>
        </w:rPr>
        <w:t>连城县国有资产产权交易服务有限公司</w:t>
      </w:r>
      <w:r>
        <w:rPr>
          <w:rFonts w:hint="eastAsia" w:ascii="宋体" w:hAnsi="宋体" w:eastAsia="宋体" w:cs="宋体"/>
          <w:color w:val="auto"/>
          <w:sz w:val="28"/>
          <w:szCs w:val="28"/>
        </w:rPr>
        <w:t>：</w:t>
      </w:r>
    </w:p>
    <w:p w14:paraId="2EF01929">
      <w:pPr>
        <w:keepNext w:val="0"/>
        <w:keepLines w:val="0"/>
        <w:pageBreakBefore w:val="0"/>
        <w:widowControl w:val="0"/>
        <w:kinsoku/>
        <w:wordWrap/>
        <w:overflowPunct/>
        <w:topLinePunct w:val="0"/>
        <w:autoSpaceDE/>
        <w:autoSpaceDN/>
        <w:bidi w:val="0"/>
        <w:adjustRightInd/>
        <w:snapToGrid/>
        <w:spacing w:line="360" w:lineRule="auto"/>
        <w:ind w:firstLine="56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本人（公司）承诺提供的报名材料真实、合法、有效，自愿报名参加贵司于</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2026年10月10日</w:t>
      </w:r>
      <w:r>
        <w:rPr>
          <w:rFonts w:hint="eastAsia" w:ascii="宋体" w:hAnsi="宋体" w:eastAsia="宋体" w:cs="宋体"/>
          <w:color w:val="auto"/>
          <w:sz w:val="28"/>
          <w:szCs w:val="28"/>
        </w:rPr>
        <w:t>上午举行的 “</w:t>
      </w:r>
      <w:r>
        <w:rPr>
          <w:rFonts w:hint="eastAsia" w:ascii="宋体" w:hAnsi="宋体" w:eastAsia="宋体" w:cs="宋体"/>
          <w:color w:val="auto"/>
          <w:sz w:val="28"/>
          <w:szCs w:val="28"/>
          <w:lang w:eastAsia="zh-CN"/>
        </w:rPr>
        <w:t>连城县招标投标交易平台</w:t>
      </w:r>
      <w:r>
        <w:rPr>
          <w:rFonts w:hint="eastAsia" w:ascii="宋体" w:hAnsi="宋体" w:cs="宋体"/>
          <w:color w:val="auto"/>
          <w:sz w:val="28"/>
          <w:szCs w:val="28"/>
          <w:lang w:val="en-US" w:eastAsia="zh-CN"/>
        </w:rPr>
        <w:t>正</w:t>
      </w:r>
      <w:r>
        <w:rPr>
          <w:rFonts w:hint="eastAsia" w:ascii="宋体" w:hAnsi="宋体" w:eastAsia="宋体" w:cs="宋体"/>
          <w:color w:val="auto"/>
          <w:sz w:val="28"/>
          <w:szCs w:val="28"/>
        </w:rPr>
        <w:t>向一次</w:t>
      </w:r>
      <w:r>
        <w:rPr>
          <w:rFonts w:hint="eastAsia" w:ascii="宋体" w:hAnsi="宋体" w:eastAsia="宋体" w:cs="宋体"/>
          <w:color w:val="auto"/>
          <w:sz w:val="28"/>
          <w:szCs w:val="28"/>
        </w:rPr>
        <w:t>报价”</w:t>
      </w:r>
      <w:r>
        <w:rPr>
          <w:rFonts w:hint="eastAsia" w:ascii="宋体" w:hAnsi="宋体" w:cs="宋体"/>
          <w:color w:val="auto"/>
          <w:sz w:val="28"/>
          <w:szCs w:val="28"/>
          <w:u w:val="single"/>
          <w:lang w:val="en-US" w:eastAsia="zh-CN"/>
        </w:rPr>
        <w:t>生态度假养老社区（一期）7号楼养老度假公寓改造工程设计</w:t>
      </w:r>
      <w:r>
        <w:rPr>
          <w:rFonts w:hint="eastAsia" w:ascii="宋体" w:hAnsi="宋体" w:eastAsia="宋体" w:cs="宋体"/>
          <w:color w:val="auto"/>
          <w:sz w:val="28"/>
          <w:szCs w:val="28"/>
        </w:rPr>
        <w:t>竞价。收悉项目编号为</w:t>
      </w:r>
      <w:r>
        <w:rPr>
          <w:rFonts w:hint="eastAsia" w:ascii="宋体" w:hAnsi="宋体" w:cs="宋体"/>
          <w:color w:val="auto"/>
          <w:sz w:val="28"/>
          <w:szCs w:val="28"/>
          <w:u w:val="single"/>
          <w:lang w:eastAsia="zh-CN"/>
        </w:rPr>
        <w:t>LCCQJJ20261010</w:t>
      </w:r>
      <w:r>
        <w:rPr>
          <w:rFonts w:hint="eastAsia" w:ascii="宋体" w:hAnsi="宋体" w:eastAsia="宋体" w:cs="宋体"/>
          <w:color w:val="auto"/>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D56B147">
      <w:pPr>
        <w:keepNext w:val="0"/>
        <w:keepLines w:val="0"/>
        <w:pageBreakBefore w:val="0"/>
        <w:widowControl w:val="0"/>
        <w:kinsoku/>
        <w:wordWrap/>
        <w:overflowPunct/>
        <w:topLinePunct w:val="0"/>
        <w:autoSpaceDE/>
        <w:autoSpaceDN/>
        <w:bidi w:val="0"/>
        <w:adjustRightInd/>
        <w:snapToGrid/>
        <w:spacing w:line="480" w:lineRule="exact"/>
        <w:ind w:firstLine="560"/>
        <w:jc w:val="both"/>
        <w:textAlignment w:val="auto"/>
        <w:rPr>
          <w:rFonts w:hint="eastAsia" w:ascii="宋体" w:hAnsi="宋体" w:eastAsia="宋体" w:cs="宋体"/>
          <w:color w:val="auto"/>
          <w:sz w:val="28"/>
          <w:szCs w:val="28"/>
          <w:lang w:eastAsia="zh-CN"/>
        </w:rPr>
      </w:pPr>
    </w:p>
    <w:p w14:paraId="650C10A5">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rPr>
      </w:pPr>
    </w:p>
    <w:p w14:paraId="6DB4F223">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rPr>
      </w:pPr>
    </w:p>
    <w:p w14:paraId="6F1B20EA">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承诺人（申请人签章）：</w:t>
      </w:r>
    </w:p>
    <w:p w14:paraId="6D576012">
      <w:pPr>
        <w:keepNext w:val="0"/>
        <w:keepLines w:val="0"/>
        <w:pageBreakBefore w:val="0"/>
        <w:widowControl w:val="0"/>
        <w:kinsoku/>
        <w:wordWrap/>
        <w:overflowPunct/>
        <w:topLinePunct w:val="0"/>
        <w:autoSpaceDE/>
        <w:autoSpaceDN/>
        <w:bidi w:val="0"/>
        <w:adjustRightInd/>
        <w:snapToGrid/>
        <w:spacing w:line="480" w:lineRule="exact"/>
        <w:ind w:firstLine="1400" w:firstLineChars="5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法定代表人（签</w:t>
      </w:r>
      <w:r>
        <w:rPr>
          <w:rFonts w:hint="eastAsia" w:ascii="宋体" w:hAnsi="宋体" w:cs="宋体"/>
          <w:color w:val="auto"/>
          <w:sz w:val="28"/>
          <w:szCs w:val="28"/>
          <w:lang w:val="en-US" w:eastAsia="zh-CN"/>
        </w:rPr>
        <w:t>字或盖</w:t>
      </w:r>
      <w:r>
        <w:rPr>
          <w:rFonts w:hint="eastAsia" w:ascii="宋体" w:hAnsi="宋体" w:eastAsia="宋体" w:cs="宋体"/>
          <w:color w:val="auto"/>
          <w:sz w:val="28"/>
          <w:szCs w:val="28"/>
        </w:rPr>
        <w:t>章）：</w:t>
      </w:r>
      <w:r>
        <w:rPr>
          <w:rFonts w:hint="eastAsia" w:ascii="宋体" w:hAnsi="宋体" w:eastAsia="宋体" w:cs="宋体"/>
          <w:color w:val="auto"/>
          <w:sz w:val="28"/>
          <w:szCs w:val="28"/>
          <w:lang w:val="en-US" w:eastAsia="zh-CN"/>
        </w:rPr>
        <w:t xml:space="preserve"> </w:t>
      </w:r>
    </w:p>
    <w:p w14:paraId="5A6A54D2">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联系电话：</w:t>
      </w:r>
    </w:p>
    <w:p w14:paraId="01BCA975">
      <w:pPr>
        <w:keepNext w:val="0"/>
        <w:keepLines w:val="0"/>
        <w:pageBreakBefore w:val="0"/>
        <w:widowControl w:val="0"/>
        <w:kinsoku/>
        <w:wordWrap/>
        <w:overflowPunct/>
        <w:topLinePunct w:val="0"/>
        <w:autoSpaceDE/>
        <w:autoSpaceDN/>
        <w:bidi w:val="0"/>
        <w:adjustRightInd/>
        <w:snapToGrid/>
        <w:spacing w:line="48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年    月    日</w:t>
      </w:r>
    </w:p>
    <w:p w14:paraId="2858A3FF">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02B56A92">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6D7E7839">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5E352928">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15EFDA10">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0F760B5B">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75ADD1CC">
      <w:pPr>
        <w:pStyle w:val="13"/>
        <w:keepNext w:val="0"/>
        <w:pageBreakBefore w:val="0"/>
        <w:overflowPunct/>
        <w:topLinePunct w:val="0"/>
        <w:bidi w:val="0"/>
        <w:spacing w:line="480" w:lineRule="exact"/>
        <w:rPr>
          <w:rFonts w:hint="eastAsia" w:ascii="宋体" w:hAnsi="宋体" w:eastAsia="宋体" w:cs="宋体"/>
          <w:color w:val="auto"/>
          <w:sz w:val="28"/>
          <w:szCs w:val="28"/>
        </w:rPr>
      </w:pPr>
    </w:p>
    <w:p w14:paraId="447D0799">
      <w:pPr>
        <w:rPr>
          <w:rFonts w:hint="eastAsia" w:ascii="宋体" w:hAnsi="宋体" w:eastAsia="宋体" w:cs="宋体"/>
          <w:color w:val="auto"/>
          <w:sz w:val="28"/>
          <w:szCs w:val="28"/>
        </w:rPr>
      </w:pPr>
    </w:p>
    <w:p w14:paraId="0BE3B982">
      <w:pPr>
        <w:pStyle w:val="13"/>
        <w:rPr>
          <w:rFonts w:hint="eastAsia" w:ascii="宋体" w:hAnsi="宋体" w:eastAsia="宋体" w:cs="宋体"/>
          <w:color w:val="auto"/>
          <w:sz w:val="28"/>
          <w:szCs w:val="28"/>
        </w:rPr>
      </w:pPr>
    </w:p>
    <w:p w14:paraId="4EDEDDA3">
      <w:pPr>
        <w:rPr>
          <w:rFonts w:hint="eastAsia"/>
          <w:color w:val="auto"/>
        </w:rPr>
      </w:pPr>
    </w:p>
    <w:p w14:paraId="0B997B1B">
      <w:pPr>
        <w:pStyle w:val="13"/>
        <w:pageBreakBefore w:val="0"/>
        <w:kinsoku/>
        <w:wordWrap/>
        <w:overflowPunct/>
        <w:topLinePunct w:val="0"/>
        <w:autoSpaceDE/>
        <w:autoSpaceDN/>
        <w:bidi w:val="0"/>
        <w:spacing w:after="0" w:line="500" w:lineRule="exact"/>
        <w:ind w:left="0" w:leftChars="0" w:firstLine="0" w:firstLineChars="0"/>
        <w:rPr>
          <w:rFonts w:hint="eastAsia"/>
          <w:color w:val="auto"/>
          <w:sz w:val="28"/>
          <w:szCs w:val="28"/>
          <w:highlight w:val="none"/>
        </w:rPr>
      </w:pPr>
      <w:r>
        <w:rPr>
          <w:rFonts w:hint="eastAsia" w:ascii="宋体" w:hAnsi="宋体" w:cs="宋体"/>
          <w:b/>
          <w:color w:val="auto"/>
          <w:sz w:val="28"/>
          <w:szCs w:val="28"/>
          <w:highlight w:val="none"/>
          <w:lang w:val="en-US" w:eastAsia="zh-CN"/>
        </w:rPr>
        <w:t xml:space="preserve">附件2：                  </w:t>
      </w:r>
      <w:r>
        <w:rPr>
          <w:rFonts w:hint="eastAsia"/>
          <w:b/>
          <w:bCs/>
          <w:color w:val="auto"/>
          <w:sz w:val="28"/>
          <w:szCs w:val="28"/>
          <w:highlight w:val="none"/>
        </w:rPr>
        <w:t>无重大违法记录的书面声明</w:t>
      </w:r>
    </w:p>
    <w:p w14:paraId="7B7BF516">
      <w:pPr>
        <w:keepNext w:val="0"/>
        <w:keepLines w:val="0"/>
        <w:pageBreakBefore w:val="0"/>
        <w:kinsoku/>
        <w:wordWrap/>
        <w:overflowPunct/>
        <w:topLinePunct w:val="0"/>
        <w:autoSpaceDE/>
        <w:autoSpaceDN/>
        <w:bidi w:val="0"/>
        <w:spacing w:line="500" w:lineRule="exact"/>
        <w:ind w:left="0" w:leftChars="0"/>
        <w:jc w:val="both"/>
        <w:rPr>
          <w:rFonts w:hint="eastAsia" w:ascii="宋体" w:hAnsi="宋体" w:eastAsia="宋体" w:cs="宋体"/>
          <w:b/>
          <w:color w:val="auto"/>
          <w:sz w:val="28"/>
          <w:szCs w:val="28"/>
          <w:highlight w:val="none"/>
        </w:rPr>
      </w:pPr>
    </w:p>
    <w:p w14:paraId="013FAF78">
      <w:pPr>
        <w:pStyle w:val="13"/>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textAlignment w:val="auto"/>
        <w:rPr>
          <w:rFonts w:hint="eastAsia"/>
          <w:color w:val="auto"/>
          <w:sz w:val="28"/>
          <w:szCs w:val="28"/>
          <w:highlight w:val="none"/>
          <w:u w:val="single"/>
          <w:lang w:val="en-US" w:eastAsia="zh-CN"/>
        </w:rPr>
      </w:pPr>
      <w:r>
        <w:rPr>
          <w:rFonts w:hint="eastAsia"/>
          <w:color w:val="auto"/>
          <w:sz w:val="28"/>
          <w:szCs w:val="28"/>
          <w:highlight w:val="none"/>
        </w:rPr>
        <w:t>致:</w:t>
      </w:r>
      <w:r>
        <w:rPr>
          <w:rFonts w:hint="eastAsia"/>
          <w:color w:val="auto"/>
          <w:sz w:val="28"/>
          <w:szCs w:val="28"/>
          <w:highlight w:val="none"/>
          <w:u w:val="single"/>
        </w:rPr>
        <w:t>连城县莲兴乡村振兴投资建设有限公司</w:t>
      </w:r>
      <w:r>
        <w:rPr>
          <w:rFonts w:hint="eastAsia"/>
          <w:color w:val="auto"/>
          <w:sz w:val="28"/>
          <w:szCs w:val="28"/>
          <w:highlight w:val="none"/>
          <w:u w:val="single"/>
          <w:lang w:val="en-US" w:eastAsia="zh-CN"/>
        </w:rPr>
        <w:t>和</w:t>
      </w:r>
      <w:r>
        <w:rPr>
          <w:rFonts w:hint="eastAsia"/>
          <w:color w:val="auto"/>
          <w:sz w:val="28"/>
          <w:szCs w:val="28"/>
          <w:highlight w:val="none"/>
          <w:u w:val="single"/>
        </w:rPr>
        <w:t>连城县工贸发展有限公司 </w:t>
      </w:r>
    </w:p>
    <w:p w14:paraId="36D05686">
      <w:pPr>
        <w:pStyle w:val="13"/>
        <w:keepNext w:val="0"/>
        <w:keepLines w:val="0"/>
        <w:pageBreakBefore w:val="0"/>
        <w:widowControl/>
        <w:kinsoku/>
        <w:wordWrap/>
        <w:overflowPunct/>
        <w:topLinePunct w:val="0"/>
        <w:autoSpaceDE/>
        <w:autoSpaceDN/>
        <w:bidi w:val="0"/>
        <w:adjustRightInd/>
        <w:snapToGrid/>
        <w:spacing w:after="0" w:line="360" w:lineRule="auto"/>
        <w:ind w:left="0" w:leftChars="0" w:firstLine="560" w:firstLineChars="200"/>
        <w:textAlignment w:val="auto"/>
        <w:rPr>
          <w:rFonts w:hint="eastAsia" w:eastAsia="宋体"/>
          <w:color w:val="auto"/>
          <w:sz w:val="28"/>
          <w:szCs w:val="28"/>
          <w:highlight w:val="none"/>
          <w:lang w:eastAsia="zh-CN"/>
        </w:rPr>
      </w:pPr>
      <w:r>
        <w:rPr>
          <w:rFonts w:hint="eastAsia"/>
          <w:color w:val="auto"/>
          <w:sz w:val="28"/>
          <w:szCs w:val="28"/>
          <w:highlight w:val="none"/>
          <w:lang w:val="en-US" w:eastAsia="zh-CN"/>
        </w:rPr>
        <w:t>我司就</w:t>
      </w:r>
      <w:r>
        <w:rPr>
          <w:rFonts w:hint="eastAsia"/>
          <w:color w:val="auto"/>
          <w:sz w:val="28"/>
          <w:szCs w:val="28"/>
          <w:highlight w:val="none"/>
        </w:rPr>
        <w:t>参与贵公司的</w:t>
      </w:r>
      <w:r>
        <w:rPr>
          <w:rFonts w:hint="eastAsia"/>
          <w:color w:val="auto"/>
          <w:sz w:val="28"/>
          <w:szCs w:val="28"/>
          <w:highlight w:val="none"/>
          <w:u w:val="single"/>
          <w:lang w:val="en-US" w:eastAsia="zh-CN"/>
        </w:rPr>
        <w:t>生态度假养老社区（一期）7号楼养老度假公寓改造工程设计</w:t>
      </w:r>
      <w:r>
        <w:rPr>
          <w:rFonts w:hint="eastAsia"/>
          <w:color w:val="auto"/>
          <w:sz w:val="28"/>
          <w:szCs w:val="28"/>
          <w:highlight w:val="none"/>
        </w:rPr>
        <w:t>采购活动，特此作出以下书面声明</w:t>
      </w:r>
      <w:r>
        <w:rPr>
          <w:rFonts w:hint="eastAsia"/>
          <w:color w:val="auto"/>
          <w:sz w:val="28"/>
          <w:szCs w:val="28"/>
          <w:highlight w:val="none"/>
          <w:lang w:eastAsia="zh-CN"/>
        </w:rPr>
        <w:t>：</w:t>
      </w:r>
    </w:p>
    <w:p w14:paraId="646DBACE">
      <w:pPr>
        <w:pStyle w:val="13"/>
        <w:keepNext w:val="0"/>
        <w:keepLines w:val="0"/>
        <w:pageBreakBefore w:val="0"/>
        <w:widowControl/>
        <w:kinsoku/>
        <w:wordWrap/>
        <w:overflowPunct/>
        <w:topLinePunct w:val="0"/>
        <w:autoSpaceDE/>
        <w:autoSpaceDN/>
        <w:bidi w:val="0"/>
        <w:adjustRightInd/>
        <w:snapToGrid/>
        <w:spacing w:after="0" w:line="360" w:lineRule="auto"/>
        <w:ind w:left="0" w:leftChars="0" w:firstLine="560" w:firstLineChars="200"/>
        <w:textAlignment w:val="auto"/>
        <w:rPr>
          <w:rFonts w:hint="eastAsia"/>
          <w:color w:val="auto"/>
          <w:sz w:val="28"/>
          <w:szCs w:val="28"/>
          <w:highlight w:val="none"/>
          <w:lang w:eastAsia="zh-CN"/>
        </w:rPr>
      </w:pPr>
      <w:r>
        <w:rPr>
          <w:rFonts w:hint="eastAsia"/>
          <w:color w:val="auto"/>
          <w:sz w:val="28"/>
          <w:szCs w:val="28"/>
          <w:highlight w:val="none"/>
        </w:rPr>
        <w:t>我公司明确声明，</w:t>
      </w:r>
      <w:r>
        <w:rPr>
          <w:rFonts w:hint="eastAsia"/>
          <w:color w:val="auto"/>
          <w:sz w:val="28"/>
          <w:szCs w:val="28"/>
          <w:highlight w:val="none"/>
          <w:lang w:val="en-US" w:eastAsia="zh-CN"/>
        </w:rPr>
        <w:t>在参加本次采购活动前3年内在经营活动中没有重大违法记录。</w:t>
      </w:r>
      <w:r>
        <w:rPr>
          <w:rFonts w:hint="eastAsia"/>
          <w:color w:val="auto"/>
          <w:sz w:val="28"/>
          <w:szCs w:val="28"/>
          <w:highlight w:val="none"/>
        </w:rPr>
        <w:t>我</w:t>
      </w:r>
      <w:r>
        <w:rPr>
          <w:rFonts w:hint="eastAsia"/>
          <w:color w:val="auto"/>
          <w:sz w:val="28"/>
          <w:szCs w:val="28"/>
          <w:highlight w:val="none"/>
          <w:lang w:val="en-US" w:eastAsia="zh-CN"/>
        </w:rPr>
        <w:t>司</w:t>
      </w:r>
      <w:r>
        <w:rPr>
          <w:rFonts w:hint="eastAsia"/>
          <w:color w:val="auto"/>
          <w:sz w:val="28"/>
          <w:szCs w:val="28"/>
          <w:highlight w:val="none"/>
        </w:rPr>
        <w:t>承诺，</w:t>
      </w:r>
      <w:r>
        <w:rPr>
          <w:rFonts w:hint="eastAsia"/>
          <w:color w:val="auto"/>
          <w:sz w:val="28"/>
          <w:szCs w:val="28"/>
          <w:highlight w:val="none"/>
          <w:lang w:val="en-US" w:eastAsia="zh-CN"/>
        </w:rPr>
        <w:t>上述</w:t>
      </w:r>
      <w:r>
        <w:rPr>
          <w:rFonts w:hint="eastAsia"/>
          <w:color w:val="auto"/>
          <w:sz w:val="28"/>
          <w:szCs w:val="28"/>
          <w:highlight w:val="none"/>
        </w:rPr>
        <w:t>声明完全真实，若有虚假，愿意根据相关法律法规承担责任，包括但不限于取消</w:t>
      </w:r>
      <w:r>
        <w:rPr>
          <w:rFonts w:hint="eastAsia"/>
          <w:color w:val="auto"/>
          <w:sz w:val="28"/>
          <w:szCs w:val="28"/>
          <w:highlight w:val="none"/>
          <w:lang w:val="en-US" w:eastAsia="zh-CN"/>
        </w:rPr>
        <w:t>竞价</w:t>
      </w:r>
      <w:r>
        <w:rPr>
          <w:rFonts w:hint="eastAsia"/>
          <w:color w:val="auto"/>
          <w:sz w:val="28"/>
          <w:szCs w:val="28"/>
          <w:highlight w:val="none"/>
        </w:rPr>
        <w:t>资格、没收</w:t>
      </w:r>
      <w:r>
        <w:rPr>
          <w:rFonts w:hint="eastAsia"/>
          <w:color w:val="auto"/>
          <w:sz w:val="28"/>
          <w:szCs w:val="28"/>
          <w:highlight w:val="none"/>
          <w:lang w:val="en-US" w:eastAsia="zh-CN"/>
        </w:rPr>
        <w:t>竞价</w:t>
      </w:r>
      <w:r>
        <w:rPr>
          <w:rFonts w:hint="eastAsia"/>
          <w:color w:val="auto"/>
          <w:sz w:val="28"/>
          <w:szCs w:val="28"/>
          <w:highlight w:val="none"/>
        </w:rPr>
        <w:t>保证金，并赔偿贵</w:t>
      </w:r>
      <w:r>
        <w:rPr>
          <w:rFonts w:hint="eastAsia"/>
          <w:color w:val="auto"/>
          <w:sz w:val="28"/>
          <w:szCs w:val="28"/>
          <w:highlight w:val="none"/>
          <w:lang w:val="en-US" w:eastAsia="zh-CN"/>
        </w:rPr>
        <w:t>司</w:t>
      </w:r>
      <w:r>
        <w:rPr>
          <w:rFonts w:hint="eastAsia"/>
          <w:color w:val="auto"/>
          <w:sz w:val="28"/>
          <w:szCs w:val="28"/>
          <w:highlight w:val="none"/>
        </w:rPr>
        <w:t>因此造成的一切损失</w:t>
      </w:r>
      <w:r>
        <w:rPr>
          <w:rFonts w:hint="eastAsia"/>
          <w:color w:val="auto"/>
          <w:sz w:val="28"/>
          <w:szCs w:val="28"/>
          <w:highlight w:val="none"/>
          <w:lang w:eastAsia="zh-CN"/>
        </w:rPr>
        <w:t>。</w:t>
      </w:r>
    </w:p>
    <w:p w14:paraId="1A7844D8">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color w:val="auto"/>
          <w:sz w:val="28"/>
          <w:szCs w:val="28"/>
          <w:highlight w:val="none"/>
          <w:lang w:val="en-US" w:eastAsia="zh-CN"/>
        </w:rPr>
      </w:pPr>
      <w:r>
        <w:rPr>
          <w:rFonts w:hint="eastAsia"/>
          <w:color w:val="auto"/>
          <w:sz w:val="28"/>
          <w:szCs w:val="28"/>
          <w:highlight w:val="none"/>
          <w:lang w:val="en-US" w:eastAsia="zh-CN"/>
        </w:rPr>
        <w:t>特此声明！</w:t>
      </w:r>
    </w:p>
    <w:p w14:paraId="495ECDA1">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auto"/>
          <w:sz w:val="28"/>
          <w:szCs w:val="28"/>
          <w:highlight w:val="none"/>
        </w:rPr>
      </w:pPr>
    </w:p>
    <w:p w14:paraId="05C649E0">
      <w:pPr>
        <w:keepNext w:val="0"/>
        <w:keepLines w:val="0"/>
        <w:pageBreakBefore w:val="0"/>
        <w:widowControl w:val="0"/>
        <w:kinsoku/>
        <w:wordWrap/>
        <w:overflowPunct/>
        <w:topLinePunct w:val="0"/>
        <w:autoSpaceDE/>
        <w:autoSpaceDN/>
        <w:bidi w:val="0"/>
        <w:adjustRightInd/>
        <w:snapToGrid/>
        <w:spacing w:line="500" w:lineRule="exact"/>
        <w:ind w:left="0" w:leftChars="0" w:firstLine="3920" w:firstLineChars="1400"/>
        <w:jc w:val="both"/>
        <w:textAlignment w:val="auto"/>
        <w:rPr>
          <w:rFonts w:hint="eastAsia" w:ascii="宋体" w:hAnsi="宋体" w:eastAsia="宋体" w:cs="宋体"/>
          <w:color w:val="auto"/>
          <w:sz w:val="28"/>
          <w:szCs w:val="28"/>
          <w:highlight w:val="none"/>
        </w:rPr>
      </w:pPr>
    </w:p>
    <w:p w14:paraId="1C18DA41">
      <w:pPr>
        <w:pageBreakBefore w:val="0"/>
        <w:kinsoku/>
        <w:wordWrap/>
        <w:overflowPunct/>
        <w:topLinePunct w:val="0"/>
        <w:autoSpaceDE/>
        <w:autoSpaceDN/>
        <w:bidi w:val="0"/>
        <w:spacing w:line="500" w:lineRule="exact"/>
        <w:ind w:left="0" w:leftChars="0" w:firstLine="3920" w:firstLineChars="1400"/>
        <w:rPr>
          <w:rFonts w:ascii="宋体" w:hAnsi="宋体" w:cs="宋体"/>
          <w:color w:val="auto"/>
          <w:sz w:val="28"/>
          <w:szCs w:val="28"/>
          <w:highlight w:val="none"/>
        </w:rPr>
      </w:pPr>
      <w:r>
        <w:rPr>
          <w:rFonts w:hint="eastAsia" w:ascii="宋体" w:hAnsi="宋体" w:cs="宋体"/>
          <w:color w:val="auto"/>
          <w:sz w:val="28"/>
          <w:szCs w:val="28"/>
          <w:highlight w:val="none"/>
        </w:rPr>
        <w:t>承诺人（</w:t>
      </w:r>
      <w:r>
        <w:rPr>
          <w:rFonts w:hint="eastAsia" w:ascii="宋体" w:hAnsi="宋体" w:cs="宋体"/>
          <w:color w:val="auto"/>
          <w:sz w:val="28"/>
          <w:szCs w:val="28"/>
          <w:highlight w:val="none"/>
          <w:lang w:val="en-US" w:eastAsia="zh-CN"/>
        </w:rPr>
        <w:t>加盖公章</w:t>
      </w:r>
      <w:r>
        <w:rPr>
          <w:rFonts w:hint="eastAsia" w:ascii="宋体" w:hAnsi="宋体" w:cs="宋体"/>
          <w:color w:val="auto"/>
          <w:sz w:val="28"/>
          <w:szCs w:val="28"/>
          <w:highlight w:val="none"/>
        </w:rPr>
        <w:t>）：</w:t>
      </w:r>
    </w:p>
    <w:p w14:paraId="7F67B369">
      <w:pPr>
        <w:keepNext w:val="0"/>
        <w:keepLines w:val="0"/>
        <w:pageBreakBefore w:val="0"/>
        <w:widowControl w:val="0"/>
        <w:kinsoku/>
        <w:wordWrap/>
        <w:overflowPunct/>
        <w:topLinePunct w:val="0"/>
        <w:autoSpaceDE/>
        <w:autoSpaceDN/>
        <w:bidi w:val="0"/>
        <w:adjustRightInd/>
        <w:snapToGrid/>
        <w:spacing w:line="500" w:lineRule="exact"/>
        <w:ind w:left="0" w:leftChars="0"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 xml:space="preserve">                  法定代表人（</w:t>
      </w:r>
      <w:r>
        <w:rPr>
          <w:rFonts w:hint="eastAsia" w:ascii="宋体" w:hAnsi="宋体" w:cs="宋体"/>
          <w:color w:val="auto"/>
          <w:sz w:val="28"/>
          <w:szCs w:val="28"/>
          <w:highlight w:val="none"/>
          <w:lang w:val="en-US" w:eastAsia="zh-CN"/>
        </w:rPr>
        <w:t>签字或盖章</w:t>
      </w:r>
      <w:r>
        <w:rPr>
          <w:rFonts w:hint="eastAsia" w:ascii="宋体" w:hAnsi="宋体" w:cs="宋体"/>
          <w:color w:val="auto"/>
          <w:sz w:val="28"/>
          <w:szCs w:val="28"/>
          <w:highlight w:val="none"/>
        </w:rPr>
        <w:t>）：</w:t>
      </w:r>
    </w:p>
    <w:p w14:paraId="2D0F3159">
      <w:pPr>
        <w:pStyle w:val="13"/>
        <w:pageBreakBefore w:val="0"/>
        <w:kinsoku/>
        <w:wordWrap/>
        <w:overflowPunct/>
        <w:topLinePunct w:val="0"/>
        <w:autoSpaceDE/>
        <w:autoSpaceDN/>
        <w:bidi w:val="0"/>
        <w:spacing w:after="0" w:line="500" w:lineRule="exact"/>
        <w:ind w:left="0" w:leftChars="0" w:firstLine="4760" w:firstLineChars="1700"/>
        <w:rPr>
          <w:rFonts w:hint="eastAsia"/>
          <w:color w:val="auto"/>
          <w:highlight w:val="none"/>
        </w:rPr>
      </w:pPr>
      <w:r>
        <w:rPr>
          <w:rFonts w:hint="eastAsia" w:ascii="宋体" w:hAnsi="宋体" w:eastAsia="宋体" w:cs="宋体"/>
          <w:color w:val="auto"/>
          <w:sz w:val="28"/>
          <w:szCs w:val="28"/>
          <w:highlight w:val="none"/>
        </w:rPr>
        <w:t>年    月    日</w:t>
      </w:r>
    </w:p>
    <w:p w14:paraId="57379F95">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01B292AA">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632AF6B2">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7C9DF059">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4AE3DE08">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6F2F69E4">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652D4580">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042354BD">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36D0807B">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p w14:paraId="74E11A28">
      <w:pPr>
        <w:pStyle w:val="24"/>
        <w:keepNext w:val="0"/>
        <w:pageBreakBefore w:val="0"/>
        <w:kinsoku/>
        <w:wordWrap/>
        <w:overflowPunct/>
        <w:topLinePunct w:val="0"/>
        <w:bidi w:val="0"/>
        <w:spacing w:line="480" w:lineRule="exact"/>
        <w:jc w:val="both"/>
        <w:textAlignment w:val="auto"/>
        <w:outlineLvl w:val="9"/>
        <w:rPr>
          <w:rStyle w:val="17"/>
          <w:rFonts w:hint="eastAsia" w:hAnsi="宋体" w:eastAsia="宋体" w:cs="宋体"/>
          <w:color w:val="auto"/>
          <w:spacing w:val="0"/>
          <w:sz w:val="32"/>
          <w:szCs w:val="32"/>
          <w:highlight w:val="none"/>
          <w:lang w:val="en-US" w:eastAsia="zh-CN"/>
        </w:rPr>
      </w:pPr>
    </w:p>
    <w:bookmarkEnd w:id="3"/>
    <w:sectPr>
      <w:footerReference r:id="rId3" w:type="default"/>
      <w:pgSz w:w="11906" w:h="16838"/>
      <w:pgMar w:top="1100" w:right="1077" w:bottom="1100" w:left="107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BFC3E">
    <w:pPr>
      <w:pStyle w:val="9"/>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AC9D9B">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35AC9D9B">
                    <w:pPr>
                      <w:pStyle w:val="9"/>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3"/>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1MDAzMWJmMzEyMjg5OTQyNjFkNDcyNDU5ZGM1Y2Y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6622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663C42"/>
    <w:rsid w:val="028576BC"/>
    <w:rsid w:val="033B51A8"/>
    <w:rsid w:val="039E3DB5"/>
    <w:rsid w:val="03B81208"/>
    <w:rsid w:val="042F0AC4"/>
    <w:rsid w:val="04973358"/>
    <w:rsid w:val="052E6A1B"/>
    <w:rsid w:val="072B7208"/>
    <w:rsid w:val="07584834"/>
    <w:rsid w:val="0804406F"/>
    <w:rsid w:val="080F2686"/>
    <w:rsid w:val="08161E50"/>
    <w:rsid w:val="081C4C9C"/>
    <w:rsid w:val="0834033F"/>
    <w:rsid w:val="086E3978"/>
    <w:rsid w:val="0A564F20"/>
    <w:rsid w:val="0AEE0C79"/>
    <w:rsid w:val="0B0448C7"/>
    <w:rsid w:val="0B195D46"/>
    <w:rsid w:val="0C0C7087"/>
    <w:rsid w:val="0CA830A9"/>
    <w:rsid w:val="0CDA1129"/>
    <w:rsid w:val="0D0C3638"/>
    <w:rsid w:val="0D707899"/>
    <w:rsid w:val="0D724C37"/>
    <w:rsid w:val="0E6A79B6"/>
    <w:rsid w:val="0E8467A8"/>
    <w:rsid w:val="0F153787"/>
    <w:rsid w:val="0F6C7DF1"/>
    <w:rsid w:val="0FB87AA7"/>
    <w:rsid w:val="0FFD42BC"/>
    <w:rsid w:val="102E33CF"/>
    <w:rsid w:val="10554859"/>
    <w:rsid w:val="108A4FA0"/>
    <w:rsid w:val="115251AE"/>
    <w:rsid w:val="11981DA5"/>
    <w:rsid w:val="119A56B6"/>
    <w:rsid w:val="11FF0ACF"/>
    <w:rsid w:val="128A572B"/>
    <w:rsid w:val="137205A3"/>
    <w:rsid w:val="138E2060"/>
    <w:rsid w:val="13E42C19"/>
    <w:rsid w:val="14416FC6"/>
    <w:rsid w:val="15474BF8"/>
    <w:rsid w:val="1569686F"/>
    <w:rsid w:val="15D019BA"/>
    <w:rsid w:val="15D665CA"/>
    <w:rsid w:val="15F66C34"/>
    <w:rsid w:val="16052A7F"/>
    <w:rsid w:val="167C30C3"/>
    <w:rsid w:val="169951BC"/>
    <w:rsid w:val="169A6476"/>
    <w:rsid w:val="16B40FC8"/>
    <w:rsid w:val="183B56FD"/>
    <w:rsid w:val="18AE0B48"/>
    <w:rsid w:val="18EF3710"/>
    <w:rsid w:val="1A381ED7"/>
    <w:rsid w:val="1A394265"/>
    <w:rsid w:val="1AF35E37"/>
    <w:rsid w:val="1B215742"/>
    <w:rsid w:val="1CC932F4"/>
    <w:rsid w:val="1DE026A3"/>
    <w:rsid w:val="1E303C84"/>
    <w:rsid w:val="1EF00CA7"/>
    <w:rsid w:val="1F633F72"/>
    <w:rsid w:val="1FB913FE"/>
    <w:rsid w:val="203C362E"/>
    <w:rsid w:val="211A411E"/>
    <w:rsid w:val="214331EC"/>
    <w:rsid w:val="21E464DA"/>
    <w:rsid w:val="226244CC"/>
    <w:rsid w:val="228026A7"/>
    <w:rsid w:val="22950329"/>
    <w:rsid w:val="22A30872"/>
    <w:rsid w:val="234F36E4"/>
    <w:rsid w:val="236A7C99"/>
    <w:rsid w:val="23761465"/>
    <w:rsid w:val="246A52EB"/>
    <w:rsid w:val="24741525"/>
    <w:rsid w:val="249C78F6"/>
    <w:rsid w:val="24AF2DCF"/>
    <w:rsid w:val="25AD5A5E"/>
    <w:rsid w:val="25CF7BBE"/>
    <w:rsid w:val="25F64131"/>
    <w:rsid w:val="2669547D"/>
    <w:rsid w:val="26945745"/>
    <w:rsid w:val="26B24F9F"/>
    <w:rsid w:val="27E3558A"/>
    <w:rsid w:val="2861758C"/>
    <w:rsid w:val="2892098A"/>
    <w:rsid w:val="297E0FC2"/>
    <w:rsid w:val="2A093B18"/>
    <w:rsid w:val="2A8C2B55"/>
    <w:rsid w:val="2AC36334"/>
    <w:rsid w:val="2AC415FD"/>
    <w:rsid w:val="2B023949"/>
    <w:rsid w:val="2B474184"/>
    <w:rsid w:val="2B9065B4"/>
    <w:rsid w:val="2BAE1609"/>
    <w:rsid w:val="2C2A04A0"/>
    <w:rsid w:val="2C4C065B"/>
    <w:rsid w:val="2C5C26DC"/>
    <w:rsid w:val="2CDF621C"/>
    <w:rsid w:val="2CE60051"/>
    <w:rsid w:val="2D697A29"/>
    <w:rsid w:val="2E301AB4"/>
    <w:rsid w:val="2E7E609A"/>
    <w:rsid w:val="2E975000"/>
    <w:rsid w:val="2EF02962"/>
    <w:rsid w:val="2F1B31FB"/>
    <w:rsid w:val="2F3740ED"/>
    <w:rsid w:val="2F6E445A"/>
    <w:rsid w:val="2FC97395"/>
    <w:rsid w:val="2FF9333B"/>
    <w:rsid w:val="30094FFB"/>
    <w:rsid w:val="300F15EE"/>
    <w:rsid w:val="3062140F"/>
    <w:rsid w:val="31496EC2"/>
    <w:rsid w:val="315926AE"/>
    <w:rsid w:val="31E57E30"/>
    <w:rsid w:val="31F6203D"/>
    <w:rsid w:val="32165023"/>
    <w:rsid w:val="332E6D10"/>
    <w:rsid w:val="33B379FC"/>
    <w:rsid w:val="33BB5A80"/>
    <w:rsid w:val="348738A9"/>
    <w:rsid w:val="36070CBD"/>
    <w:rsid w:val="366756A0"/>
    <w:rsid w:val="371B5B3B"/>
    <w:rsid w:val="3741602B"/>
    <w:rsid w:val="38A87E0A"/>
    <w:rsid w:val="39C752B8"/>
    <w:rsid w:val="3A0C4B4E"/>
    <w:rsid w:val="3A2A0FFA"/>
    <w:rsid w:val="3B1F43AF"/>
    <w:rsid w:val="3B5325ED"/>
    <w:rsid w:val="3CDB07AE"/>
    <w:rsid w:val="3D3F6CF4"/>
    <w:rsid w:val="3D71306C"/>
    <w:rsid w:val="3DC87AC0"/>
    <w:rsid w:val="3E166E94"/>
    <w:rsid w:val="3FA56A13"/>
    <w:rsid w:val="3FCB1769"/>
    <w:rsid w:val="404B14C2"/>
    <w:rsid w:val="410835EE"/>
    <w:rsid w:val="410B2455"/>
    <w:rsid w:val="418B6AEE"/>
    <w:rsid w:val="42030652"/>
    <w:rsid w:val="423D177E"/>
    <w:rsid w:val="424010B3"/>
    <w:rsid w:val="42890CAC"/>
    <w:rsid w:val="429531AD"/>
    <w:rsid w:val="42E9200F"/>
    <w:rsid w:val="432E70E3"/>
    <w:rsid w:val="44055D98"/>
    <w:rsid w:val="44B738AE"/>
    <w:rsid w:val="44E55E41"/>
    <w:rsid w:val="45A2046C"/>
    <w:rsid w:val="45D60C4F"/>
    <w:rsid w:val="46797B93"/>
    <w:rsid w:val="46965745"/>
    <w:rsid w:val="4758626E"/>
    <w:rsid w:val="47CB141F"/>
    <w:rsid w:val="47ED28F0"/>
    <w:rsid w:val="48556CDA"/>
    <w:rsid w:val="485D0F10"/>
    <w:rsid w:val="497B4AF9"/>
    <w:rsid w:val="49B303BC"/>
    <w:rsid w:val="4A58410E"/>
    <w:rsid w:val="4ACA1E61"/>
    <w:rsid w:val="4B42467C"/>
    <w:rsid w:val="4BDA7A28"/>
    <w:rsid w:val="4C621441"/>
    <w:rsid w:val="4C6355B6"/>
    <w:rsid w:val="4D235499"/>
    <w:rsid w:val="4D2550DF"/>
    <w:rsid w:val="4D257714"/>
    <w:rsid w:val="4D515A96"/>
    <w:rsid w:val="4DA2556F"/>
    <w:rsid w:val="4E143612"/>
    <w:rsid w:val="4E6A6F3F"/>
    <w:rsid w:val="4E821F7F"/>
    <w:rsid w:val="4E997C57"/>
    <w:rsid w:val="4E9D3635"/>
    <w:rsid w:val="4ED62599"/>
    <w:rsid w:val="4F4F373F"/>
    <w:rsid w:val="50112DBD"/>
    <w:rsid w:val="50113E5A"/>
    <w:rsid w:val="50DB4354"/>
    <w:rsid w:val="51A703F2"/>
    <w:rsid w:val="51AA471F"/>
    <w:rsid w:val="522E2CD6"/>
    <w:rsid w:val="524A20F8"/>
    <w:rsid w:val="524E2EDF"/>
    <w:rsid w:val="52E622F6"/>
    <w:rsid w:val="53042CF9"/>
    <w:rsid w:val="53CB6FAB"/>
    <w:rsid w:val="542826BF"/>
    <w:rsid w:val="545B5616"/>
    <w:rsid w:val="55915C48"/>
    <w:rsid w:val="56207EF4"/>
    <w:rsid w:val="567C4958"/>
    <w:rsid w:val="56C764DA"/>
    <w:rsid w:val="56DC71A4"/>
    <w:rsid w:val="575D3BB6"/>
    <w:rsid w:val="576039DC"/>
    <w:rsid w:val="59E02F96"/>
    <w:rsid w:val="5A10637D"/>
    <w:rsid w:val="5A244F70"/>
    <w:rsid w:val="5B280C0A"/>
    <w:rsid w:val="5B5A2B76"/>
    <w:rsid w:val="5BA1276A"/>
    <w:rsid w:val="5C190553"/>
    <w:rsid w:val="5C1B076F"/>
    <w:rsid w:val="5C2441D3"/>
    <w:rsid w:val="5C9245A9"/>
    <w:rsid w:val="5C9A35A3"/>
    <w:rsid w:val="5D434E88"/>
    <w:rsid w:val="5D573A29"/>
    <w:rsid w:val="5DBB508D"/>
    <w:rsid w:val="5E047FD0"/>
    <w:rsid w:val="5E3272FF"/>
    <w:rsid w:val="5EA14EFA"/>
    <w:rsid w:val="5EA42C9D"/>
    <w:rsid w:val="5F0B50A5"/>
    <w:rsid w:val="5F1519BF"/>
    <w:rsid w:val="602A7EDE"/>
    <w:rsid w:val="614B056B"/>
    <w:rsid w:val="616E7593"/>
    <w:rsid w:val="620F4C9D"/>
    <w:rsid w:val="636B6B43"/>
    <w:rsid w:val="63F56C8F"/>
    <w:rsid w:val="63F81C8C"/>
    <w:rsid w:val="640D0C57"/>
    <w:rsid w:val="64433D8E"/>
    <w:rsid w:val="64C574CA"/>
    <w:rsid w:val="64D67929"/>
    <w:rsid w:val="664A0B53"/>
    <w:rsid w:val="66BD65CF"/>
    <w:rsid w:val="67A07D7A"/>
    <w:rsid w:val="67B160B6"/>
    <w:rsid w:val="680A030D"/>
    <w:rsid w:val="684133A2"/>
    <w:rsid w:val="69113EED"/>
    <w:rsid w:val="695B16AE"/>
    <w:rsid w:val="69652A6D"/>
    <w:rsid w:val="69B6772E"/>
    <w:rsid w:val="6AEF5761"/>
    <w:rsid w:val="6B776A6D"/>
    <w:rsid w:val="6C805BCC"/>
    <w:rsid w:val="6CA81B7D"/>
    <w:rsid w:val="6D401DE3"/>
    <w:rsid w:val="6D7B66F3"/>
    <w:rsid w:val="6E661D1D"/>
    <w:rsid w:val="6F92367A"/>
    <w:rsid w:val="70072172"/>
    <w:rsid w:val="7007345D"/>
    <w:rsid w:val="702A3CF7"/>
    <w:rsid w:val="707966E1"/>
    <w:rsid w:val="71DE7052"/>
    <w:rsid w:val="729A0B48"/>
    <w:rsid w:val="729B4033"/>
    <w:rsid w:val="75A82C1C"/>
    <w:rsid w:val="769E7B7B"/>
    <w:rsid w:val="77354B5A"/>
    <w:rsid w:val="77875CB0"/>
    <w:rsid w:val="77CE5972"/>
    <w:rsid w:val="78641CB4"/>
    <w:rsid w:val="786F5C73"/>
    <w:rsid w:val="78E43635"/>
    <w:rsid w:val="78F75F2F"/>
    <w:rsid w:val="78F950A4"/>
    <w:rsid w:val="79162DAA"/>
    <w:rsid w:val="79211EC3"/>
    <w:rsid w:val="7956473D"/>
    <w:rsid w:val="79974B76"/>
    <w:rsid w:val="79B76855"/>
    <w:rsid w:val="7AD654A8"/>
    <w:rsid w:val="7C207AE9"/>
    <w:rsid w:val="7C435390"/>
    <w:rsid w:val="7CBD6F32"/>
    <w:rsid w:val="7E15651D"/>
    <w:rsid w:val="7E663674"/>
    <w:rsid w:val="7ED560DA"/>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2"/>
    <w:basedOn w:val="1"/>
    <w:next w:val="1"/>
    <w:qFormat/>
    <w:uiPriority w:val="0"/>
    <w:pPr>
      <w:keepNext/>
      <w:keepLines/>
      <w:widowControl w:val="0"/>
      <w:tabs>
        <w:tab w:val="left" w:pos="0"/>
      </w:tabs>
      <w:spacing w:before="260" w:after="260" w:line="415" w:lineRule="auto"/>
      <w:jc w:val="center"/>
      <w:outlineLvl w:val="1"/>
    </w:pPr>
    <w:rPr>
      <w:rFonts w:ascii="CG Times" w:hAnsi="CG Times" w:eastAsia="宋体" w:cs="Times New Roman"/>
      <w:b/>
      <w:kern w:val="0"/>
      <w:sz w:val="30"/>
      <w:szCs w:val="20"/>
      <w:lang w:val="en-US" w:eastAsia="zh-CN" w:bidi="ar-SA"/>
    </w:rPr>
  </w:style>
  <w:style w:type="paragraph" w:styleId="3">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rPr>
      <w:szCs w:val="20"/>
    </w:rPr>
  </w:style>
  <w:style w:type="paragraph" w:styleId="5">
    <w:name w:val="Body Text"/>
    <w:basedOn w:val="1"/>
    <w:next w:val="1"/>
    <w:qFormat/>
    <w:uiPriority w:val="0"/>
    <w:pPr>
      <w:spacing w:line="380" w:lineRule="exact"/>
    </w:pPr>
    <w:rPr>
      <w:sz w:val="24"/>
    </w:rPr>
  </w:style>
  <w:style w:type="paragraph" w:styleId="6">
    <w:name w:val="Body Text Indent"/>
    <w:basedOn w:val="1"/>
    <w:next w:val="1"/>
    <w:qFormat/>
    <w:uiPriority w:val="0"/>
    <w:pPr>
      <w:widowControl/>
      <w:tabs>
        <w:tab w:val="left" w:pos="0"/>
        <w:tab w:val="left" w:pos="993"/>
        <w:tab w:val="left" w:pos="1134"/>
      </w:tabs>
      <w:spacing w:line="500" w:lineRule="exact"/>
      <w:ind w:firstLine="567"/>
    </w:pPr>
    <w:rPr>
      <w:rFonts w:ascii="宋体"/>
      <w:sz w:val="28"/>
    </w:rPr>
  </w:style>
  <w:style w:type="paragraph" w:styleId="7">
    <w:name w:val="Plain Text"/>
    <w:basedOn w:val="1"/>
    <w:next w:val="1"/>
    <w:qFormat/>
    <w:uiPriority w:val="0"/>
    <w:rPr>
      <w:rFonts w:ascii="宋体" w:hAnsi="Courier New"/>
      <w:szCs w:val="20"/>
    </w:r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Normal (Web)"/>
    <w:basedOn w:val="1"/>
    <w:next w:val="12"/>
    <w:qFormat/>
    <w:uiPriority w:val="0"/>
    <w:pPr>
      <w:spacing w:before="100" w:beforeAutospacing="1" w:after="100" w:afterAutospacing="1"/>
      <w:jc w:val="left"/>
    </w:pPr>
    <w:rPr>
      <w:rFonts w:cs="Times New Roman"/>
      <w:kern w:val="0"/>
      <w:sz w:val="24"/>
    </w:rPr>
  </w:style>
  <w:style w:type="paragraph" w:customStyle="1" w:styleId="1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styleId="13">
    <w:name w:val="Body Text First Indent 2"/>
    <w:basedOn w:val="6"/>
    <w:next w:val="1"/>
    <w:qFormat/>
    <w:uiPriority w:val="99"/>
    <w:pPr>
      <w:ind w:firstLine="420" w:firstLineChars="200"/>
    </w:p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7">
    <w:name w:val="Strong"/>
    <w:basedOn w:val="16"/>
    <w:qFormat/>
    <w:uiPriority w:val="22"/>
    <w:rPr>
      <w:b/>
      <w:bCs/>
    </w:r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6"/>
    <w:link w:val="8"/>
    <w:qFormat/>
    <w:uiPriority w:val="0"/>
    <w:rPr>
      <w:rFonts w:ascii="Calibri" w:hAnsi="Calibri" w:eastAsia="宋体" w:cs="Arial"/>
      <w:kern w:val="2"/>
      <w:sz w:val="18"/>
      <w:szCs w:val="18"/>
    </w:rPr>
  </w:style>
  <w:style w:type="character" w:customStyle="1" w:styleId="21">
    <w:name w:val="font01"/>
    <w:basedOn w:val="16"/>
    <w:qFormat/>
    <w:uiPriority w:val="0"/>
    <w:rPr>
      <w:rFonts w:hint="eastAsia" w:ascii="宋体" w:hAnsi="宋体" w:eastAsia="宋体" w:cs="宋体"/>
      <w:color w:val="000000"/>
      <w:sz w:val="22"/>
      <w:szCs w:val="22"/>
      <w:u w:val="none"/>
    </w:rPr>
  </w:style>
  <w:style w:type="character" w:customStyle="1" w:styleId="22">
    <w:name w:val="font11"/>
    <w:basedOn w:val="16"/>
    <w:qFormat/>
    <w:uiPriority w:val="0"/>
    <w:rPr>
      <w:rFonts w:hint="eastAsia" w:ascii="宋体" w:hAnsi="宋体" w:eastAsia="宋体" w:cs="宋体"/>
      <w:b/>
      <w:bCs/>
      <w:color w:val="000000"/>
      <w:sz w:val="22"/>
      <w:szCs w:val="22"/>
      <w:u w:val="none"/>
    </w:rPr>
  </w:style>
  <w:style w:type="paragraph" w:customStyle="1" w:styleId="23">
    <w:name w:val="null3"/>
    <w:qFormat/>
    <w:uiPriority w:val="0"/>
    <w:rPr>
      <w:rFonts w:hint="eastAsia" w:ascii="Calibri" w:hAnsi="Calibri" w:eastAsia="宋体" w:cs="Times New Roman"/>
      <w:lang w:val="en-US" w:eastAsia="zh-Hans"/>
    </w:rPr>
  </w:style>
  <w:style w:type="paragraph" w:customStyle="1" w:styleId="24">
    <w:name w:val="样式3"/>
    <w:basedOn w:val="7"/>
    <w:qFormat/>
    <w:uiPriority w:val="0"/>
    <w:pPr>
      <w:spacing w:line="0" w:lineRule="atLeast"/>
      <w:outlineLvl w:val="0"/>
    </w:pPr>
    <w:rPr>
      <w:sz w:val="28"/>
    </w:rPr>
  </w:style>
  <w:style w:type="paragraph" w:customStyle="1" w:styleId="25">
    <w:name w:val="Blockquote"/>
    <w:basedOn w:val="1"/>
    <w:qFormat/>
    <w:uiPriority w:val="0"/>
    <w:pPr>
      <w:autoSpaceDE w:val="0"/>
      <w:autoSpaceDN w:val="0"/>
      <w:spacing w:before="100" w:after="100" w:line="240" w:lineRule="auto"/>
      <w:ind w:left="360" w:right="360"/>
      <w:jc w:val="left"/>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5218</Words>
  <Characters>5604</Characters>
  <Lines>4</Lines>
  <Paragraphs>7</Paragraphs>
  <TotalTime>1</TotalTime>
  <ScaleCrop>false</ScaleCrop>
  <LinksUpToDate>false</LinksUpToDate>
  <CharactersWithSpaces>5770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2025-12-31T08:45:00Z</cp:lastPrinted>
  <dcterms:modified xsi:type="dcterms:W3CDTF">2026-09-29T01:47:51Z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64AA21FA01104D9FA15008657AC8E671_13</vt:lpwstr>
  </property>
  <property fmtid="{D5CDD505-2E9C-101B-9397-08002B2CF9AE}" pid="4" name="KSOTemplateDocerSaveRecord">
    <vt:lpwstr>eyJoZGlkIjoiMmY5M2NkNzgzMTNhYzNmYjU2NTc2OGQwMGFkNmU3N2MiLCJ1c2VySWQiOiIxNTc4Njk4MDQ3In0=</vt:lpwstr>
  </property>
</Properties>
</file>