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rPr>
      </w:pPr>
      <w:r>
        <w:rPr>
          <w:rFonts w:hint="eastAsia" w:ascii="宋体" w:hAnsi="宋体" w:eastAsia="宋体" w:cs="宋体"/>
          <w:b/>
          <w:bCs/>
          <w:color w:val="auto"/>
          <w:kern w:val="0"/>
          <w:sz w:val="44"/>
          <w:szCs w:val="44"/>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rPr>
      </w:pPr>
      <w:r>
        <w:rPr>
          <w:rFonts w:hint="eastAsia" w:ascii="宋体" w:hAnsi="宋体" w:eastAsia="宋体" w:cs="宋体"/>
          <w:b/>
          <w:bCs/>
          <w:color w:val="auto"/>
          <w:kern w:val="0"/>
          <w:sz w:val="28"/>
          <w:szCs w:val="28"/>
          <w:shd w:val="clear" w:color="auto" w:fill="FFFFFF"/>
        </w:rPr>
        <w:t>（项目编号:</w:t>
      </w:r>
      <w:r>
        <w:rPr>
          <w:rFonts w:hint="eastAsia" w:ascii="宋体" w:hAnsi="宋体" w:cs="宋体"/>
          <w:b/>
          <w:bCs/>
          <w:color w:val="auto"/>
          <w:kern w:val="0"/>
          <w:sz w:val="28"/>
          <w:szCs w:val="28"/>
          <w:shd w:val="clear" w:color="auto" w:fill="FFFFFF"/>
          <w:lang w:eastAsia="zh-CN"/>
        </w:rPr>
        <w:t>LCCQJJ20260624</w:t>
      </w:r>
      <w:r>
        <w:rPr>
          <w:rFonts w:hint="eastAsia" w:ascii="宋体" w:hAnsi="宋体" w:eastAsia="宋体" w:cs="宋体"/>
          <w:b/>
          <w:bCs/>
          <w:color w:val="auto"/>
          <w:kern w:val="0"/>
          <w:sz w:val="28"/>
          <w:szCs w:val="28"/>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w:t>
      </w:r>
      <w:r>
        <w:rPr>
          <w:rFonts w:hint="eastAsia" w:ascii="宋体" w:hAnsi="宋体" w:cs="宋体"/>
          <w:color w:val="auto"/>
          <w:sz w:val="28"/>
          <w:szCs w:val="28"/>
          <w:lang w:val="en-US" w:eastAsia="zh-CN"/>
        </w:rPr>
        <w:t xml:space="preserve"> </w:t>
      </w:r>
      <w:bookmarkStart w:id="0" w:name="_GoBack"/>
      <w:bookmarkEnd w:id="0"/>
      <w:r>
        <w:rPr>
          <w:rFonts w:hint="eastAsia" w:ascii="宋体" w:hAnsi="宋体" w:eastAsia="宋体" w:cs="宋体"/>
          <w:color w:val="auto"/>
          <w:sz w:val="28"/>
          <w:szCs w:val="28"/>
          <w:lang w:val="en-US" w:eastAsia="zh-CN"/>
        </w:rPr>
        <w:t>、公平、公正、诚实信用”的原则，依照国家法律、法规、政策为本次竞价活动提供服务。现将有关竞价事项告知如下：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auto"/>
          <w:sz w:val="28"/>
          <w:szCs w:val="28"/>
          <w:lang w:val="en-US" w:eastAsia="zh-CN"/>
        </w:rPr>
        <w:t>2026年6月24日10:00止</w:t>
      </w:r>
      <w:r>
        <w:rPr>
          <w:rFonts w:hint="eastAsia" w:ascii="宋体" w:hAnsi="宋体" w:eastAsia="宋体" w:cs="宋体"/>
          <w:color w:val="auto"/>
          <w:sz w:val="28"/>
          <w:szCs w:val="28"/>
          <w:lang w:val="en-US" w:eastAsia="zh-CN"/>
        </w:rPr>
        <w:t>。</w:t>
      </w:r>
    </w:p>
    <w:p w14:paraId="5A1DB88E">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https://lcyjy.enjoy5191.com/home</w:t>
      </w:r>
      <w:r>
        <w:rPr>
          <w:rFonts w:hint="eastAsia" w:ascii="宋体" w:hAnsi="宋体" w:eastAsia="宋体" w:cs="宋体"/>
          <w:color w:val="auto"/>
          <w:sz w:val="28"/>
          <w:szCs w:val="28"/>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auto"/>
          <w:sz w:val="28"/>
          <w:szCs w:val="28"/>
          <w:lang w:val="en-US" w:eastAsia="zh-CN"/>
        </w:rPr>
        <w:t>2026年6月24日10:00</w:t>
      </w:r>
      <w:r>
        <w:rPr>
          <w:rFonts w:hint="eastAsia" w:ascii="宋体" w:hAnsi="宋体" w:eastAsia="宋体" w:cs="宋体"/>
          <w:color w:val="auto"/>
          <w:sz w:val="28"/>
          <w:szCs w:val="28"/>
          <w:lang w:val="en-US" w:eastAsia="zh-CN"/>
        </w:rPr>
        <w:t>止</w:t>
      </w:r>
      <w:r>
        <w:rPr>
          <w:rFonts w:hint="eastAsia" w:ascii="宋体" w:hAnsi="宋体" w:cs="宋体"/>
          <w:color w:val="auto"/>
          <w:sz w:val="28"/>
          <w:szCs w:val="28"/>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连城产权联系</w:t>
      </w:r>
      <w:r>
        <w:rPr>
          <w:rFonts w:hint="eastAsia" w:ascii="宋体" w:hAnsi="宋体" w:cs="宋体"/>
          <w:color w:val="auto"/>
          <w:sz w:val="28"/>
          <w:szCs w:val="28"/>
          <w:lang w:val="en-US" w:eastAsia="zh-CN"/>
        </w:rPr>
        <w:t>人及</w:t>
      </w:r>
      <w:r>
        <w:rPr>
          <w:rFonts w:hint="eastAsia" w:ascii="宋体" w:hAnsi="宋体" w:eastAsia="宋体" w:cs="宋体"/>
          <w:color w:val="auto"/>
          <w:sz w:val="28"/>
          <w:szCs w:val="28"/>
          <w:lang w:val="en-US" w:eastAsia="zh-CN"/>
        </w:rPr>
        <w:t>电话：</w:t>
      </w:r>
      <w:r>
        <w:rPr>
          <w:rFonts w:hint="eastAsia" w:ascii="宋体" w:hAnsi="宋体" w:cs="宋体"/>
          <w:color w:val="auto"/>
          <w:sz w:val="28"/>
          <w:szCs w:val="28"/>
          <w:lang w:val="en-US" w:eastAsia="zh-CN"/>
        </w:rPr>
        <w:t>林女士18039848961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14:paraId="5212DBF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1.项目名称：</w:t>
      </w:r>
      <w:r>
        <w:rPr>
          <w:rFonts w:hint="eastAsia" w:ascii="宋体" w:hAnsi="宋体" w:cs="宋体"/>
          <w:b w:val="0"/>
          <w:bCs w:val="0"/>
          <w:color w:val="auto"/>
          <w:sz w:val="28"/>
          <w:szCs w:val="28"/>
          <w:lang w:val="en-US" w:eastAsia="zh-CN"/>
        </w:rPr>
        <w:t>连城县人民检察院检察工作网系统三级等保测评及门户网站系统漏洞扫描风险评估服务项目</w:t>
      </w:r>
      <w:r>
        <w:rPr>
          <w:rFonts w:hint="eastAsia" w:ascii="宋体" w:hAnsi="宋体" w:eastAsia="宋体" w:cs="宋体"/>
          <w:b w:val="0"/>
          <w:bCs w:val="0"/>
          <w:color w:val="auto"/>
          <w:sz w:val="28"/>
          <w:szCs w:val="28"/>
          <w:lang w:val="en-US" w:eastAsia="zh-CN"/>
        </w:rPr>
        <w:t>。</w:t>
      </w:r>
    </w:p>
    <w:p w14:paraId="6F587B1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2</w:t>
      </w:r>
      <w:r>
        <w:rPr>
          <w:rFonts w:hint="eastAsia" w:ascii="宋体" w:hAnsi="宋体" w:eastAsia="宋体" w:cs="宋体"/>
          <w:b w:val="0"/>
          <w:bCs w:val="0"/>
          <w:color w:val="auto"/>
          <w:sz w:val="28"/>
          <w:szCs w:val="28"/>
          <w:lang w:val="en-US" w:eastAsia="zh-CN"/>
        </w:rPr>
        <w:t>.最高限价：</w:t>
      </w:r>
      <w:r>
        <w:rPr>
          <w:rFonts w:hint="eastAsia" w:ascii="宋体" w:hAnsi="宋体" w:cs="宋体"/>
          <w:color w:val="auto"/>
          <w:sz w:val="28"/>
          <w:szCs w:val="28"/>
          <w:lang w:val="en-US" w:eastAsia="zh-CN"/>
        </w:rPr>
        <w:t>55000元。</w:t>
      </w:r>
    </w:p>
    <w:p w14:paraId="39DC7D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3</w:t>
      </w:r>
      <w:r>
        <w:rPr>
          <w:rFonts w:hint="eastAsia" w:ascii="宋体" w:hAnsi="宋体" w:eastAsia="宋体" w:cs="宋体"/>
          <w:b w:val="0"/>
          <w:bCs w:val="0"/>
          <w:color w:val="auto"/>
          <w:sz w:val="28"/>
          <w:szCs w:val="28"/>
          <w:lang w:val="en-US" w:eastAsia="zh-CN"/>
        </w:rPr>
        <w:t>.竞价保证金</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1000</w:t>
      </w:r>
      <w:r>
        <w:rPr>
          <w:rFonts w:hint="eastAsia" w:ascii="宋体" w:hAnsi="宋体" w:eastAsia="宋体" w:cs="宋体"/>
          <w:color w:val="auto"/>
          <w:sz w:val="28"/>
          <w:szCs w:val="28"/>
          <w:lang w:val="en-US" w:eastAsia="zh-CN"/>
        </w:rPr>
        <w:t>元</w:t>
      </w:r>
      <w:r>
        <w:rPr>
          <w:rFonts w:hint="eastAsia" w:ascii="宋体" w:hAnsi="宋体" w:cs="宋体"/>
          <w:color w:val="auto"/>
          <w:sz w:val="28"/>
          <w:szCs w:val="28"/>
          <w:lang w:val="en-US" w:eastAsia="zh-CN"/>
        </w:rPr>
        <w:t>。</w:t>
      </w:r>
    </w:p>
    <w:p w14:paraId="237CE75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left"/>
        <w:textAlignment w:val="auto"/>
        <w:rPr>
          <w:rFonts w:hint="eastAsia"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4</w:t>
      </w:r>
      <w:r>
        <w:rPr>
          <w:rFonts w:hint="eastAsia" w:ascii="宋体" w:hAnsi="宋体" w:eastAsia="宋体" w:cs="宋体"/>
          <w:b w:val="0"/>
          <w:bCs w:val="0"/>
          <w:color w:val="auto"/>
          <w:sz w:val="28"/>
          <w:szCs w:val="28"/>
          <w:lang w:val="en-US" w:eastAsia="zh-CN"/>
        </w:rPr>
        <w:t>.技术服务内容</w:t>
      </w:r>
      <w:r>
        <w:rPr>
          <w:rFonts w:hint="eastAsia" w:ascii="宋体" w:hAnsi="宋体" w:cs="宋体"/>
          <w:b w:val="0"/>
          <w:bCs w:val="0"/>
          <w:color w:val="auto"/>
          <w:sz w:val="28"/>
          <w:szCs w:val="28"/>
          <w:lang w:val="en-US" w:eastAsia="zh-CN"/>
        </w:rPr>
        <w:t>：</w:t>
      </w:r>
    </w:p>
    <w:tbl>
      <w:tblPr>
        <w:tblStyle w:val="13"/>
        <w:tblW w:w="9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224"/>
        <w:gridCol w:w="6217"/>
        <w:gridCol w:w="925"/>
      </w:tblGrid>
      <w:tr w14:paraId="76442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41" w:type="dxa"/>
            <w:vAlign w:val="center"/>
          </w:tcPr>
          <w:p w14:paraId="15BE6EDA">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ascii="宋体" w:hAnsi="宋体"/>
                <w:color w:val="000000" w:themeColor="text1"/>
                <w:sz w:val="24"/>
                <w:szCs w:val="24"/>
                <w:shd w:val="clear" w:color="auto" w:fill="FFFFFF"/>
              </w:rPr>
            </w:pPr>
            <w:r>
              <w:rPr>
                <w:rFonts w:hint="eastAsia" w:ascii="宋体" w:hAnsi="宋体"/>
                <w:color w:val="000000" w:themeColor="text1"/>
                <w:sz w:val="24"/>
                <w:szCs w:val="24"/>
                <w:shd w:val="clear" w:color="auto" w:fill="FFFFFF"/>
              </w:rPr>
              <w:t>序号</w:t>
            </w:r>
          </w:p>
        </w:tc>
        <w:tc>
          <w:tcPr>
            <w:tcW w:w="1224" w:type="dxa"/>
            <w:vAlign w:val="center"/>
          </w:tcPr>
          <w:p w14:paraId="2D58E2DA">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olor w:val="000000" w:themeColor="text1"/>
                <w:sz w:val="24"/>
                <w:szCs w:val="24"/>
                <w:shd w:val="clear" w:color="auto" w:fill="FFFFFF"/>
                <w:lang w:eastAsia="zh-CN"/>
              </w:rPr>
            </w:pPr>
            <w:r>
              <w:rPr>
                <w:rFonts w:hint="eastAsia" w:ascii="宋体" w:hAnsi="宋体"/>
                <w:color w:val="000000" w:themeColor="text1"/>
                <w:sz w:val="24"/>
                <w:szCs w:val="24"/>
                <w:shd w:val="clear" w:color="auto" w:fill="FFFFFF"/>
              </w:rPr>
              <w:t>服务</w:t>
            </w:r>
            <w:r>
              <w:rPr>
                <w:rFonts w:hint="eastAsia" w:ascii="宋体" w:hAnsi="宋体"/>
                <w:color w:val="000000" w:themeColor="text1"/>
                <w:sz w:val="24"/>
                <w:szCs w:val="24"/>
                <w:shd w:val="clear" w:color="auto" w:fill="FFFFFF"/>
                <w:lang w:val="en-US" w:eastAsia="zh-CN"/>
              </w:rPr>
              <w:t>项目</w:t>
            </w:r>
          </w:p>
        </w:tc>
        <w:tc>
          <w:tcPr>
            <w:tcW w:w="6217" w:type="dxa"/>
            <w:vAlign w:val="center"/>
          </w:tcPr>
          <w:p w14:paraId="2357A270">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ind w:firstLine="2400" w:firstLineChars="1000"/>
              <w:jc w:val="both"/>
              <w:textAlignment w:val="auto"/>
              <w:rPr>
                <w:rFonts w:hint="eastAsia" w:ascii="宋体" w:hAnsi="宋体" w:eastAsia="宋体"/>
                <w:color w:val="000000" w:themeColor="text1"/>
                <w:sz w:val="24"/>
                <w:szCs w:val="24"/>
                <w:shd w:val="clear" w:color="auto" w:fill="FFFFFF"/>
                <w:lang w:val="en-US" w:eastAsia="zh-CN"/>
              </w:rPr>
            </w:pPr>
            <w:r>
              <w:rPr>
                <w:rFonts w:hint="eastAsia" w:ascii="宋体" w:hAnsi="宋体"/>
                <w:color w:val="000000" w:themeColor="text1"/>
                <w:sz w:val="24"/>
                <w:szCs w:val="24"/>
                <w:shd w:val="clear" w:color="auto" w:fill="FFFFFF"/>
                <w:lang w:val="en-US" w:eastAsia="zh-CN"/>
              </w:rPr>
              <w:t>服务内容</w:t>
            </w:r>
          </w:p>
        </w:tc>
        <w:tc>
          <w:tcPr>
            <w:tcW w:w="925" w:type="dxa"/>
            <w:vAlign w:val="center"/>
          </w:tcPr>
          <w:p w14:paraId="5C7CD446">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center"/>
              <w:textAlignment w:val="auto"/>
              <w:rPr>
                <w:rFonts w:ascii="宋体" w:hAnsi="宋体"/>
                <w:color w:val="000000" w:themeColor="text1"/>
                <w:sz w:val="24"/>
                <w:szCs w:val="24"/>
                <w:shd w:val="clear" w:color="auto" w:fill="FFFFFF"/>
              </w:rPr>
            </w:pPr>
            <w:r>
              <w:rPr>
                <w:rFonts w:hint="eastAsia" w:ascii="宋体" w:hAnsi="宋体"/>
                <w:color w:val="000000" w:themeColor="text1"/>
                <w:sz w:val="24"/>
                <w:szCs w:val="24"/>
                <w:shd w:val="clear" w:color="auto" w:fill="FFFFFF"/>
              </w:rPr>
              <w:t>单价</w:t>
            </w:r>
          </w:p>
        </w:tc>
      </w:tr>
      <w:tr w14:paraId="712F5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1" w:type="dxa"/>
          </w:tcPr>
          <w:p w14:paraId="58AE07F5">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s="Times New Roman"/>
                <w:color w:val="000000" w:themeColor="text1"/>
                <w:kern w:val="0"/>
                <w:sz w:val="24"/>
                <w:szCs w:val="24"/>
                <w:shd w:val="clear" w:color="auto" w:fill="FFFFFF"/>
              </w:rPr>
            </w:pPr>
          </w:p>
          <w:p w14:paraId="2B7149BF">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s="Times New Roman"/>
                <w:color w:val="000000" w:themeColor="text1"/>
                <w:kern w:val="0"/>
                <w:sz w:val="24"/>
                <w:szCs w:val="24"/>
                <w:shd w:val="clear" w:color="auto" w:fill="FFFFFF"/>
              </w:rPr>
            </w:pPr>
          </w:p>
          <w:p w14:paraId="55C8D631">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s="Times New Roman"/>
                <w:color w:val="000000" w:themeColor="text1"/>
                <w:kern w:val="0"/>
                <w:sz w:val="24"/>
                <w:szCs w:val="24"/>
                <w:shd w:val="clear" w:color="auto" w:fill="FFFFFF"/>
              </w:rPr>
            </w:pPr>
          </w:p>
          <w:p w14:paraId="3C5AEDA5">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s="Times New Roman"/>
                <w:color w:val="000000" w:themeColor="text1"/>
                <w:kern w:val="0"/>
                <w:sz w:val="24"/>
                <w:szCs w:val="24"/>
                <w:shd w:val="clear" w:color="auto" w:fill="FFFFFF"/>
              </w:rPr>
            </w:pPr>
          </w:p>
          <w:p w14:paraId="6408BA6E">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s="Times New Roman"/>
                <w:color w:val="000000" w:themeColor="text1"/>
                <w:kern w:val="0"/>
                <w:sz w:val="24"/>
                <w:szCs w:val="24"/>
                <w:shd w:val="clear" w:color="auto" w:fill="FFFFFF"/>
              </w:rPr>
            </w:pPr>
          </w:p>
          <w:p w14:paraId="05E2DF63">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ascii="宋体" w:hAnsi="宋体" w:eastAsia="宋体" w:cs="Times New Roman"/>
                <w:color w:val="000000" w:themeColor="text1"/>
                <w:kern w:val="0"/>
                <w:sz w:val="24"/>
                <w:szCs w:val="24"/>
                <w:shd w:val="clear" w:color="auto" w:fill="FFFFFF"/>
              </w:rPr>
            </w:pPr>
            <w:r>
              <w:rPr>
                <w:rFonts w:hint="eastAsia" w:ascii="宋体" w:hAnsi="宋体" w:eastAsia="宋体" w:cs="Times New Roman"/>
                <w:color w:val="000000" w:themeColor="text1"/>
                <w:kern w:val="0"/>
                <w:sz w:val="24"/>
                <w:szCs w:val="24"/>
                <w:shd w:val="clear" w:color="auto" w:fill="FFFFFF"/>
              </w:rPr>
              <w:t>1</w:t>
            </w:r>
          </w:p>
        </w:tc>
        <w:tc>
          <w:tcPr>
            <w:tcW w:w="1224" w:type="dxa"/>
          </w:tcPr>
          <w:p w14:paraId="1238AE2A">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Times New Roman"/>
                <w:color w:val="000000" w:themeColor="text1"/>
                <w:sz w:val="24"/>
                <w:szCs w:val="24"/>
                <w:shd w:val="clear" w:color="auto" w:fill="FFFFFF"/>
              </w:rPr>
            </w:pPr>
          </w:p>
          <w:p w14:paraId="3CCDD58E">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Times New Roman"/>
                <w:color w:val="000000" w:themeColor="text1"/>
                <w:sz w:val="24"/>
                <w:szCs w:val="24"/>
                <w:shd w:val="clear" w:color="auto" w:fill="FFFFFF"/>
              </w:rPr>
            </w:pPr>
          </w:p>
          <w:p w14:paraId="246936BD">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Times New Roman"/>
                <w:color w:val="000000" w:themeColor="text1"/>
                <w:sz w:val="24"/>
                <w:szCs w:val="24"/>
                <w:shd w:val="clear" w:color="auto" w:fill="FFFFFF"/>
              </w:rPr>
            </w:pPr>
          </w:p>
          <w:p w14:paraId="220DEE12">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Times New Roman"/>
                <w:color w:val="000000" w:themeColor="text1"/>
                <w:sz w:val="24"/>
                <w:szCs w:val="24"/>
                <w:shd w:val="clear" w:color="auto" w:fill="FFFFFF"/>
              </w:rPr>
            </w:pPr>
          </w:p>
          <w:p w14:paraId="099C9D15">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Times New Roman"/>
                <w:color w:val="000000" w:themeColor="text1"/>
                <w:kern w:val="0"/>
                <w:sz w:val="24"/>
                <w:szCs w:val="24"/>
                <w:shd w:val="clear" w:color="auto" w:fill="FFFFFF"/>
              </w:rPr>
            </w:pPr>
            <w:r>
              <w:rPr>
                <w:rFonts w:hint="eastAsia" w:ascii="宋体" w:hAnsi="宋体" w:eastAsia="宋体" w:cs="Times New Roman"/>
                <w:color w:val="000000" w:themeColor="text1"/>
                <w:kern w:val="0"/>
                <w:sz w:val="24"/>
                <w:szCs w:val="24"/>
                <w:shd w:val="clear" w:color="auto" w:fill="FFFFFF"/>
                <w:lang w:eastAsia="zh-CN"/>
              </w:rPr>
              <w:t>连城县</w:t>
            </w:r>
            <w:r>
              <w:rPr>
                <w:rFonts w:ascii="宋体" w:hAnsi="宋体" w:eastAsia="宋体" w:cs="Times New Roman"/>
                <w:color w:val="000000" w:themeColor="text1"/>
                <w:kern w:val="0"/>
                <w:sz w:val="24"/>
                <w:szCs w:val="24"/>
                <w:shd w:val="clear" w:color="auto" w:fill="FFFFFF"/>
              </w:rPr>
              <w:t>人民检察院检察工作网三级等保咨询及测评服务</w:t>
            </w:r>
          </w:p>
        </w:tc>
        <w:tc>
          <w:tcPr>
            <w:tcW w:w="6217" w:type="dxa"/>
            <w:vAlign w:val="top"/>
          </w:tcPr>
          <w:p w14:paraId="03218409">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一、信息等级保护咨询</w:t>
            </w:r>
          </w:p>
          <w:p w14:paraId="37D2FD99">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1.</w:t>
            </w:r>
            <w:r>
              <w:rPr>
                <w:rFonts w:ascii="宋体" w:hAnsi="宋体" w:cs="宋体"/>
                <w:sz w:val="24"/>
                <w:szCs w:val="24"/>
              </w:rPr>
              <w:t>、资产分析服务</w:t>
            </w:r>
          </w:p>
          <w:p w14:paraId="3457B67E">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1.1、根据服务范围内的应用组成，派遣专业工程师到现场整理各个系统的网络结构拓扑以及相关联的资产，编制信息系统资产清单及资产报告；</w:t>
            </w:r>
          </w:p>
          <w:p w14:paraId="2400DD70">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1.2、对服务范围内信息系统开展物理环境、网络结构、设备配置、应用系统以及管理制度进行调研和梳理，编制信息系统详细描述文档。</w:t>
            </w:r>
          </w:p>
          <w:p w14:paraId="503BC71C">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2、差距分析服务</w:t>
            </w:r>
          </w:p>
          <w:p w14:paraId="20526A92">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2.1、在安全评估和信息系统定级的基础上，根据《信息系统安全保护等级基本要求》将定级信息系统等级保护的各项基本要求与信息安全现状进行比较分析，从管理和技术两个层面找出存在的问题并进行分析。</w:t>
            </w:r>
          </w:p>
          <w:p w14:paraId="14CF1E03">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2.2、对于需要增加投资，协助部署新的信息安全产品和技术的整改措施，双方根据整改方案另行协商和实施。</w:t>
            </w:r>
          </w:p>
          <w:p w14:paraId="68BF0AB1">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3、需求分析与设计服务</w:t>
            </w:r>
          </w:p>
          <w:p w14:paraId="040A0B96">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3.1、对服务范围内信息系统按照差距分析报告对应策略设计整改措施，面向保护对象设计安全计算环境安全、安全区域边界安全、安全通信网络等方面的整改设计方案；</w:t>
            </w:r>
          </w:p>
          <w:p w14:paraId="106B2075">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3.2、开展详细设计工作，完成网络结构框架设计、功能设计、性能设计、部署方案设计、安全策略设计等方面，形成安全整改实施规范书；</w:t>
            </w:r>
          </w:p>
          <w:p w14:paraId="78C8ED5C">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3.3、</w:t>
            </w:r>
            <w:r>
              <w:rPr>
                <w:rFonts w:ascii="宋体" w:hAnsi="宋体" w:cs="宋体"/>
                <w:sz w:val="24"/>
                <w:szCs w:val="24"/>
              </w:rPr>
              <w:t>提供信息安全等级保护建设详细方案书，应该包括具体的实施内容、实施流程、风险管理和进度控制等。</w:t>
            </w:r>
          </w:p>
          <w:p w14:paraId="4F46DFDA">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二、</w:t>
            </w:r>
            <w:r>
              <w:rPr>
                <w:rFonts w:ascii="宋体" w:hAnsi="宋体" w:cs="宋体"/>
                <w:sz w:val="24"/>
                <w:szCs w:val="24"/>
              </w:rPr>
              <w:t>等级保护评测工作</w:t>
            </w:r>
          </w:p>
          <w:p w14:paraId="6D068ABB">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sz w:val="24"/>
                <w:szCs w:val="24"/>
              </w:rPr>
            </w:pPr>
            <w:r>
              <w:rPr>
                <w:rFonts w:hint="eastAsia" w:ascii="宋体" w:hAnsi="宋体" w:cs="宋体"/>
                <w:sz w:val="24"/>
                <w:szCs w:val="24"/>
              </w:rPr>
              <w:t>1、根据等级保护的《信息安全技术网络安全等级保护基本要求GBT22239-2019》要求，成交人须提供等保测评服务。包含但不仅限以下内容：</w:t>
            </w:r>
          </w:p>
          <w:p w14:paraId="2F050E49">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1</w:t>
            </w:r>
            <w:r>
              <w:rPr>
                <w:rFonts w:ascii="宋体" w:hAnsi="宋体" w:cs="宋体"/>
                <w:sz w:val="24"/>
                <w:szCs w:val="24"/>
              </w:rPr>
              <w:t>.1</w:t>
            </w:r>
            <w:r>
              <w:rPr>
                <w:rFonts w:hint="eastAsia" w:ascii="宋体" w:hAnsi="宋体" w:cs="宋体"/>
                <w:sz w:val="24"/>
                <w:szCs w:val="24"/>
              </w:rPr>
              <w:t>技术要求部分测评须涉及安全通信网络、安全区域边界、安全计算环境、安全管理中心、安全物理环境五个方面，须通过访谈、配置检查和工具测试的方式测评信息系统的技术安全保障情况。</w:t>
            </w:r>
          </w:p>
          <w:p w14:paraId="7001E527">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1</w:t>
            </w:r>
            <w:r>
              <w:rPr>
                <w:rFonts w:ascii="宋体" w:hAnsi="宋体" w:cs="宋体"/>
                <w:sz w:val="24"/>
                <w:szCs w:val="24"/>
              </w:rPr>
              <w:t>.1.1</w:t>
            </w:r>
            <w:r>
              <w:rPr>
                <w:rFonts w:hint="eastAsia" w:ascii="宋体" w:hAnsi="宋体" w:cs="宋体"/>
                <w:sz w:val="24"/>
                <w:szCs w:val="24"/>
              </w:rPr>
              <w:t>物理安全测评须通过访谈、文档审查和实地察看的方式测评信息系统的物理安全保障情况。主要涉及对象为机房。</w:t>
            </w:r>
          </w:p>
          <w:p w14:paraId="13C0F2D2">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1</w:t>
            </w:r>
            <w:r>
              <w:rPr>
                <w:rFonts w:ascii="宋体" w:hAnsi="宋体" w:cs="宋体"/>
                <w:sz w:val="24"/>
                <w:szCs w:val="24"/>
              </w:rPr>
              <w:t>.1.2</w:t>
            </w:r>
            <w:r>
              <w:rPr>
                <w:rFonts w:hint="eastAsia" w:ascii="宋体" w:hAnsi="宋体" w:cs="宋体"/>
                <w:sz w:val="24"/>
                <w:szCs w:val="24"/>
              </w:rPr>
              <w:t>安全通信网络测评须通过访谈、配置检查和工具测试的方式测评信息系统的安全通信网络保障情况。</w:t>
            </w:r>
          </w:p>
          <w:p w14:paraId="6C301A42">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1</w:t>
            </w:r>
            <w:r>
              <w:rPr>
                <w:rFonts w:ascii="宋体" w:hAnsi="宋体" w:cs="宋体"/>
                <w:sz w:val="24"/>
                <w:szCs w:val="24"/>
              </w:rPr>
              <w:t>.1.3</w:t>
            </w:r>
            <w:r>
              <w:rPr>
                <w:rFonts w:hint="eastAsia" w:ascii="宋体" w:hAnsi="宋体" w:cs="宋体"/>
                <w:sz w:val="24"/>
                <w:szCs w:val="24"/>
              </w:rPr>
              <w:t>安全区域边界测评须通过访谈、配置检查和工具测试的方式测评信息系统的安全区域边界保障情况。</w:t>
            </w:r>
          </w:p>
          <w:p w14:paraId="0C6C4A1E">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1</w:t>
            </w:r>
            <w:r>
              <w:rPr>
                <w:rFonts w:ascii="宋体" w:hAnsi="宋体" w:cs="宋体"/>
                <w:sz w:val="24"/>
                <w:szCs w:val="24"/>
              </w:rPr>
              <w:t>.1.4</w:t>
            </w:r>
            <w:r>
              <w:rPr>
                <w:rFonts w:hint="eastAsia" w:ascii="宋体" w:hAnsi="宋体" w:cs="宋体"/>
                <w:sz w:val="24"/>
                <w:szCs w:val="24"/>
              </w:rPr>
              <w:t>安全计算环境须通过访谈、配置检查和工具测试的方式测评信息系统的安全计算环境保障情况。</w:t>
            </w:r>
          </w:p>
          <w:p w14:paraId="3164295B">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hint="eastAsia" w:ascii="宋体" w:hAnsi="宋体" w:cs="宋体"/>
                <w:sz w:val="24"/>
                <w:szCs w:val="24"/>
              </w:rPr>
              <w:t>1</w:t>
            </w:r>
            <w:r>
              <w:rPr>
                <w:rFonts w:ascii="宋体" w:hAnsi="宋体" w:cs="宋体"/>
                <w:sz w:val="24"/>
                <w:szCs w:val="24"/>
              </w:rPr>
              <w:t>.1.5</w:t>
            </w:r>
            <w:r>
              <w:rPr>
                <w:rFonts w:hint="eastAsia" w:ascii="宋体" w:hAnsi="宋体" w:cs="宋体"/>
                <w:sz w:val="24"/>
                <w:szCs w:val="24"/>
              </w:rPr>
              <w:t>安全管理中心测评须通过访谈、配置检查的方式测评信息系统的安全管理中心保障情况。</w:t>
            </w:r>
          </w:p>
          <w:p w14:paraId="6A935455">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2</w:t>
            </w:r>
            <w:r>
              <w:rPr>
                <w:rFonts w:hint="eastAsia" w:ascii="宋体" w:hAnsi="宋体" w:cs="宋体"/>
                <w:sz w:val="24"/>
                <w:szCs w:val="24"/>
              </w:rPr>
              <w:t>、管理要求部分测评须涉及安全管理制度、安全管理机构、安全管理人员、安全建设管理和安全运维管理等五个方面，管理要求方面的测评对象主要为安全主管人员、安全管理人员等。</w:t>
            </w:r>
          </w:p>
          <w:p w14:paraId="31173DA3">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2.1</w:t>
            </w:r>
            <w:r>
              <w:rPr>
                <w:rFonts w:hint="eastAsia" w:ascii="宋体" w:hAnsi="宋体" w:cs="宋体"/>
                <w:sz w:val="24"/>
                <w:szCs w:val="24"/>
              </w:rPr>
              <w:t>安全管理制度：须针对管理制度、制定和发布、评审和修订等情况进行核查。</w:t>
            </w:r>
          </w:p>
          <w:p w14:paraId="63A45A3F">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2.2</w:t>
            </w:r>
            <w:r>
              <w:rPr>
                <w:rFonts w:hint="eastAsia" w:ascii="宋体" w:hAnsi="宋体" w:cs="宋体"/>
                <w:sz w:val="24"/>
                <w:szCs w:val="24"/>
              </w:rPr>
              <w:t>安全管理机构：须针对岗位设置、人员配备、授权和审批、沟通和协作、审核和检查等情况进行审核。</w:t>
            </w:r>
          </w:p>
          <w:p w14:paraId="33272065">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2.3</w:t>
            </w:r>
            <w:r>
              <w:rPr>
                <w:rFonts w:hint="eastAsia" w:ascii="宋体" w:hAnsi="宋体" w:cs="宋体"/>
                <w:sz w:val="24"/>
                <w:szCs w:val="24"/>
              </w:rPr>
              <w:t>安全人员管理：须针对人员录用、人员离岗、人员考核、安全意识教育和培训、外部人员访问管理等进行核查。</w:t>
            </w:r>
          </w:p>
          <w:p w14:paraId="7F127FAE">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cs="宋体"/>
                <w:sz w:val="24"/>
                <w:szCs w:val="24"/>
              </w:rPr>
            </w:pPr>
            <w:r>
              <w:rPr>
                <w:rFonts w:ascii="宋体" w:hAnsi="宋体" w:cs="宋体"/>
                <w:sz w:val="24"/>
                <w:szCs w:val="24"/>
              </w:rPr>
              <w:t>2.4</w:t>
            </w:r>
            <w:r>
              <w:rPr>
                <w:rFonts w:hint="eastAsia" w:ascii="宋体" w:hAnsi="宋体" w:cs="宋体"/>
                <w:sz w:val="24"/>
                <w:szCs w:val="24"/>
              </w:rPr>
              <w:t>安全建设管理：须针对系统建设的全过程，系统定级、安全方案设计、产品采购和使用、自行软件开发、外包软件开发等进行核查。</w:t>
            </w:r>
          </w:p>
          <w:p w14:paraId="3B33228A">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cs="宋体"/>
                <w:sz w:val="24"/>
                <w:szCs w:val="24"/>
              </w:rPr>
            </w:pPr>
            <w:r>
              <w:rPr>
                <w:rFonts w:ascii="宋体" w:hAnsi="宋体" w:cs="宋体"/>
                <w:sz w:val="24"/>
                <w:szCs w:val="24"/>
              </w:rPr>
              <w:t>2.5</w:t>
            </w:r>
            <w:r>
              <w:rPr>
                <w:rFonts w:hint="eastAsia" w:ascii="宋体" w:hAnsi="宋体" w:cs="宋体"/>
                <w:sz w:val="24"/>
                <w:szCs w:val="24"/>
              </w:rPr>
              <w:t>安全运维管理：须针对资产管理、介质管理、设备管理、监控管理、系统安全管理、恶意代码防范管理、密码管理、变更管理、备份与恢复管理、安全事件处置、应急预案管理进行核查。</w:t>
            </w:r>
          </w:p>
        </w:tc>
        <w:tc>
          <w:tcPr>
            <w:tcW w:w="925" w:type="dxa"/>
          </w:tcPr>
          <w:p w14:paraId="19A09547">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78786E95">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4CC4A84D">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71DEB01D">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049B544D">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7D400772">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215AE0CE">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14A240E9">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宋体" w:hAnsi="宋体" w:eastAsia="宋体" w:cs="Times New Roman"/>
                <w:color w:val="000000" w:themeColor="text1"/>
                <w:kern w:val="0"/>
                <w:sz w:val="24"/>
                <w:szCs w:val="24"/>
                <w:shd w:val="clear" w:color="auto" w:fill="FFFFFF"/>
                <w:lang w:val="en-US" w:eastAsia="zh-CN"/>
              </w:rPr>
            </w:pPr>
            <w:r>
              <w:rPr>
                <w:rFonts w:hint="eastAsia" w:ascii="宋体" w:hAnsi="宋体" w:eastAsia="宋体" w:cs="Times New Roman"/>
                <w:color w:val="000000" w:themeColor="text1"/>
                <w:kern w:val="0"/>
                <w:sz w:val="24"/>
                <w:szCs w:val="24"/>
                <w:shd w:val="clear" w:color="auto" w:fill="FFFFFF"/>
                <w:lang w:val="en-US" w:eastAsia="zh-CN"/>
              </w:rPr>
              <w:t>45000</w:t>
            </w:r>
          </w:p>
        </w:tc>
      </w:tr>
      <w:tr w14:paraId="44F2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741" w:type="dxa"/>
          </w:tcPr>
          <w:p w14:paraId="62E47369">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Times New Roman"/>
                <w:color w:val="000000" w:themeColor="text1"/>
                <w:kern w:val="0"/>
                <w:sz w:val="24"/>
                <w:szCs w:val="24"/>
                <w:shd w:val="clear" w:color="auto" w:fill="FFFFFF"/>
              </w:rPr>
            </w:pPr>
          </w:p>
          <w:p w14:paraId="204CD963">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Times New Roman"/>
                <w:color w:val="000000" w:themeColor="text1"/>
                <w:kern w:val="0"/>
                <w:sz w:val="24"/>
                <w:szCs w:val="24"/>
                <w:shd w:val="clear" w:color="auto" w:fill="FFFFFF"/>
              </w:rPr>
            </w:pPr>
          </w:p>
          <w:p w14:paraId="035AC03C">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Times New Roman"/>
                <w:color w:val="000000" w:themeColor="text1"/>
                <w:kern w:val="0"/>
                <w:sz w:val="24"/>
                <w:szCs w:val="24"/>
                <w:shd w:val="clear" w:color="auto" w:fill="FFFFFF"/>
              </w:rPr>
            </w:pPr>
          </w:p>
          <w:p w14:paraId="34783DE7">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Times New Roman"/>
                <w:color w:val="000000" w:themeColor="text1"/>
                <w:kern w:val="0"/>
                <w:sz w:val="24"/>
                <w:szCs w:val="24"/>
                <w:shd w:val="clear" w:color="auto" w:fill="FFFFFF"/>
              </w:rPr>
            </w:pPr>
          </w:p>
          <w:p w14:paraId="50FE32A2">
            <w:pPr>
              <w:keepNext w:val="0"/>
              <w:keepLines w:val="0"/>
              <w:pageBreakBefore w:val="0"/>
              <w:kinsoku/>
              <w:wordWrap/>
              <w:overflowPunct/>
              <w:topLinePunct w:val="0"/>
              <w:autoSpaceDE/>
              <w:autoSpaceDN/>
              <w:bidi w:val="0"/>
              <w:adjustRightInd/>
              <w:snapToGrid/>
              <w:spacing w:beforeAutospacing="0" w:afterAutospacing="0" w:line="240" w:lineRule="auto"/>
              <w:jc w:val="center"/>
              <w:textAlignment w:val="auto"/>
              <w:rPr>
                <w:rFonts w:hint="eastAsia" w:ascii="宋体" w:hAnsi="宋体" w:eastAsia="宋体" w:cs="Times New Roman"/>
                <w:color w:val="000000" w:themeColor="text1"/>
                <w:kern w:val="0"/>
                <w:sz w:val="24"/>
                <w:szCs w:val="24"/>
                <w:shd w:val="clear" w:color="auto" w:fill="FFFFFF"/>
              </w:rPr>
            </w:pPr>
            <w:r>
              <w:rPr>
                <w:rFonts w:hint="eastAsia" w:ascii="宋体" w:hAnsi="宋体" w:eastAsia="宋体" w:cs="Times New Roman"/>
                <w:color w:val="000000" w:themeColor="text1"/>
                <w:kern w:val="0"/>
                <w:sz w:val="24"/>
                <w:szCs w:val="24"/>
                <w:shd w:val="clear" w:color="auto" w:fill="FFFFFF"/>
              </w:rPr>
              <w:t>2</w:t>
            </w:r>
          </w:p>
        </w:tc>
        <w:tc>
          <w:tcPr>
            <w:tcW w:w="1224" w:type="dxa"/>
          </w:tcPr>
          <w:p w14:paraId="7020930F">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themeColor="text1"/>
                <w:kern w:val="0"/>
                <w:sz w:val="24"/>
                <w:szCs w:val="24"/>
              </w:rPr>
            </w:pPr>
          </w:p>
          <w:p w14:paraId="0485F104">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themeColor="text1"/>
                <w:kern w:val="0"/>
                <w:sz w:val="24"/>
                <w:szCs w:val="24"/>
              </w:rPr>
            </w:pPr>
          </w:p>
          <w:p w14:paraId="10A2A1DA">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themeColor="text1"/>
                <w:kern w:val="0"/>
                <w:sz w:val="24"/>
                <w:szCs w:val="24"/>
              </w:rPr>
            </w:pPr>
          </w:p>
          <w:p w14:paraId="602378DF">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themeColor="text1"/>
                <w:kern w:val="0"/>
                <w:sz w:val="24"/>
                <w:szCs w:val="24"/>
              </w:rPr>
            </w:pPr>
          </w:p>
          <w:p w14:paraId="60978B53">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宋体"/>
                <w:color w:val="000000" w:themeColor="text1"/>
                <w:kern w:val="0"/>
                <w:sz w:val="24"/>
                <w:szCs w:val="24"/>
              </w:rPr>
            </w:pPr>
          </w:p>
          <w:p w14:paraId="572FC66E">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ascii="宋体" w:hAnsi="宋体" w:eastAsia="宋体" w:cs="宋体"/>
                <w:color w:val="000000" w:themeColor="text1"/>
                <w:kern w:val="0"/>
                <w:sz w:val="24"/>
                <w:szCs w:val="24"/>
              </w:rPr>
            </w:pPr>
            <w:r>
              <w:rPr>
                <w:rFonts w:hint="eastAsia" w:ascii="宋体" w:hAnsi="宋体" w:eastAsia="宋体" w:cs="Times New Roman"/>
                <w:color w:val="000000" w:themeColor="text1"/>
                <w:kern w:val="0"/>
                <w:sz w:val="24"/>
                <w:szCs w:val="24"/>
                <w:shd w:val="clear" w:color="auto" w:fill="FFFFFF"/>
                <w:lang w:eastAsia="zh-CN"/>
              </w:rPr>
              <w:t>连城县</w:t>
            </w:r>
            <w:r>
              <w:rPr>
                <w:rFonts w:ascii="宋体" w:hAnsi="宋体" w:eastAsia="宋体" w:cs="Times New Roman"/>
                <w:color w:val="000000" w:themeColor="text1"/>
                <w:kern w:val="0"/>
                <w:sz w:val="24"/>
                <w:szCs w:val="24"/>
                <w:shd w:val="clear" w:color="auto" w:fill="FFFFFF"/>
              </w:rPr>
              <w:t>人民检察院</w:t>
            </w:r>
            <w:r>
              <w:rPr>
                <w:rFonts w:hint="eastAsia" w:ascii="宋体" w:hAnsi="宋体" w:eastAsia="宋体" w:cs="宋体"/>
                <w:color w:val="000000" w:themeColor="text1"/>
                <w:kern w:val="0"/>
                <w:sz w:val="24"/>
                <w:szCs w:val="24"/>
              </w:rPr>
              <w:t>互联网漏洞扫描风险评估服务工作</w:t>
            </w:r>
          </w:p>
          <w:p w14:paraId="42E9448C">
            <w:pPr>
              <w:keepNext w:val="0"/>
              <w:keepLines w:val="0"/>
              <w:pageBreakBefore w:val="0"/>
              <w:kinsoku/>
              <w:wordWrap/>
              <w:overflowPunct/>
              <w:topLinePunct w:val="0"/>
              <w:autoSpaceDE/>
              <w:autoSpaceDN/>
              <w:bidi w:val="0"/>
              <w:adjustRightInd/>
              <w:snapToGrid/>
              <w:spacing w:beforeAutospacing="0" w:afterAutospacing="0" w:line="240" w:lineRule="auto"/>
              <w:textAlignment w:val="auto"/>
              <w:rPr>
                <w:rFonts w:hint="eastAsia" w:ascii="宋体" w:hAnsi="宋体" w:eastAsia="宋体" w:cs="Times New Roman"/>
                <w:color w:val="000000" w:themeColor="text1"/>
                <w:sz w:val="24"/>
                <w:szCs w:val="24"/>
                <w:shd w:val="clear" w:color="auto" w:fill="FFFFFF"/>
              </w:rPr>
            </w:pPr>
          </w:p>
        </w:tc>
        <w:tc>
          <w:tcPr>
            <w:tcW w:w="6217" w:type="dxa"/>
            <w:vAlign w:val="top"/>
          </w:tcPr>
          <w:p w14:paraId="1FC23EC9">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cs="宋体"/>
                <w:color w:val="000000" w:themeColor="text1"/>
                <w:sz w:val="24"/>
                <w:szCs w:val="24"/>
              </w:rPr>
            </w:pPr>
            <w:r>
              <w:rPr>
                <w:rFonts w:hint="eastAsia" w:ascii="宋体" w:hAnsi="宋体" w:cs="宋体"/>
                <w:color w:val="000000" w:themeColor="text1"/>
                <w:sz w:val="24"/>
                <w:szCs w:val="24"/>
              </w:rPr>
              <w:t>根据等级保护的《信息安全技术 信息安全风险评估方法》（GB/T 20984-2022）要求，提供风险评估服务。包含但不仅限以下内容：</w:t>
            </w:r>
          </w:p>
          <w:p w14:paraId="05281935">
            <w:pPr>
              <w:pStyle w:val="11"/>
              <w:keepNext w:val="0"/>
              <w:keepLines w:val="0"/>
              <w:pageBreakBefore w:val="0"/>
              <w:widowControl/>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1.</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评估准备，此阶段应包括：</w:t>
            </w:r>
          </w:p>
          <w:p w14:paraId="6E5BB8D4">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1)</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确定风险评估的目标；</w:t>
            </w:r>
          </w:p>
          <w:p w14:paraId="4FCE8E28">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2)</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确定风险评估的对象、范围和边界；</w:t>
            </w:r>
          </w:p>
          <w:p w14:paraId="42307929">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3)</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组建评估团队；</w:t>
            </w:r>
          </w:p>
          <w:p w14:paraId="58A4F18F">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4)</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开展前期调研；</w:t>
            </w:r>
          </w:p>
          <w:p w14:paraId="4AD3E8B8">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5)</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确定评估依据；</w:t>
            </w:r>
          </w:p>
          <w:p w14:paraId="3E93B8A8">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6)</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建立风险评价准则；</w:t>
            </w:r>
          </w:p>
          <w:p w14:paraId="441FC864">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7)</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制定评估方案。形成完整的风险评估实施方案，并获得组织最高管理者的支持和批准。</w:t>
            </w:r>
          </w:p>
          <w:p w14:paraId="1257897C">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2.</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风险识别，此阶段应包括：</w:t>
            </w:r>
          </w:p>
          <w:p w14:paraId="434215C4">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1)</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资产识别；</w:t>
            </w:r>
          </w:p>
          <w:p w14:paraId="5949D120">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2)</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威胁识别；</w:t>
            </w:r>
          </w:p>
          <w:p w14:paraId="7FE8990E">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3)</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已有安全措施识别；</w:t>
            </w:r>
          </w:p>
          <w:p w14:paraId="1944A586">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4)</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脆弱性识别。</w:t>
            </w:r>
          </w:p>
          <w:p w14:paraId="798ECDD5">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3.</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风险分析，此阶段依据识别的结果计算得到风险值。</w:t>
            </w:r>
          </w:p>
          <w:p w14:paraId="09F78495">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宋体"/>
                <w:color w:val="000000" w:themeColor="text1"/>
                <w:kern w:val="0"/>
                <w:sz w:val="24"/>
                <w:szCs w:val="24"/>
              </w:rPr>
            </w:pPr>
            <w:r>
              <w:rPr>
                <w:rFonts w:hint="eastAsia" w:ascii="宋体" w:hAnsi="宋体" w:eastAsia="宋体" w:cs="宋体"/>
                <w:color w:val="000000" w:themeColor="text1"/>
                <w:kern w:val="0"/>
                <w:sz w:val="24"/>
                <w:szCs w:val="24"/>
              </w:rPr>
              <w:t>4.</w:t>
            </w:r>
            <w:r>
              <w:rPr>
                <w:rFonts w:hint="eastAsia" w:ascii="宋体" w:hAnsi="宋体" w:eastAsia="宋体" w:cs="宋体"/>
                <w:color w:val="000000" w:themeColor="text1"/>
                <w:kern w:val="0"/>
                <w:sz w:val="24"/>
                <w:szCs w:val="24"/>
              </w:rPr>
              <w:tab/>
            </w:r>
            <w:r>
              <w:rPr>
                <w:rFonts w:hint="eastAsia" w:ascii="宋体" w:hAnsi="宋体" w:eastAsia="宋体" w:cs="宋体"/>
                <w:color w:val="000000" w:themeColor="text1"/>
                <w:kern w:val="0"/>
                <w:sz w:val="24"/>
                <w:szCs w:val="24"/>
              </w:rPr>
              <w:t>风险评价，此阶段依据风险评价准则确定风险等级。</w:t>
            </w:r>
          </w:p>
        </w:tc>
        <w:tc>
          <w:tcPr>
            <w:tcW w:w="925" w:type="dxa"/>
          </w:tcPr>
          <w:p w14:paraId="1F6DBF88">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3D15E9F1">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17770D5C">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46F882B1">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Times New Roman"/>
                <w:color w:val="000000" w:themeColor="text1"/>
                <w:kern w:val="0"/>
                <w:sz w:val="24"/>
                <w:szCs w:val="24"/>
                <w:shd w:val="clear" w:color="auto" w:fill="FFFFFF"/>
                <w:lang w:val="en-US" w:eastAsia="zh-CN"/>
              </w:rPr>
            </w:pPr>
          </w:p>
          <w:p w14:paraId="3487486E">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宋体" w:hAnsi="宋体" w:eastAsia="宋体" w:cs="Times New Roman"/>
                <w:color w:val="000000" w:themeColor="text1"/>
                <w:kern w:val="0"/>
                <w:sz w:val="24"/>
                <w:szCs w:val="24"/>
                <w:shd w:val="clear" w:color="auto" w:fill="FFFFFF"/>
                <w:lang w:val="en-US" w:eastAsia="zh-CN"/>
              </w:rPr>
            </w:pPr>
            <w:r>
              <w:rPr>
                <w:rFonts w:hint="eastAsia" w:ascii="宋体" w:hAnsi="宋体" w:eastAsia="宋体" w:cs="Times New Roman"/>
                <w:color w:val="000000" w:themeColor="text1"/>
                <w:kern w:val="0"/>
                <w:sz w:val="24"/>
                <w:szCs w:val="24"/>
                <w:shd w:val="clear" w:color="auto" w:fill="FFFFFF"/>
                <w:lang w:val="en-US" w:eastAsia="zh-CN"/>
              </w:rPr>
              <w:t>10000</w:t>
            </w:r>
          </w:p>
        </w:tc>
      </w:tr>
      <w:tr w14:paraId="40BF3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8182" w:type="dxa"/>
            <w:gridSpan w:val="3"/>
          </w:tcPr>
          <w:p w14:paraId="15C2C7E6">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eastAsia" w:ascii="宋体" w:hAnsi="宋体" w:eastAsia="宋体" w:cs="宋体"/>
                <w:color w:val="000000" w:themeColor="text1"/>
                <w:kern w:val="0"/>
                <w:sz w:val="24"/>
                <w:szCs w:val="24"/>
              </w:rPr>
            </w:pPr>
            <w:r>
              <w:rPr>
                <w:rFonts w:hint="eastAsia" w:ascii="宋体" w:hAnsi="宋体" w:eastAsia="宋体" w:cs="Times New Roman"/>
                <w:color w:val="000000" w:themeColor="text1"/>
                <w:kern w:val="0"/>
                <w:sz w:val="24"/>
                <w:szCs w:val="24"/>
                <w:shd w:val="clear" w:color="auto" w:fill="FFFFFF"/>
                <w:lang w:eastAsia="zh-CN"/>
              </w:rPr>
              <w:t>合计</w:t>
            </w:r>
          </w:p>
        </w:tc>
        <w:tc>
          <w:tcPr>
            <w:tcW w:w="925" w:type="dxa"/>
          </w:tcPr>
          <w:p w14:paraId="114F2D0B">
            <w:pPr>
              <w:keepNext w:val="0"/>
              <w:keepLines w:val="0"/>
              <w:pageBreakBefore w:val="0"/>
              <w:kinsoku/>
              <w:wordWrap/>
              <w:overflowPunct/>
              <w:topLinePunct w:val="0"/>
              <w:autoSpaceDE/>
              <w:autoSpaceDN/>
              <w:bidi w:val="0"/>
              <w:adjustRightInd/>
              <w:snapToGrid/>
              <w:spacing w:beforeAutospacing="0" w:afterAutospacing="0" w:line="240" w:lineRule="auto"/>
              <w:jc w:val="left"/>
              <w:textAlignment w:val="auto"/>
              <w:rPr>
                <w:rFonts w:hint="default" w:ascii="宋体" w:hAnsi="宋体" w:eastAsia="宋体" w:cs="Times New Roman"/>
                <w:color w:val="000000" w:themeColor="text1"/>
                <w:kern w:val="0"/>
                <w:sz w:val="24"/>
                <w:szCs w:val="24"/>
                <w:shd w:val="clear" w:color="auto" w:fill="FFFFFF"/>
                <w:lang w:val="en-US" w:eastAsia="zh-CN"/>
              </w:rPr>
            </w:pPr>
            <w:r>
              <w:rPr>
                <w:rFonts w:hint="eastAsia" w:ascii="宋体" w:hAnsi="宋体" w:eastAsia="宋体" w:cs="Times New Roman"/>
                <w:color w:val="000000" w:themeColor="text1"/>
                <w:kern w:val="0"/>
                <w:sz w:val="24"/>
                <w:szCs w:val="24"/>
                <w:shd w:val="clear" w:color="auto" w:fill="FFFFFF"/>
                <w:lang w:val="en-US" w:eastAsia="zh-CN"/>
              </w:rPr>
              <w:t>55000</w:t>
            </w:r>
          </w:p>
        </w:tc>
      </w:tr>
    </w:tbl>
    <w:p w14:paraId="245651F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5.服务年限：一年。</w:t>
      </w:r>
    </w:p>
    <w:p w14:paraId="1349372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6.技术服务质量要求</w:t>
      </w:r>
    </w:p>
    <w:p w14:paraId="231A336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（1）基于《网络安全等级保护基本要求》（GB/T22239-2019）的等级保护测评服务。</w:t>
      </w:r>
    </w:p>
    <w:p w14:paraId="467D769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yellow"/>
          <w:lang w:val="en-US" w:eastAsia="zh-CN"/>
        </w:rPr>
      </w:pPr>
      <w:r>
        <w:rPr>
          <w:rFonts w:hint="eastAsia" w:ascii="宋体" w:hAnsi="宋体" w:cs="宋体"/>
          <w:color w:val="auto"/>
          <w:sz w:val="28"/>
          <w:szCs w:val="28"/>
          <w:lang w:val="en-US" w:eastAsia="zh-CN"/>
        </w:rPr>
        <w:t>（2）按照《信息系统安全等级保护定级指南》、《信息安全技术信息系统安全等级保护基本要求》、《信息安全技术信息系统安全等级保护测评要求》，对连城县人民检察院检察工作网局域网（三级）开展等保2.0的网络安全等级保护测评工作,提交福建省等级保护测评机构针对检察工作局域网三级等保的安全等级测评报告，并对连城县人民检察院互联网门户网站进行漏洞扫描风险评估服务。</w:t>
      </w:r>
    </w:p>
    <w:p w14:paraId="4F5C342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（3）本项目要求竞价人提供测评过程突发事件应急服务,能够快速应对测评过程突发事件。</w:t>
      </w:r>
    </w:p>
    <w:p w14:paraId="1E5DE24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highlight w:val="none"/>
          <w:lang w:val="en-US" w:eastAsia="zh-CN"/>
        </w:rPr>
      </w:pPr>
      <w:r>
        <w:rPr>
          <w:rFonts w:hint="eastAsia" w:ascii="宋体" w:hAnsi="宋体" w:cs="宋体"/>
          <w:color w:val="auto"/>
          <w:sz w:val="28"/>
          <w:szCs w:val="28"/>
          <w:highlight w:val="none"/>
          <w:lang w:val="en-US" w:eastAsia="zh-CN"/>
        </w:rPr>
        <w:t>（4）竞价人在测评现场具有应急技术处理能力。</w:t>
      </w:r>
    </w:p>
    <w:p w14:paraId="064DB8EA">
      <w:pPr>
        <w:keepNext w:val="0"/>
        <w:keepLines w:val="0"/>
        <w:pageBreakBefore w:val="0"/>
        <w:widowControl/>
        <w:kinsoku/>
        <w:wordWrap/>
        <w:topLinePunct w:val="0"/>
        <w:bidi w:val="0"/>
        <w:spacing w:line="360" w:lineRule="auto"/>
        <w:ind w:left="0" w:firstLine="480"/>
        <w:jc w:val="left"/>
        <w:rPr>
          <w:rFonts w:hint="default" w:ascii="宋体" w:hAnsi="宋体" w:cs="宋体"/>
          <w:color w:val="auto"/>
          <w:sz w:val="28"/>
          <w:szCs w:val="28"/>
          <w:lang w:val="en-US" w:eastAsia="zh-CN"/>
        </w:rPr>
      </w:pPr>
      <w:r>
        <w:rPr>
          <w:rFonts w:hint="eastAsia" w:ascii="宋体" w:hAnsi="宋体" w:eastAsia="宋体" w:cs="宋体"/>
          <w:b/>
          <w:bCs/>
          <w:color w:val="auto"/>
          <w:kern w:val="2"/>
          <w:sz w:val="28"/>
          <w:szCs w:val="28"/>
          <w:lang w:val="en-US" w:eastAsia="zh-CN" w:bidi="ar-SA"/>
        </w:rPr>
        <w:t>特别提示：</w:t>
      </w:r>
      <w:r>
        <w:rPr>
          <w:rFonts w:hint="eastAsia" w:ascii="宋体" w:hAnsi="宋体" w:eastAsia="宋体" w:cs="宋体"/>
          <w:b w:val="0"/>
          <w:bCs w:val="0"/>
          <w:color w:val="auto"/>
          <w:kern w:val="2"/>
          <w:sz w:val="28"/>
          <w:szCs w:val="28"/>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lang w:val="en-US" w:eastAsia="zh-CN" w:bidi="ar-SA"/>
        </w:rPr>
        <w:t>竞价</w:t>
      </w:r>
      <w:r>
        <w:rPr>
          <w:rFonts w:hint="eastAsia" w:ascii="宋体" w:hAnsi="宋体" w:eastAsia="宋体" w:cs="宋体"/>
          <w:b w:val="0"/>
          <w:bCs w:val="0"/>
          <w:color w:val="auto"/>
          <w:kern w:val="2"/>
          <w:sz w:val="28"/>
          <w:szCs w:val="28"/>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14:paraId="4A56D63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1.竞价人必须遵守中华人民共和国法律、法规，能够提供本竞价文件所述货物及服务的境内具有独立法人资格的企业均可成为合格的竞价人（失信被执行人除外）；</w:t>
      </w:r>
    </w:p>
    <w:p w14:paraId="4EC3EB4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highlight w:val="none"/>
          <w:lang w:val="en-US" w:eastAsia="zh-CN"/>
        </w:rPr>
        <w:t>2.竞价人须具备</w:t>
      </w:r>
      <w:r>
        <w:rPr>
          <w:rFonts w:hint="eastAsia" w:ascii="宋体" w:hAnsi="宋体" w:eastAsia="宋体" w:cs="宋体"/>
          <w:color w:val="auto"/>
          <w:sz w:val="28"/>
          <w:szCs w:val="28"/>
          <w:lang w:val="en-US" w:eastAsia="zh-CN"/>
        </w:rPr>
        <w:t>公安部第三研究所认证发放的《网络安全等级测评与检测评估机服务认证证书》；</w:t>
      </w:r>
    </w:p>
    <w:p w14:paraId="7D6D17D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竞价人须连续五年在备案所在地的省内市级及市级以上网安或网信的技术支撑单位；</w:t>
      </w:r>
    </w:p>
    <w:p w14:paraId="3F7F29E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.竞价人为本项目投入的服务团队，需配备1名高级测评师作为测评团队负责人，</w:t>
      </w: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名中级</w:t>
      </w:r>
      <w:r>
        <w:rPr>
          <w:rFonts w:hint="eastAsia" w:ascii="宋体" w:hAnsi="宋体" w:cs="宋体"/>
          <w:color w:val="auto"/>
          <w:sz w:val="28"/>
          <w:szCs w:val="28"/>
          <w:lang w:val="en-US" w:eastAsia="zh-CN"/>
        </w:rPr>
        <w:t>及以上</w:t>
      </w:r>
      <w:r>
        <w:rPr>
          <w:rFonts w:hint="eastAsia" w:ascii="宋体" w:hAnsi="宋体" w:eastAsia="宋体" w:cs="宋体"/>
          <w:color w:val="auto"/>
          <w:sz w:val="28"/>
          <w:szCs w:val="28"/>
          <w:lang w:val="en-US" w:eastAsia="zh-CN"/>
        </w:rPr>
        <w:t>测评师负责技术类测评；</w:t>
      </w:r>
    </w:p>
    <w:p w14:paraId="573F0E6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lang w:val="en-US" w:eastAsia="zh-CN"/>
        </w:rPr>
        <w:t>.竞价人</w:t>
      </w:r>
      <w:r>
        <w:rPr>
          <w:rFonts w:hint="eastAsia" w:ascii="宋体" w:hAnsi="宋体" w:eastAsia="宋体" w:cs="宋体"/>
          <w:color w:val="auto"/>
          <w:sz w:val="28"/>
          <w:szCs w:val="28"/>
          <w:highlight w:val="none"/>
          <w:lang w:val="en-US" w:eastAsia="zh-CN"/>
        </w:rPr>
        <w:t>在系统备案所在省具备实验室,并且实验室经过公安部第三研究所认可,且该实验室场所地址与《网络安全等级测评与检测评估机构服务认证证书》所列地址一致；</w:t>
      </w:r>
    </w:p>
    <w:p w14:paraId="03F33DA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竞价人必须是委托人邀请的单位</w:t>
      </w:r>
      <w:r>
        <w:rPr>
          <w:rFonts w:hint="eastAsia" w:ascii="宋体" w:hAnsi="宋体" w:cs="宋体"/>
          <w:color w:val="auto"/>
          <w:sz w:val="28"/>
          <w:szCs w:val="28"/>
          <w:lang w:val="en-US" w:eastAsia="zh-CN"/>
        </w:rPr>
        <w:t>；</w:t>
      </w:r>
    </w:p>
    <w:p w14:paraId="547986C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7</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因此产生委托人不予签订合同及其它一切后果由竞价人自行负责。竞价人提供虚假材料或资质不符合条件的，视为恶意竞价，保证金不予退回，按违约处理，委托人可另行选取服务机构。</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14:paraId="750B93D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lang w:val="en-US" w:eastAsia="zh-CN"/>
        </w:rPr>
        <w:t>1.竞价保证金</w:t>
      </w:r>
      <w:r>
        <w:rPr>
          <w:rFonts w:hint="eastAsia" w:ascii="宋体" w:hAnsi="宋体" w:cs="宋体"/>
          <w:color w:val="auto"/>
          <w:sz w:val="28"/>
          <w:szCs w:val="28"/>
          <w:lang w:val="en-US" w:eastAsia="zh-CN"/>
        </w:rPr>
        <w:t>1000</w:t>
      </w:r>
      <w:r>
        <w:rPr>
          <w:rFonts w:hint="eastAsia" w:ascii="宋体" w:hAnsi="宋体" w:eastAsia="宋体" w:cs="宋体"/>
          <w:color w:val="auto"/>
          <w:sz w:val="28"/>
          <w:szCs w:val="28"/>
          <w:lang w:val="en-US" w:eastAsia="zh-CN"/>
        </w:rPr>
        <w:t>元，必须于</w:t>
      </w:r>
      <w:r>
        <w:rPr>
          <w:rFonts w:hint="eastAsia" w:ascii="宋体" w:hAnsi="宋体" w:cs="宋体"/>
          <w:color w:val="auto"/>
          <w:sz w:val="28"/>
          <w:szCs w:val="28"/>
          <w:lang w:val="en-US" w:eastAsia="zh-CN"/>
        </w:rPr>
        <w:t>2026年6月24日</w:t>
      </w:r>
      <w:r>
        <w:rPr>
          <w:rFonts w:hint="eastAsia" w:ascii="宋体" w:hAnsi="宋体" w:cs="宋体"/>
          <w:color w:val="auto"/>
          <w:sz w:val="28"/>
          <w:szCs w:val="28"/>
          <w:highlight w:val="none"/>
          <w:lang w:val="en-US" w:eastAsia="zh-CN"/>
        </w:rPr>
        <w:t>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r>
        <w:rPr>
          <w:rFonts w:hint="eastAsia" w:ascii="宋体" w:hAnsi="宋体" w:eastAsia="宋体" w:cs="宋体"/>
          <w:color w:val="auto"/>
          <w:sz w:val="28"/>
          <w:szCs w:val="28"/>
          <w:highlight w:val="none"/>
          <w:lang w:val="en-US" w:eastAsia="zh-CN"/>
        </w:rPr>
        <w:t>报名参加的竞价人与缴交竞价保证金的名称要一致。竞价保证金缴至以上账户时，交款单中“款项来源”或“用途”一栏内须填写“****项目的竞价保证金”。</w:t>
      </w:r>
    </w:p>
    <w:p w14:paraId="2333E21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2.竞价成交后，成交人必须在成交之日起2个工作日内与本公司签订《竞价结果通知书》，并在签订《竞价结果通知书》2个工作日内向委托人提供《</w:t>
      </w:r>
      <w:r>
        <w:rPr>
          <w:rFonts w:hint="eastAsia" w:ascii="宋体" w:hAnsi="宋体" w:cs="宋体"/>
          <w:color w:val="auto"/>
          <w:sz w:val="28"/>
          <w:szCs w:val="28"/>
          <w:highlight w:val="none"/>
          <w:lang w:val="en-US" w:eastAsia="zh-CN"/>
        </w:rPr>
        <w:t>技术服务合同</w:t>
      </w:r>
      <w:r>
        <w:rPr>
          <w:rFonts w:hint="eastAsia" w:ascii="宋体" w:hAnsi="宋体" w:eastAsia="宋体" w:cs="宋体"/>
          <w:color w:val="auto"/>
          <w:sz w:val="28"/>
          <w:szCs w:val="28"/>
          <w:highlight w:val="none"/>
          <w:lang w:val="en-US" w:eastAsia="zh-CN"/>
        </w:rPr>
        <w:t>》，由委托人经过相应审批程序后签订。</w:t>
      </w:r>
    </w:p>
    <w:p w14:paraId="5E408297">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129BFE6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1.有意参加竞价人应提供如下有效证照复印件：</w:t>
      </w:r>
    </w:p>
    <w:p w14:paraId="3B77ACC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营业执照副本、法定代表人身份证复印件；</w:t>
      </w:r>
    </w:p>
    <w:p w14:paraId="7F48771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竞价人由公安部第三研究所认证发放的《络安全等级测评与检测评估机服务认证证书》证书；</w:t>
      </w:r>
    </w:p>
    <w:p w14:paraId="3722D94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（3）竞价人连续五年在备案所在省具有市级及以上网安或网信的技术支撑单位的相关证明材料；</w:t>
      </w:r>
    </w:p>
    <w:p w14:paraId="785CA7C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本项目投入的服务团队</w:t>
      </w:r>
      <w:r>
        <w:rPr>
          <w:rFonts w:hint="eastAsia" w:ascii="宋体" w:hAnsi="宋体" w:cs="宋体"/>
          <w:color w:val="auto"/>
          <w:sz w:val="28"/>
          <w:szCs w:val="28"/>
          <w:lang w:val="en-US" w:eastAsia="zh-CN"/>
        </w:rPr>
        <w:t>成员名单（格式自拟）</w:t>
      </w:r>
      <w:r>
        <w:rPr>
          <w:rFonts w:hint="eastAsia" w:ascii="宋体" w:hAnsi="宋体" w:eastAsia="宋体" w:cs="宋体"/>
          <w:color w:val="auto"/>
          <w:sz w:val="28"/>
          <w:szCs w:val="28"/>
          <w:lang w:val="en-US" w:eastAsia="zh-CN"/>
        </w:rPr>
        <w:t>，且</w:t>
      </w:r>
      <w:r>
        <w:rPr>
          <w:rFonts w:hint="eastAsia" w:ascii="宋体" w:hAnsi="宋体" w:cs="宋体"/>
          <w:color w:val="auto"/>
          <w:sz w:val="28"/>
          <w:szCs w:val="28"/>
          <w:lang w:val="en-US" w:eastAsia="zh-CN"/>
        </w:rPr>
        <w:t>提供</w:t>
      </w:r>
      <w:r>
        <w:rPr>
          <w:rFonts w:hint="eastAsia" w:ascii="宋体" w:hAnsi="宋体" w:eastAsia="宋体" w:cs="宋体"/>
          <w:color w:val="auto"/>
          <w:sz w:val="28"/>
          <w:szCs w:val="28"/>
          <w:lang w:val="en-US" w:eastAsia="zh-CN"/>
        </w:rPr>
        <w:t>团队成员在网站</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http://www.djbh.net/</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查询</w:t>
      </w:r>
      <w:r>
        <w:rPr>
          <w:rFonts w:hint="eastAsia" w:ascii="宋体" w:hAnsi="宋体" w:cs="宋体"/>
          <w:color w:val="auto"/>
          <w:sz w:val="28"/>
          <w:szCs w:val="28"/>
          <w:lang w:val="en-US" w:eastAsia="zh-CN"/>
        </w:rPr>
        <w:t>的</w:t>
      </w:r>
      <w:r>
        <w:rPr>
          <w:rFonts w:hint="eastAsia" w:ascii="宋体" w:hAnsi="宋体" w:eastAsia="宋体" w:cs="宋体"/>
          <w:color w:val="auto"/>
          <w:sz w:val="28"/>
          <w:szCs w:val="28"/>
          <w:lang w:val="en-US" w:eastAsia="zh-CN"/>
        </w:rPr>
        <w:t>相关信息（需提供相关人员的网站查询结果和</w:t>
      </w:r>
      <w:r>
        <w:rPr>
          <w:rFonts w:hint="eastAsia" w:ascii="宋体" w:hAnsi="宋体" w:cs="宋体"/>
          <w:color w:val="auto"/>
          <w:sz w:val="28"/>
          <w:szCs w:val="28"/>
          <w:lang w:val="en-US" w:eastAsia="zh-CN"/>
        </w:rPr>
        <w:t>竞价人</w:t>
      </w:r>
      <w:r>
        <w:rPr>
          <w:rFonts w:hint="eastAsia" w:ascii="宋体" w:hAnsi="宋体" w:eastAsia="宋体" w:cs="宋体"/>
          <w:color w:val="auto"/>
          <w:sz w:val="28"/>
          <w:szCs w:val="28"/>
          <w:lang w:val="en-US" w:eastAsia="zh-CN"/>
        </w:rPr>
        <w:t>为其缴纳的投标截止时间前六个月内（不含投标截止时间当月）任意一个月的养老保险证明材料复印件）；</w:t>
      </w:r>
    </w:p>
    <w:p w14:paraId="0DD6C6B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（5）竞价人提供在系统备案所在省具备实验室</w:t>
      </w:r>
      <w:r>
        <w:rPr>
          <w:rFonts w:hint="eastAsia" w:ascii="宋体" w:hAnsi="宋体" w:cs="宋体"/>
          <w:color w:val="auto"/>
          <w:sz w:val="28"/>
          <w:szCs w:val="28"/>
          <w:lang w:val="en-US" w:eastAsia="zh-CN"/>
        </w:rPr>
        <w:t>信息，</w:t>
      </w:r>
      <w:r>
        <w:rPr>
          <w:rFonts w:hint="eastAsia" w:ascii="宋体" w:hAnsi="宋体" w:eastAsia="宋体" w:cs="宋体"/>
          <w:color w:val="auto"/>
          <w:sz w:val="28"/>
          <w:szCs w:val="28"/>
          <w:lang w:val="en-US" w:eastAsia="zh-CN"/>
        </w:rPr>
        <w:t>实验室场地的租赁合同或采购买卖合同，并要求该实验室场所地址与《网络安全等级测评与检测评估机构服务认证证书》所列地址一致；</w:t>
      </w:r>
    </w:p>
    <w:p w14:paraId="31CB1A9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（6）签订完整的承诺书；</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655B575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lang w:val="en-US" w:eastAsia="zh-CN"/>
        </w:rPr>
        <w:t>并</w:t>
      </w:r>
      <w:r>
        <w:rPr>
          <w:rFonts w:hint="eastAsia" w:ascii="宋体" w:hAnsi="宋体" w:eastAsia="宋体" w:cs="宋体"/>
          <w:color w:val="auto"/>
          <w:sz w:val="28"/>
          <w:szCs w:val="28"/>
          <w:lang w:val="en-US" w:eastAsia="zh-CN"/>
        </w:rPr>
        <w:t>需支付平台使用费100元，并将报名资料上传至交易平台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3.竞价人应自行登连城县招标</w:t>
      </w:r>
      <w:r>
        <w:rPr>
          <w:rFonts w:hint="eastAsia" w:ascii="宋体" w:hAnsi="宋体" w:eastAsia="宋体" w:cs="宋体"/>
          <w:color w:val="auto"/>
          <w:sz w:val="28"/>
          <w:szCs w:val="28"/>
        </w:rPr>
        <w:t>投标交易平台</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本场竞价</w:t>
      </w:r>
      <w:r>
        <w:rPr>
          <w:rFonts w:hint="eastAsia" w:ascii="宋体" w:hAnsi="宋体" w:eastAsia="宋体" w:cs="宋体"/>
          <w:color w:val="auto"/>
          <w:sz w:val="28"/>
          <w:szCs w:val="28"/>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sz w:val="28"/>
          <w:szCs w:val="28"/>
          <w:lang w:val="en-US" w:eastAsia="zh-CN"/>
        </w:rPr>
        <w:t>2.</w:t>
      </w:r>
      <w:r>
        <w:rPr>
          <w:rFonts w:hint="eastAsia" w:ascii="宋体" w:hAnsi="宋体" w:eastAsia="宋体" w:cs="宋体"/>
          <w:color w:val="auto"/>
          <w:kern w:val="2"/>
          <w:sz w:val="28"/>
          <w:szCs w:val="28"/>
          <w:shd w:val="clear"/>
        </w:rPr>
        <w:t>意向</w:t>
      </w:r>
      <w:r>
        <w:rPr>
          <w:rFonts w:hint="eastAsia" w:ascii="宋体" w:hAnsi="宋体" w:eastAsia="宋体" w:cs="宋体"/>
          <w:color w:val="auto"/>
          <w:kern w:val="2"/>
          <w:sz w:val="28"/>
          <w:szCs w:val="28"/>
          <w:shd w:val="clear"/>
          <w:lang w:eastAsia="zh-CN"/>
        </w:rPr>
        <w:t>竞价人</w:t>
      </w:r>
      <w:r>
        <w:rPr>
          <w:rFonts w:hint="eastAsia" w:ascii="宋体" w:hAnsi="宋体" w:eastAsia="宋体" w:cs="宋体"/>
          <w:color w:val="auto"/>
          <w:kern w:val="2"/>
          <w:sz w:val="28"/>
          <w:szCs w:val="28"/>
          <w:shd w:val="clear"/>
        </w:rPr>
        <w:t>应</w:t>
      </w:r>
      <w:r>
        <w:rPr>
          <w:rFonts w:hint="eastAsia" w:ascii="宋体" w:hAnsi="宋体" w:eastAsia="宋体" w:cs="宋体"/>
          <w:color w:val="auto"/>
          <w:kern w:val="2"/>
          <w:sz w:val="28"/>
          <w:szCs w:val="28"/>
          <w:shd w:val="clear"/>
          <w:lang w:val="en-US" w:eastAsia="zh-CN"/>
        </w:rPr>
        <w:t>自行登陆</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注册用户名，并于报名截止时间前办理报名竞价手续，登录到</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申请参与本场竞价。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lang w:val="en-US" w:eastAsia="zh-CN"/>
        </w:rPr>
        <w:t>3.</w:t>
      </w:r>
      <w:r>
        <w:rPr>
          <w:rFonts w:hint="eastAsia" w:ascii="宋体" w:hAnsi="宋体" w:eastAsia="宋体" w:cs="宋体"/>
          <w:color w:val="auto"/>
          <w:kern w:val="2"/>
          <w:sz w:val="28"/>
          <w:szCs w:val="28"/>
          <w:highlight w:val="none"/>
          <w:shd w:val="clear"/>
        </w:rPr>
        <w:t>本次</w:t>
      </w:r>
      <w:r>
        <w:rPr>
          <w:rFonts w:hint="eastAsia" w:ascii="宋体" w:hAnsi="宋体" w:cs="宋体"/>
          <w:color w:val="auto"/>
          <w:kern w:val="2"/>
          <w:sz w:val="28"/>
          <w:szCs w:val="28"/>
          <w:highlight w:val="none"/>
          <w:shd w:val="clear"/>
          <w:lang w:eastAsia="zh-CN"/>
        </w:rPr>
        <w:t>邀请</w:t>
      </w:r>
      <w:r>
        <w:rPr>
          <w:rFonts w:hint="eastAsia" w:ascii="宋体" w:hAnsi="宋体" w:eastAsia="宋体" w:cs="宋体"/>
          <w:color w:val="auto"/>
          <w:kern w:val="2"/>
          <w:sz w:val="28"/>
          <w:szCs w:val="28"/>
          <w:highlight w:val="none"/>
          <w:shd w:val="clear"/>
        </w:rPr>
        <w:t>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auto"/>
          <w:kern w:val="2"/>
          <w:sz w:val="28"/>
          <w:szCs w:val="28"/>
          <w:highlight w:val="none"/>
          <w:shd w:val="clear"/>
          <w:lang w:val="en-US" w:eastAsia="zh-CN"/>
        </w:rPr>
        <w:t>反</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得的交易方式，以“价格优先，时间优先”（即同等价格时，以报价时间优先）确定本次竞价标的的成交人。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3.1竞价人以总价报价方式进行报价，竞价人在报价时不得高于最高限价，根据有效竞价人报价排名情况，由低到高排序，最低的一名即为成交人。最高控制价为包干价，包括但不限于税费、服务费、文印费、差旅费、交通费、住宿费等所有相关费用，竞价人应对本次供货内容应有充分认识，自行判断能够完成本项目所需的费用，风险费用应自行考虑计入投标报价，竞价人未考虑风险因素造成的损失由竞价人自行负责。</w:t>
      </w:r>
    </w:p>
    <w:p w14:paraId="10EF8A3D">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先报价的竞价人为成交人；若有两个或两个以上的报价相等，报价时间相同时，则以报名时先缴纳竞价保证的竞价人为成交人；若有两个或两个以上的报价相等，报价时间相同，且缴纳竞价保证金时间相同时，则以报名时先提交报名材料的竞价人为成交人。</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应以</w:t>
      </w:r>
      <w:r>
        <w:rPr>
          <w:rFonts w:hint="eastAsia" w:ascii="宋体" w:hAnsi="宋体" w:eastAsia="宋体" w:cs="宋体"/>
          <w:b/>
          <w:bCs/>
          <w:color w:val="auto"/>
          <w:kern w:val="2"/>
          <w:sz w:val="28"/>
          <w:szCs w:val="28"/>
          <w:u w:val="none"/>
          <w:lang w:val="en-US" w:eastAsia="zh-CN" w:bidi="ar-SA"/>
        </w:rPr>
        <w:t>总价形式</w:t>
      </w:r>
      <w:r>
        <w:rPr>
          <w:rFonts w:hint="eastAsia" w:ascii="宋体" w:hAnsi="宋体" w:eastAsia="宋体" w:cs="宋体"/>
          <w:b/>
          <w:bCs/>
          <w:color w:val="auto"/>
          <w:kern w:val="2"/>
          <w:sz w:val="28"/>
          <w:szCs w:val="28"/>
          <w:shd w:val="clear"/>
        </w:rPr>
        <w:t>进行报价，竞价系统设置的价格表示</w:t>
      </w:r>
      <w:r>
        <w:rPr>
          <w:rFonts w:hint="eastAsia" w:ascii="宋体" w:hAnsi="宋体" w:eastAsia="宋体" w:cs="宋体"/>
          <w:b/>
          <w:bCs/>
          <w:color w:val="auto"/>
          <w:kern w:val="2"/>
          <w:sz w:val="28"/>
          <w:szCs w:val="28"/>
          <w:shd w:val="clear"/>
          <w:lang w:val="en-US" w:eastAsia="zh-CN"/>
        </w:rPr>
        <w:t>最高限价</w:t>
      </w:r>
      <w:r>
        <w:rPr>
          <w:rFonts w:hint="eastAsia" w:ascii="宋体" w:hAnsi="宋体" w:eastAsia="宋体" w:cs="宋体"/>
          <w:b/>
          <w:bCs/>
          <w:color w:val="auto"/>
          <w:kern w:val="2"/>
          <w:sz w:val="28"/>
          <w:szCs w:val="28"/>
          <w:shd w:val="clear"/>
        </w:rPr>
        <w:t>，</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在竞价系统填报</w:t>
      </w:r>
      <w:r>
        <w:rPr>
          <w:rFonts w:hint="eastAsia" w:ascii="宋体" w:hAnsi="宋体" w:eastAsia="宋体" w:cs="宋体"/>
          <w:b/>
          <w:bCs/>
          <w:color w:val="auto"/>
          <w:kern w:val="2"/>
          <w:sz w:val="28"/>
          <w:szCs w:val="28"/>
          <w:shd w:val="clear"/>
          <w:lang w:val="en-US" w:eastAsia="zh-CN"/>
        </w:rPr>
        <w:t>价格高</w:t>
      </w:r>
      <w:r>
        <w:rPr>
          <w:rFonts w:hint="eastAsia" w:ascii="宋体" w:hAnsi="宋体" w:eastAsia="宋体" w:cs="宋体"/>
          <w:b/>
          <w:bCs/>
          <w:color w:val="auto"/>
          <w:kern w:val="2"/>
          <w:sz w:val="28"/>
          <w:szCs w:val="28"/>
          <w:shd w:val="clear"/>
        </w:rPr>
        <w:t>于</w:t>
      </w:r>
      <w:r>
        <w:rPr>
          <w:rFonts w:hint="eastAsia" w:ascii="宋体" w:hAnsi="宋体" w:eastAsia="宋体" w:cs="宋体"/>
          <w:b/>
          <w:bCs/>
          <w:color w:val="auto"/>
          <w:kern w:val="2"/>
          <w:sz w:val="28"/>
          <w:szCs w:val="28"/>
          <w:shd w:val="clear"/>
          <w:lang w:val="en-US" w:eastAsia="zh-CN"/>
        </w:rPr>
        <w:t>最高限价则</w:t>
      </w:r>
      <w:r>
        <w:rPr>
          <w:rFonts w:hint="eastAsia" w:ascii="宋体" w:hAnsi="宋体" w:eastAsia="宋体" w:cs="宋体"/>
          <w:b/>
          <w:bCs/>
          <w:color w:val="auto"/>
          <w:kern w:val="2"/>
          <w:sz w:val="28"/>
          <w:szCs w:val="28"/>
          <w:shd w:val="clear"/>
        </w:rPr>
        <w:t>为无效报价</w:t>
      </w:r>
      <w:r>
        <w:rPr>
          <w:rFonts w:hint="eastAsia" w:ascii="宋体" w:hAnsi="宋体" w:eastAsia="宋体" w:cs="宋体"/>
          <w:b/>
          <w:bCs/>
          <w:color w:val="auto"/>
          <w:kern w:val="2"/>
          <w:sz w:val="28"/>
          <w:szCs w:val="28"/>
          <w:shd w:val="clear"/>
          <w:lang w:eastAsia="zh-CN"/>
        </w:rPr>
        <w:t>，</w:t>
      </w:r>
      <w:r>
        <w:rPr>
          <w:rFonts w:hint="eastAsia" w:ascii="宋体" w:hAnsi="宋体" w:eastAsia="宋体" w:cs="宋体"/>
          <w:b/>
          <w:bCs/>
          <w:color w:val="auto"/>
          <w:kern w:val="2"/>
          <w:sz w:val="28"/>
          <w:szCs w:val="28"/>
          <w:shd w:val="clear"/>
        </w:rPr>
        <w:t>填报</w:t>
      </w:r>
      <w:r>
        <w:rPr>
          <w:rFonts w:hint="eastAsia" w:ascii="宋体" w:hAnsi="宋体" w:eastAsia="宋体" w:cs="宋体"/>
          <w:b/>
          <w:bCs/>
          <w:color w:val="auto"/>
          <w:kern w:val="2"/>
          <w:sz w:val="28"/>
          <w:szCs w:val="28"/>
          <w:shd w:val="clear"/>
          <w:lang w:val="en-US" w:eastAsia="zh-CN"/>
        </w:rPr>
        <w:t>总价最低的</w:t>
      </w:r>
      <w:r>
        <w:rPr>
          <w:rFonts w:hint="eastAsia" w:ascii="宋体" w:hAnsi="宋体" w:eastAsia="宋体" w:cs="宋体"/>
          <w:b/>
          <w:bCs/>
          <w:color w:val="auto"/>
          <w:kern w:val="2"/>
          <w:sz w:val="28"/>
          <w:szCs w:val="28"/>
          <w:shd w:val="clear"/>
          <w:lang w:eastAsia="zh-CN"/>
        </w:rPr>
        <w:t>竞价人</w:t>
      </w:r>
      <w:r>
        <w:rPr>
          <w:rFonts w:hint="eastAsia" w:ascii="宋体" w:hAnsi="宋体" w:eastAsia="宋体" w:cs="宋体"/>
          <w:b/>
          <w:bCs/>
          <w:color w:val="auto"/>
          <w:kern w:val="2"/>
          <w:sz w:val="28"/>
          <w:szCs w:val="28"/>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七、交易服务费</w:t>
      </w:r>
    </w:p>
    <w:p w14:paraId="6BFDAA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rPr>
        <w:t>竞价成交后，</w:t>
      </w:r>
      <w:r>
        <w:rPr>
          <w:rFonts w:hint="eastAsia" w:ascii="宋体" w:hAnsi="宋体" w:eastAsia="宋体" w:cs="宋体"/>
          <w:b/>
          <w:bCs/>
          <w:color w:val="auto"/>
          <w:sz w:val="28"/>
          <w:szCs w:val="28"/>
        </w:rPr>
        <w:t>本项目的</w:t>
      </w:r>
      <w:r>
        <w:rPr>
          <w:rFonts w:hint="eastAsia" w:ascii="宋体" w:hAnsi="宋体" w:eastAsia="宋体" w:cs="宋体"/>
          <w:b/>
          <w:bCs/>
          <w:color w:val="auto"/>
          <w:sz w:val="28"/>
          <w:szCs w:val="28"/>
          <w:shd w:val="clear"/>
          <w:lang w:val="en-US" w:eastAsia="zh-CN"/>
        </w:rPr>
        <w:t>招标代理</w:t>
      </w:r>
      <w:r>
        <w:rPr>
          <w:rFonts w:hint="eastAsia" w:ascii="宋体" w:hAnsi="宋体" w:eastAsia="宋体" w:cs="宋体"/>
          <w:b/>
          <w:bCs/>
          <w:color w:val="auto"/>
          <w:sz w:val="28"/>
          <w:szCs w:val="28"/>
        </w:rPr>
        <w:t>服务费按成交价×1.5%计费向成交</w:t>
      </w:r>
      <w:r>
        <w:rPr>
          <w:rFonts w:hint="eastAsia" w:ascii="宋体" w:hAnsi="宋体" w:eastAsia="宋体" w:cs="宋体"/>
          <w:b/>
          <w:bCs/>
          <w:color w:val="auto"/>
          <w:sz w:val="28"/>
          <w:szCs w:val="28"/>
          <w:lang w:val="en-US" w:eastAsia="zh-CN"/>
        </w:rPr>
        <w:t>人</w:t>
      </w:r>
      <w:r>
        <w:rPr>
          <w:rFonts w:hint="eastAsia" w:ascii="宋体" w:hAnsi="宋体" w:eastAsia="宋体" w:cs="宋体"/>
          <w:b/>
          <w:bCs/>
          <w:color w:val="auto"/>
          <w:sz w:val="28"/>
          <w:szCs w:val="28"/>
        </w:rPr>
        <w:t>收取</w:t>
      </w:r>
      <w:r>
        <w:rPr>
          <w:rFonts w:hint="eastAsia" w:ascii="宋体" w:hAnsi="宋体" w:cs="宋体"/>
          <w:color w:val="auto"/>
          <w:sz w:val="28"/>
          <w:szCs w:val="28"/>
          <w:lang w:eastAsia="zh-CN"/>
        </w:rPr>
        <w:t>，</w:t>
      </w:r>
      <w:r>
        <w:rPr>
          <w:rFonts w:hint="eastAsia" w:ascii="宋体" w:hAnsi="宋体" w:cs="宋体"/>
          <w:b/>
          <w:bCs/>
          <w:color w:val="auto"/>
          <w:sz w:val="28"/>
          <w:szCs w:val="28"/>
          <w:highlight w:val="none"/>
          <w:lang w:eastAsia="zh-CN"/>
        </w:rPr>
        <w:t>不足3000元的，按3000元计费。</w:t>
      </w:r>
      <w:r>
        <w:rPr>
          <w:rFonts w:hint="eastAsia" w:ascii="宋体" w:hAnsi="宋体" w:eastAsia="宋体" w:cs="宋体"/>
          <w:color w:val="auto"/>
          <w:sz w:val="28"/>
          <w:szCs w:val="28"/>
          <w:highlight w:val="none"/>
          <w:lang w:val="en-US" w:eastAsia="zh-CN"/>
        </w:rPr>
        <w:t>招标代理服务费须在成交之日起7个工作日汇到本公司指定账户（户名：连城县国有资产产权交易服务有限公司，开户行：中国农业银行连城县支行，账号：1377 0101 0400 18263</w:t>
      </w:r>
      <w:r>
        <w:rPr>
          <w:rFonts w:hint="eastAsia" w:ascii="宋体" w:hAnsi="宋体" w:eastAsia="宋体" w:cs="宋体"/>
          <w:b/>
          <w:bCs/>
          <w:color w:val="000000"/>
          <w:sz w:val="28"/>
          <w:szCs w:val="28"/>
          <w:highlight w:val="none"/>
          <w:lang w:val="en-US" w:eastAsia="zh-CN"/>
        </w:rPr>
        <w:t>）</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招标代理</w:t>
      </w:r>
      <w:r>
        <w:rPr>
          <w:rFonts w:hint="eastAsia" w:ascii="宋体" w:hAnsi="宋体" w:eastAsia="宋体" w:cs="宋体"/>
          <w:color w:val="auto"/>
          <w:sz w:val="28"/>
          <w:szCs w:val="28"/>
          <w:highlight w:val="none"/>
        </w:rPr>
        <w:t>服务费未按期付清的，视成交人根本违约，竞价保证金不予退回。</w:t>
      </w:r>
    </w:p>
    <w:p w14:paraId="4D171E95">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八、付款方式</w:t>
      </w:r>
    </w:p>
    <w:p w14:paraId="549F8C6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成交人按委托人的需求完成全部测评、评估工作，委托人收到合规发票后 30 日内一次性转账支付。</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2.成交价为包干价，包括但不限</w:t>
      </w:r>
      <w:r>
        <w:rPr>
          <w:rFonts w:hint="eastAsia" w:ascii="宋体" w:hAnsi="宋体" w:eastAsia="宋体" w:cs="宋体"/>
          <w:color w:val="auto"/>
          <w:sz w:val="28"/>
          <w:szCs w:val="28"/>
          <w:highlight w:val="none"/>
          <w:lang w:val="en-US" w:eastAsia="zh-CN"/>
        </w:rPr>
        <w:t>于税费、服务费、文印费、差旅费、交通费、住宿费等所有相关费用，竞</w:t>
      </w:r>
      <w:r>
        <w:rPr>
          <w:rFonts w:hint="eastAsia" w:ascii="宋体" w:hAnsi="宋体" w:eastAsia="宋体" w:cs="宋体"/>
          <w:color w:val="auto"/>
          <w:sz w:val="28"/>
          <w:szCs w:val="28"/>
          <w:lang w:val="en-US" w:eastAsia="zh-CN"/>
        </w:rPr>
        <w:t>价人应对本次供货内容应有充分认识，自行判断能够完成本项目所需的费用，风险费用应自行考虑计入投标报价，竞价人未考虑风险因素造成的损失由竞价人自行负责。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color w:val="auto"/>
          <w:sz w:val="28"/>
          <w:szCs w:val="28"/>
          <w:lang w:val="en-US" w:eastAsia="zh-CN"/>
        </w:rPr>
        <w:t>技术服务合同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color w:val="auto"/>
          <w:sz w:val="28"/>
          <w:szCs w:val="28"/>
          <w:lang w:val="en-US" w:eastAsia="zh-CN"/>
        </w:rPr>
        <w:t>技术服务合同</w:t>
      </w:r>
      <w:r>
        <w:rPr>
          <w:rFonts w:hint="eastAsia" w:ascii="宋体" w:hAnsi="宋体" w:eastAsia="宋体" w:cs="宋体"/>
          <w:color w:val="auto"/>
          <w:sz w:val="28"/>
          <w:szCs w:val="28"/>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12"/>
        <w:tblW w:w="9071" w:type="dxa"/>
        <w:jc w:val="center"/>
        <w:shd w:val="clear" w:color="auto" w:fill="FFFFFF"/>
        <w:tblLayout w:type="autofit"/>
        <w:tblCellMar>
          <w:top w:w="0" w:type="dxa"/>
          <w:left w:w="0" w:type="dxa"/>
          <w:bottom w:w="0" w:type="dxa"/>
          <w:right w:w="0" w:type="dxa"/>
        </w:tblCellMar>
      </w:tblPr>
      <w:tblGrid>
        <w:gridCol w:w="9071"/>
      </w:tblGrid>
      <w:tr w14:paraId="49C3E373">
        <w:tblPrEx>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bCs/>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cs="宋体"/>
          <w:color w:val="auto"/>
          <w:sz w:val="28"/>
          <w:szCs w:val="28"/>
          <w:lang w:val="en-US" w:eastAsia="zh-CN"/>
        </w:rPr>
        <w:t>2026年6月17日</w:t>
      </w:r>
    </w:p>
    <w:p w14:paraId="7039278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31E169A1">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2AF4948C">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u w:val="single"/>
        </w:rPr>
      </w:pPr>
      <w:r>
        <w:rPr>
          <w:rFonts w:hint="eastAsia" w:ascii="宋体" w:hAnsi="宋体" w:eastAsia="宋体" w:cs="宋体"/>
          <w:b/>
          <w:bCs/>
          <w:color w:val="auto"/>
          <w:sz w:val="28"/>
          <w:szCs w:val="28"/>
        </w:rPr>
        <w:t>连城县国有资产产权交易服务有限公司</w:t>
      </w:r>
      <w:r>
        <w:rPr>
          <w:rFonts w:hint="eastAsia" w:ascii="宋体" w:hAnsi="宋体" w:eastAsia="宋体" w:cs="宋体"/>
          <w:color w:val="auto"/>
          <w:sz w:val="28"/>
          <w:szCs w:val="28"/>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本人（公司）承诺提供的报名材料真实、合法、有效，自愿报名参加贵司于</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2026年6月24日</w:t>
      </w:r>
      <w:r>
        <w:rPr>
          <w:rFonts w:hint="eastAsia" w:ascii="宋体" w:hAnsi="宋体" w:eastAsia="宋体" w:cs="宋体"/>
          <w:color w:val="auto"/>
          <w:sz w:val="28"/>
          <w:szCs w:val="28"/>
        </w:rPr>
        <w:t>上午举行的 “连城县招标投标交易平台</w:t>
      </w:r>
      <w:r>
        <w:rPr>
          <w:rFonts w:hint="eastAsia" w:ascii="宋体" w:hAnsi="宋体" w:eastAsia="宋体" w:cs="宋体"/>
          <w:color w:val="auto"/>
          <w:sz w:val="28"/>
          <w:szCs w:val="28"/>
          <w:lang w:val="en-US" w:eastAsia="zh-CN"/>
        </w:rPr>
        <w:t>反</w:t>
      </w:r>
      <w:r>
        <w:rPr>
          <w:rFonts w:hint="eastAsia" w:ascii="宋体" w:hAnsi="宋体" w:eastAsia="宋体" w:cs="宋体"/>
          <w:color w:val="auto"/>
          <w:sz w:val="28"/>
          <w:szCs w:val="28"/>
        </w:rPr>
        <w:t>向一次报价”</w:t>
      </w:r>
      <w:r>
        <w:rPr>
          <w:rFonts w:hint="eastAsia" w:ascii="宋体" w:hAnsi="宋体" w:cs="宋体"/>
          <w:color w:val="auto"/>
          <w:sz w:val="28"/>
          <w:szCs w:val="28"/>
          <w:u w:val="single"/>
          <w:lang w:eastAsia="zh-CN"/>
        </w:rPr>
        <w:t>连城县人民检察院检察工作网系统三级等保测评及门户网站系统漏洞扫描风险评估服务项目</w:t>
      </w:r>
      <w:r>
        <w:rPr>
          <w:rFonts w:hint="eastAsia" w:ascii="宋体" w:hAnsi="宋体" w:eastAsia="宋体" w:cs="宋体"/>
          <w:color w:val="auto"/>
          <w:sz w:val="28"/>
          <w:szCs w:val="28"/>
        </w:rPr>
        <w:t>。收悉项目编号为</w:t>
      </w:r>
      <w:r>
        <w:rPr>
          <w:rFonts w:hint="eastAsia" w:ascii="宋体" w:hAnsi="宋体" w:cs="宋体"/>
          <w:color w:val="auto"/>
          <w:sz w:val="28"/>
          <w:szCs w:val="28"/>
          <w:u w:val="single"/>
          <w:lang w:eastAsia="zh-CN"/>
        </w:rPr>
        <w:t>LCCQJJ20260624</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法定代表人或授权代理人（签章）：</w:t>
      </w:r>
      <w:r>
        <w:rPr>
          <w:rFonts w:hint="eastAsia" w:ascii="宋体" w:hAnsi="宋体" w:eastAsia="宋体" w:cs="宋体"/>
          <w:color w:val="auto"/>
          <w:sz w:val="28"/>
          <w:szCs w:val="28"/>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联系电话：</w:t>
      </w:r>
    </w:p>
    <w:p w14:paraId="390A9ABA">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    月    日</w:t>
      </w:r>
    </w:p>
    <w:p w14:paraId="5289625D">
      <w:pPr>
        <w:rPr>
          <w:rFonts w:hint="default" w:ascii="宋体" w:hAnsi="宋体" w:cs="宋体"/>
          <w:color w:val="auto"/>
          <w:sz w:val="28"/>
          <w:szCs w:val="28"/>
          <w:lang w:val="en-US" w:eastAsia="zh-CN"/>
        </w:rPr>
      </w:pPr>
    </w:p>
    <w:sectPr>
      <w:footerReference r:id="rId3" w:type="default"/>
      <w:pgSz w:w="11906" w:h="16838"/>
      <w:pgMar w:top="1383" w:right="1293" w:bottom="1327" w:left="129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altName w:val="宋体"/>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9"/>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04021E08">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2"/>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39E3DB5"/>
    <w:rsid w:val="04973358"/>
    <w:rsid w:val="0804406F"/>
    <w:rsid w:val="081C4C9C"/>
    <w:rsid w:val="0834033F"/>
    <w:rsid w:val="0ABA4C8A"/>
    <w:rsid w:val="0AD43D25"/>
    <w:rsid w:val="0AEE0C79"/>
    <w:rsid w:val="0C0C7087"/>
    <w:rsid w:val="0C9C0329"/>
    <w:rsid w:val="0CA830A9"/>
    <w:rsid w:val="0CDA1129"/>
    <w:rsid w:val="0D0C3638"/>
    <w:rsid w:val="0D724C37"/>
    <w:rsid w:val="0E6A79B6"/>
    <w:rsid w:val="0E8467A8"/>
    <w:rsid w:val="0F153787"/>
    <w:rsid w:val="10554859"/>
    <w:rsid w:val="10745AC6"/>
    <w:rsid w:val="108A4FA0"/>
    <w:rsid w:val="115251AE"/>
    <w:rsid w:val="128A572B"/>
    <w:rsid w:val="134E34CD"/>
    <w:rsid w:val="137205A3"/>
    <w:rsid w:val="138E2060"/>
    <w:rsid w:val="14416FC6"/>
    <w:rsid w:val="14DE0881"/>
    <w:rsid w:val="15474BF8"/>
    <w:rsid w:val="1569686F"/>
    <w:rsid w:val="16052A7F"/>
    <w:rsid w:val="16556050"/>
    <w:rsid w:val="167C30C3"/>
    <w:rsid w:val="169951BC"/>
    <w:rsid w:val="183B56FD"/>
    <w:rsid w:val="18AE0B48"/>
    <w:rsid w:val="18EF3710"/>
    <w:rsid w:val="1A146B0D"/>
    <w:rsid w:val="1A394265"/>
    <w:rsid w:val="1B215742"/>
    <w:rsid w:val="1CC932F4"/>
    <w:rsid w:val="1E303C84"/>
    <w:rsid w:val="1EA56673"/>
    <w:rsid w:val="1EF00CA7"/>
    <w:rsid w:val="1F633F72"/>
    <w:rsid w:val="1FB913FE"/>
    <w:rsid w:val="203C362E"/>
    <w:rsid w:val="211A411E"/>
    <w:rsid w:val="21E464DA"/>
    <w:rsid w:val="226244CC"/>
    <w:rsid w:val="22950329"/>
    <w:rsid w:val="22A30872"/>
    <w:rsid w:val="234F36E4"/>
    <w:rsid w:val="236A7C99"/>
    <w:rsid w:val="23761465"/>
    <w:rsid w:val="246A52EB"/>
    <w:rsid w:val="24741525"/>
    <w:rsid w:val="249C78F6"/>
    <w:rsid w:val="24AF2DCF"/>
    <w:rsid w:val="25AD5A5E"/>
    <w:rsid w:val="25F64131"/>
    <w:rsid w:val="26945745"/>
    <w:rsid w:val="2861758C"/>
    <w:rsid w:val="2892098A"/>
    <w:rsid w:val="297E0FC2"/>
    <w:rsid w:val="2A8C2B55"/>
    <w:rsid w:val="2AC415FD"/>
    <w:rsid w:val="2B023949"/>
    <w:rsid w:val="2B474184"/>
    <w:rsid w:val="2B9065B4"/>
    <w:rsid w:val="2C2A04A0"/>
    <w:rsid w:val="2C4C065B"/>
    <w:rsid w:val="2C5C26DC"/>
    <w:rsid w:val="2CDF621C"/>
    <w:rsid w:val="2D697A29"/>
    <w:rsid w:val="2E301AB4"/>
    <w:rsid w:val="2E7E609A"/>
    <w:rsid w:val="2F3740ED"/>
    <w:rsid w:val="2FF9333B"/>
    <w:rsid w:val="300F15EE"/>
    <w:rsid w:val="3062140F"/>
    <w:rsid w:val="31496EC2"/>
    <w:rsid w:val="31E57E30"/>
    <w:rsid w:val="31F6203D"/>
    <w:rsid w:val="32165023"/>
    <w:rsid w:val="33B379FC"/>
    <w:rsid w:val="33BB5A80"/>
    <w:rsid w:val="348738A9"/>
    <w:rsid w:val="354D07DD"/>
    <w:rsid w:val="36070CBD"/>
    <w:rsid w:val="366756A0"/>
    <w:rsid w:val="371B5B3B"/>
    <w:rsid w:val="3741602B"/>
    <w:rsid w:val="386F7D4B"/>
    <w:rsid w:val="38A87E0A"/>
    <w:rsid w:val="39C752B8"/>
    <w:rsid w:val="3A0C4B4E"/>
    <w:rsid w:val="3CDB07AE"/>
    <w:rsid w:val="3D143517"/>
    <w:rsid w:val="3D3F6CF4"/>
    <w:rsid w:val="3D71306C"/>
    <w:rsid w:val="3DC87AC0"/>
    <w:rsid w:val="3E166E94"/>
    <w:rsid w:val="3FA56A13"/>
    <w:rsid w:val="410835EE"/>
    <w:rsid w:val="418B6AEE"/>
    <w:rsid w:val="42030652"/>
    <w:rsid w:val="423D177E"/>
    <w:rsid w:val="424010B3"/>
    <w:rsid w:val="4260247F"/>
    <w:rsid w:val="42890CAC"/>
    <w:rsid w:val="429531AD"/>
    <w:rsid w:val="42E9200F"/>
    <w:rsid w:val="432E70E3"/>
    <w:rsid w:val="43FA38BE"/>
    <w:rsid w:val="4498029B"/>
    <w:rsid w:val="44B738AE"/>
    <w:rsid w:val="44E55E41"/>
    <w:rsid w:val="45A2046C"/>
    <w:rsid w:val="46601D24"/>
    <w:rsid w:val="46797B93"/>
    <w:rsid w:val="467C1E22"/>
    <w:rsid w:val="46965745"/>
    <w:rsid w:val="4758626E"/>
    <w:rsid w:val="47CB141F"/>
    <w:rsid w:val="47ED28F0"/>
    <w:rsid w:val="48556CDA"/>
    <w:rsid w:val="485D0F10"/>
    <w:rsid w:val="4A58410E"/>
    <w:rsid w:val="4ACA1E61"/>
    <w:rsid w:val="4B42467C"/>
    <w:rsid w:val="4C6355B6"/>
    <w:rsid w:val="4D235499"/>
    <w:rsid w:val="4D2550DF"/>
    <w:rsid w:val="4D515A96"/>
    <w:rsid w:val="4DA2556F"/>
    <w:rsid w:val="4E097504"/>
    <w:rsid w:val="4E143612"/>
    <w:rsid w:val="4E661F86"/>
    <w:rsid w:val="4E997C57"/>
    <w:rsid w:val="4E9D3635"/>
    <w:rsid w:val="4ED62599"/>
    <w:rsid w:val="4F4F373F"/>
    <w:rsid w:val="50044156"/>
    <w:rsid w:val="51A703F2"/>
    <w:rsid w:val="51AA471F"/>
    <w:rsid w:val="522E2CD6"/>
    <w:rsid w:val="524A20F8"/>
    <w:rsid w:val="524E2EDF"/>
    <w:rsid w:val="53CB6FAB"/>
    <w:rsid w:val="542826BF"/>
    <w:rsid w:val="545B5616"/>
    <w:rsid w:val="54785C40"/>
    <w:rsid w:val="55915C48"/>
    <w:rsid w:val="56DC71A4"/>
    <w:rsid w:val="56EB10E9"/>
    <w:rsid w:val="57D30182"/>
    <w:rsid w:val="59AF6DF2"/>
    <w:rsid w:val="59E02F96"/>
    <w:rsid w:val="5A10637D"/>
    <w:rsid w:val="5A244F70"/>
    <w:rsid w:val="5B280C0A"/>
    <w:rsid w:val="5BA1276A"/>
    <w:rsid w:val="5C1B076F"/>
    <w:rsid w:val="5C2441D3"/>
    <w:rsid w:val="5C9245A9"/>
    <w:rsid w:val="5C9A35A3"/>
    <w:rsid w:val="5D434E88"/>
    <w:rsid w:val="5DBB508D"/>
    <w:rsid w:val="5E047FD0"/>
    <w:rsid w:val="5EA42C9D"/>
    <w:rsid w:val="5F1519BF"/>
    <w:rsid w:val="602A7EDE"/>
    <w:rsid w:val="616E7593"/>
    <w:rsid w:val="6189617B"/>
    <w:rsid w:val="620F4C9D"/>
    <w:rsid w:val="62F63C53"/>
    <w:rsid w:val="636B6B43"/>
    <w:rsid w:val="63F56C8F"/>
    <w:rsid w:val="63F81C8C"/>
    <w:rsid w:val="640D0C57"/>
    <w:rsid w:val="64433D8E"/>
    <w:rsid w:val="64C574CA"/>
    <w:rsid w:val="64D67929"/>
    <w:rsid w:val="664066EE"/>
    <w:rsid w:val="664A0B53"/>
    <w:rsid w:val="67A07D7A"/>
    <w:rsid w:val="67B160B6"/>
    <w:rsid w:val="680A030D"/>
    <w:rsid w:val="69113EED"/>
    <w:rsid w:val="6B776A6D"/>
    <w:rsid w:val="6BCB02F6"/>
    <w:rsid w:val="6CA81B7D"/>
    <w:rsid w:val="6D7B66F3"/>
    <w:rsid w:val="6E661D1D"/>
    <w:rsid w:val="7007345D"/>
    <w:rsid w:val="706E1953"/>
    <w:rsid w:val="707966E1"/>
    <w:rsid w:val="71E12103"/>
    <w:rsid w:val="729A0B48"/>
    <w:rsid w:val="729B4033"/>
    <w:rsid w:val="75A82C1C"/>
    <w:rsid w:val="75C93329"/>
    <w:rsid w:val="77354B5A"/>
    <w:rsid w:val="77875CB0"/>
    <w:rsid w:val="77CE5972"/>
    <w:rsid w:val="786F5C73"/>
    <w:rsid w:val="78C20BBA"/>
    <w:rsid w:val="78F75F2F"/>
    <w:rsid w:val="79162DAA"/>
    <w:rsid w:val="7956473D"/>
    <w:rsid w:val="79B76855"/>
    <w:rsid w:val="7AD654A8"/>
    <w:rsid w:val="7BA26D66"/>
    <w:rsid w:val="7C207AE9"/>
    <w:rsid w:val="7C435390"/>
    <w:rsid w:val="7CE44BA4"/>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3"/>
    <w:basedOn w:val="1"/>
    <w:next w:val="1"/>
    <w:qFormat/>
    <w:uiPriority w:val="9"/>
    <w:pPr>
      <w:keepNext/>
      <w:keepLines/>
      <w:numPr>
        <w:ilvl w:val="2"/>
        <w:numId w:val="1"/>
      </w:numPr>
      <w:spacing w:before="120" w:after="120" w:line="360" w:lineRule="auto"/>
      <w:outlineLvl w:val="2"/>
    </w:pPr>
    <w:rPr>
      <w:b/>
      <w:bCs/>
      <w:sz w:val="3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firstLine="420"/>
    </w:pPr>
    <w:rPr>
      <w:szCs w:val="20"/>
    </w:rPr>
  </w:style>
  <w:style w:type="paragraph" w:styleId="4">
    <w:name w:val="Body Text"/>
    <w:basedOn w:val="1"/>
    <w:next w:val="5"/>
    <w:qFormat/>
    <w:uiPriority w:val="0"/>
    <w:pPr>
      <w:spacing w:line="380" w:lineRule="exact"/>
    </w:pPr>
    <w:rPr>
      <w:sz w:val="24"/>
    </w:rPr>
  </w:style>
  <w:style w:type="paragraph" w:customStyle="1" w:styleId="5">
    <w:name w:val="样式 表格正文 + 两端对齐"/>
    <w:basedOn w:val="1"/>
    <w:next w:val="6"/>
    <w:qFormat/>
    <w:uiPriority w:val="0"/>
    <w:pPr>
      <w:spacing w:line="300" w:lineRule="auto"/>
    </w:pPr>
  </w:style>
  <w:style w:type="paragraph" w:customStyle="1" w:styleId="6">
    <w:name w:val="正文1"/>
    <w:basedOn w:val="1"/>
    <w:qFormat/>
    <w:uiPriority w:val="0"/>
    <w:pPr>
      <w:spacing w:line="480" w:lineRule="exact"/>
      <w:ind w:firstLine="567"/>
    </w:pPr>
    <w:rPr>
      <w:rFonts w:ascii="幼圆" w:eastAsia="幼圆"/>
      <w:sz w:val="28"/>
      <w:szCs w:val="20"/>
    </w:rPr>
  </w:style>
  <w:style w:type="paragraph" w:styleId="7">
    <w:name w:val="Plain Text"/>
    <w:basedOn w:val="1"/>
    <w:qFormat/>
    <w:uiPriority w:val="0"/>
    <w:pPr>
      <w:widowControl w:val="0"/>
      <w:spacing w:before="0" w:beforeAutospacing="0" w:after="0" w:afterAutospacing="0" w:line="240" w:lineRule="auto"/>
      <w:jc w:val="both"/>
    </w:pPr>
    <w:rPr>
      <w:rFonts w:ascii="宋体" w:hAnsi="Courier New" w:cs="Courier New"/>
      <w:kern w:val="2"/>
      <w:sz w:val="21"/>
      <w:szCs w:val="21"/>
    </w:rPr>
  </w:style>
  <w:style w:type="paragraph" w:styleId="8">
    <w:name w:val="Balloon Text"/>
    <w:basedOn w:val="1"/>
    <w:link w:val="19"/>
    <w:qFormat/>
    <w:uiPriority w:val="0"/>
    <w:rPr>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next w:val="1"/>
    <w:qFormat/>
    <w:uiPriority w:val="0"/>
    <w:pPr>
      <w:spacing w:before="100" w:beforeAutospacing="1" w:after="100" w:afterAutospacing="1"/>
      <w:jc w:val="left"/>
    </w:pPr>
    <w:rPr>
      <w:rFonts w:cs="Times New Roman"/>
      <w:kern w:val="0"/>
      <w:sz w:val="24"/>
    </w:rPr>
  </w:style>
  <w:style w:type="table" w:styleId="13">
    <w:name w:val="Table Grid"/>
    <w:basedOn w:val="12"/>
    <w:qFormat/>
    <w:uiPriority w:val="59"/>
    <w:pPr>
      <w:widowControl w:val="0"/>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paragraph" w:customStyle="1" w:styleId="16">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paragraph" w:customStyle="1" w:styleId="17">
    <w:name w:val="Fließtext"/>
    <w:basedOn w:val="1"/>
    <w:qFormat/>
    <w:uiPriority w:val="0"/>
    <w:pPr>
      <w:overflowPunct w:val="0"/>
      <w:autoSpaceDE w:val="0"/>
      <w:autoSpaceDN w:val="0"/>
      <w:adjustRightInd w:val="0"/>
      <w:textAlignment w:val="baseline"/>
    </w:pPr>
    <w:rPr>
      <w:kern w:val="28"/>
      <w:szCs w:val="20"/>
    </w:rPr>
  </w:style>
  <w:style w:type="paragraph" w:customStyle="1" w:styleId="18">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9">
    <w:name w:val="批注框文本 Char"/>
    <w:basedOn w:val="14"/>
    <w:link w:val="8"/>
    <w:qFormat/>
    <w:uiPriority w:val="0"/>
    <w:rPr>
      <w:rFonts w:ascii="Calibri" w:hAnsi="Calibri" w:eastAsia="宋体" w:cs="Arial"/>
      <w:kern w:val="2"/>
      <w:sz w:val="18"/>
      <w:szCs w:val="18"/>
    </w:rPr>
  </w:style>
  <w:style w:type="paragraph" w:customStyle="1" w:styleId="20">
    <w:name w:val="Other|1"/>
    <w:basedOn w:val="1"/>
    <w:qFormat/>
    <w:uiPriority w:val="0"/>
    <w:pPr>
      <w:widowControl w:val="0"/>
      <w:shd w:val="clear" w:color="auto" w:fill="auto"/>
      <w:spacing w:after="40" w:line="293" w:lineRule="auto"/>
    </w:pPr>
    <w:rPr>
      <w:rFonts w:ascii="宋体" w:hAnsi="宋体" w:eastAsia="宋体" w:cs="宋体"/>
      <w:sz w:val="22"/>
      <w:szCs w:val="22"/>
      <w:u w:val="none"/>
      <w:shd w:val="clear" w:color="auto" w:fill="auto"/>
      <w:lang w:val="zh-TW" w:eastAsia="zh-TW" w:bidi="zh-TW"/>
    </w:rPr>
  </w:style>
  <w:style w:type="paragraph" w:customStyle="1" w:styleId="21">
    <w:name w:val="null3"/>
    <w:hidden/>
    <w:qFormat/>
    <w:uiPriority w:val="0"/>
    <w:rPr>
      <w:rFonts w:hint="eastAsia" w:asciiTheme="minorHAnsi" w:hAnsiTheme="minorHAnsi" w:eastAsiaTheme="minorEastAsia" w:cstheme="minorBidi"/>
      <w:lang w:val="en-US" w:eastAsia="zh-Hans"/>
    </w:rPr>
  </w:style>
  <w:style w:type="character" w:customStyle="1" w:styleId="22">
    <w:name w:val="font101"/>
    <w:basedOn w:val="14"/>
    <w:qFormat/>
    <w:uiPriority w:val="0"/>
    <w:rPr>
      <w:rFonts w:hint="eastAsia" w:ascii="宋体" w:hAnsi="宋体" w:eastAsia="宋体" w:cs="宋体"/>
      <w:color w:val="000000"/>
      <w:sz w:val="20"/>
      <w:szCs w:val="20"/>
      <w:u w:val="none"/>
    </w:rPr>
  </w:style>
  <w:style w:type="character" w:customStyle="1" w:styleId="23">
    <w:name w:val="font11"/>
    <w:basedOn w:val="14"/>
    <w:qFormat/>
    <w:uiPriority w:val="0"/>
    <w:rPr>
      <w:rFonts w:hint="eastAsia" w:ascii="微软雅黑" w:hAnsi="微软雅黑" w:eastAsia="微软雅黑" w:cs="微软雅黑"/>
      <w:color w:val="000000"/>
      <w:sz w:val="20"/>
      <w:szCs w:val="20"/>
      <w:u w:val="none"/>
    </w:rPr>
  </w:style>
  <w:style w:type="paragraph" w:customStyle="1" w:styleId="24">
    <w:name w:val="样式3"/>
    <w:basedOn w:val="7"/>
    <w:qFormat/>
    <w:uiPriority w:val="0"/>
    <w:pPr>
      <w:spacing w:line="0" w:lineRule="atLeast"/>
      <w:outlineLvl w:val="0"/>
    </w:pPr>
    <w:rPr>
      <w:sz w:val="28"/>
    </w:rPr>
  </w:style>
  <w:style w:type="character" w:customStyle="1" w:styleId="25">
    <w:name w:val="font51"/>
    <w:basedOn w:val="14"/>
    <w:qFormat/>
    <w:uiPriority w:val="0"/>
    <w:rPr>
      <w:rFonts w:hint="eastAsia" w:ascii="宋体" w:hAnsi="宋体" w:eastAsia="宋体" w:cs="宋体"/>
      <w:color w:val="000000"/>
      <w:sz w:val="23"/>
      <w:szCs w:val="23"/>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5684</Words>
  <Characters>6112</Characters>
  <Lines>4</Lines>
  <Paragraphs>7</Paragraphs>
  <TotalTime>15</TotalTime>
  <ScaleCrop>false</ScaleCrop>
  <LinksUpToDate>false</LinksUpToDate>
  <CharactersWithSpaces>6141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2026-06-18T01:06:31Z</cp:lastPrinted>
  <dcterms:modified xsi:type="dcterms:W3CDTF">2026-06-18T01:12:51Z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916B0A382F254096ACFC205746AF6B1B</vt:lpwstr>
  </property>
  <property fmtid="{D5CDD505-2E9C-101B-9397-08002B2CF9AE}" pid="4" name="KSOTemplateDocerSaveRecord">
    <vt:lpwstr>eyJoZGlkIjoiMmY5M2NkNzgzMTNhYzNmYjU2NTc2OGQwMGFkNmU3N2MiLCJ1c2VySWQiOiIxNTc4Njk4MDQ3In0=</vt:lpwstr>
  </property>
</Properties>
</file>