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LCCQJJ20260624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2026年6月24日10:00止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2026年6月24日10:00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连城县人民检察院检察工作网系统三级等保测评及门户网站系统漏洞扫描风险评估服务项目</w:t>
      </w:r>
      <w:r>
        <w:rPr>
          <w:rFonts w:hint="eastAsia" w:ascii="宋体" w:hAnsi="宋体" w:eastAsia="宋体" w:cs="宋体"/>
          <w:b w:val="0"/>
          <w:bCs w:val="0"/>
          <w:color w:val="auto"/>
          <w:sz w:val="28"/>
          <w:szCs w:val="28"/>
          <w:lang w:val="en-US" w:eastAsia="zh-CN"/>
        </w:rPr>
        <w:t>。</w:t>
      </w:r>
    </w:p>
    <w:p w14:paraId="6F587B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.最高限价：</w:t>
      </w:r>
      <w:r>
        <w:rPr>
          <w:rFonts w:hint="eastAsia" w:ascii="宋体" w:hAnsi="宋体" w:cs="宋体"/>
          <w:color w:val="auto"/>
          <w:sz w:val="28"/>
          <w:szCs w:val="28"/>
          <w:lang w:val="en-US" w:eastAsia="zh-CN"/>
        </w:rPr>
        <w:t>55000元。</w:t>
      </w:r>
    </w:p>
    <w:p w14:paraId="39DC7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237CE7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.技术服务内容</w:t>
      </w:r>
      <w:r>
        <w:rPr>
          <w:rFonts w:hint="eastAsia" w:ascii="宋体" w:hAnsi="宋体" w:cs="宋体"/>
          <w:b w:val="0"/>
          <w:bCs w:val="0"/>
          <w:color w:val="auto"/>
          <w:sz w:val="28"/>
          <w:szCs w:val="28"/>
          <w:lang w:val="en-US" w:eastAsia="zh-CN"/>
        </w:rPr>
        <w:t>：</w:t>
      </w:r>
    </w:p>
    <w:tbl>
      <w:tblPr>
        <w:tblStyle w:val="13"/>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24"/>
        <w:gridCol w:w="6217"/>
        <w:gridCol w:w="925"/>
      </w:tblGrid>
      <w:tr w14:paraId="764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1" w:type="dxa"/>
            <w:vAlign w:val="center"/>
          </w:tcPr>
          <w:p w14:paraId="15BE6E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序号</w:t>
            </w:r>
          </w:p>
        </w:tc>
        <w:tc>
          <w:tcPr>
            <w:tcW w:w="1224" w:type="dxa"/>
            <w:vAlign w:val="center"/>
          </w:tcPr>
          <w:p w14:paraId="2D58E2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olor w:val="000000" w:themeColor="text1"/>
                <w:sz w:val="24"/>
                <w:szCs w:val="24"/>
                <w:shd w:val="clear" w:color="auto" w:fill="FFFFFF"/>
                <w:lang w:eastAsia="zh-CN"/>
              </w:rPr>
            </w:pPr>
            <w:r>
              <w:rPr>
                <w:rFonts w:hint="eastAsia" w:ascii="宋体" w:hAnsi="宋体"/>
                <w:color w:val="000000" w:themeColor="text1"/>
                <w:sz w:val="24"/>
                <w:szCs w:val="24"/>
                <w:shd w:val="clear" w:color="auto" w:fill="FFFFFF"/>
              </w:rPr>
              <w:t>服务</w:t>
            </w:r>
            <w:r>
              <w:rPr>
                <w:rFonts w:hint="eastAsia" w:ascii="宋体" w:hAnsi="宋体"/>
                <w:color w:val="000000" w:themeColor="text1"/>
                <w:sz w:val="24"/>
                <w:szCs w:val="24"/>
                <w:shd w:val="clear" w:color="auto" w:fill="FFFFFF"/>
                <w:lang w:val="en-US" w:eastAsia="zh-CN"/>
              </w:rPr>
              <w:t>项目</w:t>
            </w:r>
          </w:p>
        </w:tc>
        <w:tc>
          <w:tcPr>
            <w:tcW w:w="6217" w:type="dxa"/>
            <w:vAlign w:val="center"/>
          </w:tcPr>
          <w:p w14:paraId="2357A2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0" w:firstLineChars="1000"/>
              <w:jc w:val="both"/>
              <w:textAlignment w:val="auto"/>
              <w:rPr>
                <w:rFonts w:hint="eastAsia" w:ascii="宋体" w:hAnsi="宋体" w:eastAsia="宋体"/>
                <w:color w:val="000000" w:themeColor="text1"/>
                <w:sz w:val="24"/>
                <w:szCs w:val="24"/>
                <w:shd w:val="clear" w:color="auto" w:fill="FFFFFF"/>
                <w:lang w:val="en-US" w:eastAsia="zh-CN"/>
              </w:rPr>
            </w:pPr>
            <w:r>
              <w:rPr>
                <w:rFonts w:hint="eastAsia" w:ascii="宋体" w:hAnsi="宋体"/>
                <w:color w:val="000000" w:themeColor="text1"/>
                <w:sz w:val="24"/>
                <w:szCs w:val="24"/>
                <w:shd w:val="clear" w:color="auto" w:fill="FFFFFF"/>
                <w:lang w:val="en-US" w:eastAsia="zh-CN"/>
              </w:rPr>
              <w:t>服务内容</w:t>
            </w:r>
          </w:p>
        </w:tc>
        <w:tc>
          <w:tcPr>
            <w:tcW w:w="925" w:type="dxa"/>
            <w:vAlign w:val="center"/>
          </w:tcPr>
          <w:p w14:paraId="5C7CD44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单价</w:t>
            </w:r>
          </w:p>
        </w:tc>
      </w:tr>
      <w:tr w14:paraId="712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58AE07F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2B7149BF">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55C8D631">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3C5AEDA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6408BA6E">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05E2DF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1</w:t>
            </w:r>
          </w:p>
        </w:tc>
        <w:tc>
          <w:tcPr>
            <w:tcW w:w="1224" w:type="dxa"/>
          </w:tcPr>
          <w:p w14:paraId="1238AE2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3CCDD58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46936B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20DEE12">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099C9D15">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人民检察院检察工作网三级等保咨询及测评服务</w:t>
            </w:r>
          </w:p>
        </w:tc>
        <w:tc>
          <w:tcPr>
            <w:tcW w:w="6217" w:type="dxa"/>
            <w:vAlign w:val="top"/>
          </w:tcPr>
          <w:p w14:paraId="0321840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一、信息等级保护咨询</w:t>
            </w:r>
          </w:p>
          <w:p w14:paraId="37D2FD9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、资产分析服务</w:t>
            </w:r>
          </w:p>
          <w:p w14:paraId="3457B67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1.1、根据服务范围内的应用组成，派遣专业工程师到现场整理各个系统的网络结构拓扑以及相关联的资产，编制信息系统资产清单及资产报告；</w:t>
            </w:r>
          </w:p>
          <w:p w14:paraId="2400DD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1.2、对服务范围内信息系统开展物理环境、网络结构、设备配置、应用系统以及管理制度进行调研和梳理，编制信息系统详细描述文档。</w:t>
            </w:r>
          </w:p>
          <w:p w14:paraId="503BC71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2、差距分析服务</w:t>
            </w:r>
          </w:p>
          <w:p w14:paraId="20526A9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2.1、在安全评估和信息系统定级的基础上，根据《信息系统安全保护等级基本要求》将定级信息系统等级保护的各项基本要求与信息安全现状进行比较分析，从管理和技术两个层面找出存在的问题并进行分析。</w:t>
            </w:r>
          </w:p>
          <w:p w14:paraId="14CF1E0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2.2、对于需要增加投资，协助部署新的信息安全产品和技术的整改措施，双方根据整改方案另行协商和实施。</w:t>
            </w:r>
          </w:p>
          <w:p w14:paraId="68BF0AB1">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3、需求分析与设计服务</w:t>
            </w:r>
          </w:p>
          <w:p w14:paraId="040A0B9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3.1、对服务范围内信息系统按照差距分析报告对应策略设计整改措施，面向保护对象设计安全计算环境安全、安全区域边界安全、安全通信网络等方面的整改设计方案；</w:t>
            </w:r>
          </w:p>
          <w:p w14:paraId="106B207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3.2、开展详细设计工作，完成网络结构框架设计、功能设计、性能设计、部署方案设计、安全策略设计等方面，形成安全整改实施规范书；</w:t>
            </w:r>
          </w:p>
          <w:p w14:paraId="78C8ED5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3.3、</w:t>
            </w:r>
            <w:r>
              <w:rPr>
                <w:rFonts w:ascii="宋体" w:hAnsi="宋体" w:cs="宋体"/>
                <w:sz w:val="24"/>
                <w:szCs w:val="24"/>
              </w:rPr>
              <w:t>提供信息安全等级保护建设详细方案书，应该包括具体的实施内容、实施流程、风险管理和进度控制等。</w:t>
            </w:r>
          </w:p>
          <w:p w14:paraId="4F46DF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二、</w:t>
            </w:r>
            <w:r>
              <w:rPr>
                <w:rFonts w:ascii="宋体" w:hAnsi="宋体" w:cs="宋体"/>
                <w:sz w:val="24"/>
                <w:szCs w:val="24"/>
              </w:rPr>
              <w:t>等级保护评测工作</w:t>
            </w:r>
          </w:p>
          <w:p w14:paraId="6D068AB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sz w:val="24"/>
                <w:szCs w:val="24"/>
              </w:rPr>
            </w:pPr>
            <w:r>
              <w:rPr>
                <w:rFonts w:hint="eastAsia" w:ascii="宋体" w:hAnsi="宋体" w:cs="宋体"/>
                <w:sz w:val="24"/>
                <w:szCs w:val="24"/>
              </w:rPr>
              <w:t>1、根据等级保护的《信息安全技术网络安全等级保护基本要求GBT22239-2019》要求，成交人须提供等保测评服务。包含但不仅限以下内容：</w:t>
            </w:r>
          </w:p>
          <w:p w14:paraId="2F050E4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技术要求部分测评须涉及安全通信网络、安全区域边界、安全计算环境、安全管理中心、安全物理环境五个方面，须通过访谈、配置检查和工具测试的方式测评信息系统的技术安全保障情况。</w:t>
            </w:r>
          </w:p>
          <w:p w14:paraId="7001E527">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.1.1</w:t>
            </w:r>
            <w:r>
              <w:rPr>
                <w:rFonts w:hint="eastAsia" w:ascii="宋体" w:hAnsi="宋体" w:cs="宋体"/>
                <w:sz w:val="24"/>
                <w:szCs w:val="24"/>
              </w:rPr>
              <w:t>物理安全测评须通过访谈、文档审查和实地察看的方式测评信息系统的物理安全保障情况。主要涉及对象为机房。</w:t>
            </w:r>
          </w:p>
          <w:p w14:paraId="13C0F2D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.1.2</w:t>
            </w:r>
            <w:r>
              <w:rPr>
                <w:rFonts w:hint="eastAsia" w:ascii="宋体" w:hAnsi="宋体" w:cs="宋体"/>
                <w:sz w:val="24"/>
                <w:szCs w:val="24"/>
              </w:rPr>
              <w:t>安全通信网络测评须通过访谈、配置检查和工具测试的方式测评信息系统的安全通信网络保障情况。</w:t>
            </w:r>
          </w:p>
          <w:p w14:paraId="6C301A4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.1.3</w:t>
            </w:r>
            <w:r>
              <w:rPr>
                <w:rFonts w:hint="eastAsia" w:ascii="宋体" w:hAnsi="宋体" w:cs="宋体"/>
                <w:sz w:val="24"/>
                <w:szCs w:val="24"/>
              </w:rPr>
              <w:t>安全区域边界测评须通过访谈、配置检查和工具测试的方式测评信息系统的安全区域边界保障情况。</w:t>
            </w:r>
          </w:p>
          <w:p w14:paraId="0C6C4A1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.1.4</w:t>
            </w:r>
            <w:r>
              <w:rPr>
                <w:rFonts w:hint="eastAsia" w:ascii="宋体" w:hAnsi="宋体" w:cs="宋体"/>
                <w:sz w:val="24"/>
                <w:szCs w:val="24"/>
              </w:rPr>
              <w:t>安全计算环境须通过访谈、配置检查和工具测试的方式测评信息系统的安全计算环境保障情况。</w:t>
            </w:r>
          </w:p>
          <w:p w14:paraId="3164295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.1.5</w:t>
            </w:r>
            <w:r>
              <w:rPr>
                <w:rFonts w:hint="eastAsia" w:ascii="宋体" w:hAnsi="宋体" w:cs="宋体"/>
                <w:sz w:val="24"/>
                <w:szCs w:val="24"/>
              </w:rPr>
              <w:t>安全管理中心测评须通过访谈、配置检查的方式测评信息系统的安全管理中心保障情况。</w:t>
            </w:r>
          </w:p>
          <w:p w14:paraId="6A93545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、管理要求部分测评须涉及安全管理制度、安全管理机构、安全管理人员、安全建设管理和安全运维管理等五个方面，管理要求方面的测评对象主要为安全主管人员、安全管理人员等。</w:t>
            </w:r>
          </w:p>
          <w:p w14:paraId="31173DA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w:t>
            </w:r>
            <w:r>
              <w:rPr>
                <w:rFonts w:hint="eastAsia" w:ascii="宋体" w:hAnsi="宋体" w:cs="宋体"/>
                <w:sz w:val="24"/>
                <w:szCs w:val="24"/>
              </w:rPr>
              <w:t>安全管理制度：须针对管理制度、制定和发布、评审和修订等情况进行核查。</w:t>
            </w:r>
          </w:p>
          <w:p w14:paraId="63A45A3F">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w:t>
            </w:r>
            <w:r>
              <w:rPr>
                <w:rFonts w:hint="eastAsia" w:ascii="宋体" w:hAnsi="宋体" w:cs="宋体"/>
                <w:sz w:val="24"/>
                <w:szCs w:val="24"/>
              </w:rPr>
              <w:t>安全管理机构：须针对岗位设置、人员配备、授权和审批、沟通和协作、审核和检查等情况进行审核。</w:t>
            </w:r>
          </w:p>
          <w:p w14:paraId="3327206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2.3</w:t>
            </w:r>
            <w:r>
              <w:rPr>
                <w:rFonts w:hint="eastAsia" w:ascii="宋体" w:hAnsi="宋体" w:cs="宋体"/>
                <w:sz w:val="24"/>
                <w:szCs w:val="24"/>
              </w:rPr>
              <w:t>安全人员管理：须针对人员录用、人员离岗、人员考核、安全意识教育和培训、外部人员访问管理等进行核查。</w:t>
            </w:r>
          </w:p>
          <w:p w14:paraId="7F127FA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2.4</w:t>
            </w:r>
            <w:r>
              <w:rPr>
                <w:rFonts w:hint="eastAsia" w:ascii="宋体" w:hAnsi="宋体" w:cs="宋体"/>
                <w:sz w:val="24"/>
                <w:szCs w:val="24"/>
              </w:rPr>
              <w:t>安全建设管理：须针对系统建设的全过程，系统定级、安全方案设计、产品采购和使用、自行软件开发、外包软件开发等进行核查。</w:t>
            </w:r>
          </w:p>
          <w:p w14:paraId="3B33228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sz w:val="24"/>
                <w:szCs w:val="24"/>
              </w:rPr>
            </w:pPr>
            <w:r>
              <w:rPr>
                <w:rFonts w:ascii="宋体" w:hAnsi="宋体" w:cs="宋体"/>
                <w:sz w:val="24"/>
                <w:szCs w:val="24"/>
              </w:rPr>
              <w:t>2.5</w:t>
            </w:r>
            <w:r>
              <w:rPr>
                <w:rFonts w:hint="eastAsia" w:ascii="宋体" w:hAnsi="宋体" w:cs="宋体"/>
                <w:sz w:val="24"/>
                <w:szCs w:val="24"/>
              </w:rPr>
              <w:t>安全运维管理：须针对资产管理、介质管理、设备管理、监控管理、系统安全管理、恶意代码防范管理、密码管理、变更管理、备份与恢复管理、安全事件处置、应急预案管理进行核查。</w:t>
            </w:r>
          </w:p>
        </w:tc>
        <w:tc>
          <w:tcPr>
            <w:tcW w:w="925" w:type="dxa"/>
          </w:tcPr>
          <w:p w14:paraId="19A09547">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8786E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CC4A8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1DEB01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049B54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D400772">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215AE0C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4A240E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45000</w:t>
            </w:r>
          </w:p>
        </w:tc>
      </w:tr>
      <w:tr w14:paraId="44F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62E47369">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204CD9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035AC03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34783DE7">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50FE32A2">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2</w:t>
            </w:r>
          </w:p>
        </w:tc>
        <w:tc>
          <w:tcPr>
            <w:tcW w:w="1224" w:type="dxa"/>
          </w:tcPr>
          <w:p w14:paraId="7020930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0485F104">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10A2A1D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2378D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978B53">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572FC66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color w:val="000000" w:themeColor="text1"/>
                <w:kern w:val="0"/>
                <w:sz w:val="24"/>
                <w:szCs w:val="24"/>
              </w:rPr>
            </w:pPr>
            <w:bookmarkStart w:id="0" w:name="_GoBack"/>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w:t>
            </w:r>
            <w:r>
              <w:rPr>
                <w:rFonts w:hint="eastAsia" w:ascii="宋体" w:hAnsi="宋体" w:eastAsia="宋体" w:cs="宋体"/>
                <w:color w:val="000000" w:themeColor="text1"/>
                <w:kern w:val="0"/>
                <w:sz w:val="24"/>
                <w:szCs w:val="24"/>
              </w:rPr>
              <w:t>互联网漏洞扫描风险评估服务工作</w:t>
            </w:r>
          </w:p>
          <w:bookmarkEnd w:id="0"/>
          <w:p w14:paraId="42E9448C">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Times New Roman"/>
                <w:color w:val="000000" w:themeColor="text1"/>
                <w:sz w:val="24"/>
                <w:szCs w:val="24"/>
                <w:shd w:val="clear" w:color="auto" w:fill="FFFFFF"/>
              </w:rPr>
            </w:pPr>
          </w:p>
        </w:tc>
        <w:tc>
          <w:tcPr>
            <w:tcW w:w="6217" w:type="dxa"/>
            <w:vAlign w:val="top"/>
          </w:tcPr>
          <w:p w14:paraId="1FC23EC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rPr>
              <w:t>根据等级保护的《信息安全技术 信息安全风险评估方法》（GB/T 20984-2022）要求，提供风险评估服务。包含但不仅限以下内容：</w:t>
            </w:r>
          </w:p>
          <w:p w14:paraId="0528193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评估准备，此阶段应包括：</w:t>
            </w:r>
          </w:p>
          <w:p w14:paraId="6E5BB8D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确定风险评估的目标；</w:t>
            </w:r>
          </w:p>
          <w:p w14:paraId="4FCE8E2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确定风险评估的对象、范围和边界；</w:t>
            </w:r>
          </w:p>
          <w:p w14:paraId="4230792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组建评估团队；</w:t>
            </w:r>
          </w:p>
          <w:p w14:paraId="58A4F18F">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开展前期调研；</w:t>
            </w:r>
          </w:p>
          <w:p w14:paraId="4AD3E8B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确定评估依据；</w:t>
            </w:r>
          </w:p>
          <w:p w14:paraId="3E93B8A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建立风险评价准则；</w:t>
            </w:r>
          </w:p>
          <w:p w14:paraId="441FC86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制定评估方案。形成完整的风险评估实施方案，并获得组织最高管理者的支持和批准。</w:t>
            </w:r>
          </w:p>
          <w:p w14:paraId="1257897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风险识别，此阶段应包括：</w:t>
            </w:r>
          </w:p>
          <w:p w14:paraId="434215C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资产识别；</w:t>
            </w:r>
          </w:p>
          <w:p w14:paraId="5949D120">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威胁识别；</w:t>
            </w:r>
          </w:p>
          <w:p w14:paraId="7FE8990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已有安全措施识别；</w:t>
            </w:r>
          </w:p>
          <w:p w14:paraId="1944A58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脆弱性识别。</w:t>
            </w:r>
          </w:p>
          <w:p w14:paraId="798ECDD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风险分析，此阶段依据识别的结果计算得到风险值。</w:t>
            </w:r>
          </w:p>
          <w:p w14:paraId="09F784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风险评价，此阶段依据风险评价准则确定风险等级。</w:t>
            </w:r>
          </w:p>
        </w:tc>
        <w:tc>
          <w:tcPr>
            <w:tcW w:w="925" w:type="dxa"/>
          </w:tcPr>
          <w:p w14:paraId="1F6DBF8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D15E9F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7770D5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6F882B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487486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10000</w:t>
            </w:r>
          </w:p>
        </w:tc>
      </w:tr>
      <w:tr w14:paraId="40BF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182" w:type="dxa"/>
            <w:gridSpan w:val="3"/>
          </w:tcPr>
          <w:p w14:paraId="15C2C7E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lang w:eastAsia="zh-CN"/>
              </w:rPr>
              <w:t>合计</w:t>
            </w:r>
          </w:p>
        </w:tc>
        <w:tc>
          <w:tcPr>
            <w:tcW w:w="925" w:type="dxa"/>
          </w:tcPr>
          <w:p w14:paraId="114F2D0B">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55000</w:t>
            </w:r>
          </w:p>
        </w:tc>
      </w:tr>
    </w:tbl>
    <w:p w14:paraId="245651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5.服务年限：一年。</w:t>
      </w:r>
    </w:p>
    <w:p w14:paraId="134937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6.技术服务质量要求</w:t>
      </w:r>
    </w:p>
    <w:p w14:paraId="231A33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（1）基于《网络安全等级保护基本要求》（GB/T22239-2019）的等级保护测评服务。</w:t>
      </w:r>
    </w:p>
    <w:p w14:paraId="467D76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yellow"/>
          <w:lang w:val="en-US" w:eastAsia="zh-CN"/>
        </w:rPr>
      </w:pPr>
      <w:r>
        <w:rPr>
          <w:rFonts w:hint="eastAsia" w:ascii="宋体" w:hAnsi="宋体" w:cs="宋体"/>
          <w:color w:val="auto"/>
          <w:sz w:val="28"/>
          <w:szCs w:val="28"/>
          <w:lang w:val="en-US" w:eastAsia="zh-CN"/>
        </w:rPr>
        <w:t>（2）按照《信息系统安全等级保护定级指南》、《信息安全技术信息系统安全等级保护基本要求》、《信息安全技术信息系统安全等级保护测评要求》，对连城县人民检察院检察工作网局域网（三级）开展等保2.0的网络安全等级保护测评工作,提交福建省等级保护测评机构针对检察工作局域网三级等保的安全等级测评报告，并对连城县人民检察院互联网门户网站进行漏洞扫描风险评估服务。</w:t>
      </w:r>
    </w:p>
    <w:p w14:paraId="4F5C34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（3）本项目要求竞价人提供测评过程突发事件应急服务,能够快速应对测评过程突发事件。</w:t>
      </w:r>
    </w:p>
    <w:p w14:paraId="1E5DE2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（4）竞价人在测评现场具有应急技术处理能力。</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lang w:val="en-US" w:eastAsia="zh-CN" w:bidi="ar-SA"/>
        </w:rPr>
        <w:t>竞价</w:t>
      </w:r>
      <w:r>
        <w:rPr>
          <w:rFonts w:hint="eastAsia" w:ascii="宋体" w:hAnsi="宋体" w:eastAsia="宋体" w:cs="宋体"/>
          <w:b w:val="0"/>
          <w:bCs w:val="0"/>
          <w:color w:val="auto"/>
          <w:kern w:val="2"/>
          <w:sz w:val="28"/>
          <w:szCs w:val="28"/>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4A56D6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1.竞价人必须遵守中华人民共和国法律、法规，能够提供本竞价文件所述货物及服务的境内具有独立法人资格的企业均可成为合格的竞价人（失信被执行人除外）；</w:t>
      </w:r>
    </w:p>
    <w:p w14:paraId="4EC3EB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2.竞价人须具备</w:t>
      </w:r>
      <w:r>
        <w:rPr>
          <w:rFonts w:hint="eastAsia" w:ascii="宋体" w:hAnsi="宋体" w:eastAsia="宋体" w:cs="宋体"/>
          <w:color w:val="auto"/>
          <w:sz w:val="28"/>
          <w:szCs w:val="28"/>
          <w:lang w:val="en-US" w:eastAsia="zh-CN"/>
        </w:rPr>
        <w:t>公安部第三研究所认证发放的《网络安全等级测评与检测评估机服务认证证书》；</w:t>
      </w:r>
    </w:p>
    <w:p w14:paraId="7D6D17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竞价人须连续五年在备案所在地的省内市级及市级以上网安或网信的技术支撑单位；</w:t>
      </w:r>
    </w:p>
    <w:p w14:paraId="3F7F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.竞价人为本项目投入的服务团队，需配备1名高级测评师作为测评团队负责人，</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名中级</w:t>
      </w:r>
      <w:r>
        <w:rPr>
          <w:rFonts w:hint="eastAsia" w:ascii="宋体" w:hAnsi="宋体" w:cs="宋体"/>
          <w:color w:val="auto"/>
          <w:sz w:val="28"/>
          <w:szCs w:val="28"/>
          <w:lang w:val="en-US" w:eastAsia="zh-CN"/>
        </w:rPr>
        <w:t>及以上</w:t>
      </w:r>
      <w:r>
        <w:rPr>
          <w:rFonts w:hint="eastAsia" w:ascii="宋体" w:hAnsi="宋体" w:eastAsia="宋体" w:cs="宋体"/>
          <w:color w:val="auto"/>
          <w:sz w:val="28"/>
          <w:szCs w:val="28"/>
          <w:lang w:val="en-US" w:eastAsia="zh-CN"/>
        </w:rPr>
        <w:t>测评师负责技术类测评；</w:t>
      </w:r>
    </w:p>
    <w:p w14:paraId="573F0E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.竞价人</w:t>
      </w:r>
      <w:r>
        <w:rPr>
          <w:rFonts w:hint="eastAsia" w:ascii="宋体" w:hAnsi="宋体" w:eastAsia="宋体" w:cs="宋体"/>
          <w:color w:val="auto"/>
          <w:sz w:val="28"/>
          <w:szCs w:val="28"/>
          <w:highlight w:val="none"/>
          <w:lang w:val="en-US" w:eastAsia="zh-CN"/>
        </w:rPr>
        <w:t>在系统备案所在省具备实验室,并且实验室经过公安部第三研究所认可,且该实验室场所地址与《网络安全等级测评与检测评估机构服务认证证书》所列地址一致；</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750B93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2026年6月24日</w:t>
      </w:r>
      <w:r>
        <w:rPr>
          <w:rFonts w:hint="eastAsia" w:ascii="宋体" w:hAnsi="宋体" w:cs="宋体"/>
          <w:color w:val="auto"/>
          <w:sz w:val="28"/>
          <w:szCs w:val="28"/>
          <w:highlight w:val="none"/>
          <w:lang w:val="en-US" w:eastAsia="zh-CN"/>
        </w:rPr>
        <w:t>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2333E2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》，由委托人经过相应审批程序后签订。</w:t>
      </w:r>
    </w:p>
    <w:p w14:paraId="5E4082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29BFE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B77AC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7F4877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竞价人由公安部第三研究所认证发放的《络安全等级测评与检测评估机服务认证证书》证书；</w:t>
      </w:r>
    </w:p>
    <w:p w14:paraId="3722D94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（3）竞价人连续五年在备案所在省具有市级及以上网安或网信的技术支撑单位的相关证明材料；</w:t>
      </w:r>
    </w:p>
    <w:p w14:paraId="785CA7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本项目投入的服务团队</w:t>
      </w:r>
      <w:r>
        <w:rPr>
          <w:rFonts w:hint="eastAsia" w:ascii="宋体" w:hAnsi="宋体" w:cs="宋体"/>
          <w:color w:val="auto"/>
          <w:sz w:val="28"/>
          <w:szCs w:val="28"/>
          <w:lang w:val="en-US" w:eastAsia="zh-CN"/>
        </w:rPr>
        <w:t>成员名单（格式自拟）</w:t>
      </w:r>
      <w:r>
        <w:rPr>
          <w:rFonts w:hint="eastAsia" w:ascii="宋体" w:hAnsi="宋体" w:eastAsia="宋体" w:cs="宋体"/>
          <w:color w:val="auto"/>
          <w:sz w:val="28"/>
          <w:szCs w:val="28"/>
          <w:lang w:val="en-US" w:eastAsia="zh-CN"/>
        </w:rPr>
        <w:t>，且</w:t>
      </w:r>
      <w:r>
        <w:rPr>
          <w:rFonts w:hint="eastAsia" w:ascii="宋体" w:hAnsi="宋体" w:cs="宋体"/>
          <w:color w:val="auto"/>
          <w:sz w:val="28"/>
          <w:szCs w:val="28"/>
          <w:lang w:val="en-US" w:eastAsia="zh-CN"/>
        </w:rPr>
        <w:t>提供</w:t>
      </w:r>
      <w:r>
        <w:rPr>
          <w:rFonts w:hint="eastAsia" w:ascii="宋体" w:hAnsi="宋体" w:eastAsia="宋体" w:cs="宋体"/>
          <w:color w:val="auto"/>
          <w:sz w:val="28"/>
          <w:szCs w:val="28"/>
          <w:lang w:val="en-US" w:eastAsia="zh-CN"/>
        </w:rPr>
        <w:t>团队成员在网站</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http://www.djbh.net/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查询</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相关信息（需提供相关人员的网站查询结果和</w:t>
      </w:r>
      <w:r>
        <w:rPr>
          <w:rFonts w:hint="eastAsia" w:ascii="宋体" w:hAnsi="宋体" w:cs="宋体"/>
          <w:color w:val="auto"/>
          <w:sz w:val="28"/>
          <w:szCs w:val="28"/>
          <w:lang w:val="en-US" w:eastAsia="zh-CN"/>
        </w:rPr>
        <w:t>竞价人</w:t>
      </w:r>
      <w:r>
        <w:rPr>
          <w:rFonts w:hint="eastAsia" w:ascii="宋体" w:hAnsi="宋体" w:eastAsia="宋体" w:cs="宋体"/>
          <w:color w:val="auto"/>
          <w:sz w:val="28"/>
          <w:szCs w:val="28"/>
          <w:lang w:val="en-US" w:eastAsia="zh-CN"/>
        </w:rPr>
        <w:t>为其缴纳的投标截止时间前六个月内（不含投标截止时间当月）任意一个月的养老保险证明材料复印件）；</w:t>
      </w:r>
    </w:p>
    <w:p w14:paraId="0DD6C6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（5）竞价人提供在系统备案所在省具备实验室</w:t>
      </w:r>
      <w:r>
        <w:rPr>
          <w:rFonts w:hint="eastAsia" w:ascii="宋体" w:hAnsi="宋体" w:cs="宋体"/>
          <w:color w:val="auto"/>
          <w:sz w:val="28"/>
          <w:szCs w:val="28"/>
          <w:lang w:val="en-US" w:eastAsia="zh-CN"/>
        </w:rPr>
        <w:t>信息，</w:t>
      </w:r>
      <w:r>
        <w:rPr>
          <w:rFonts w:hint="eastAsia" w:ascii="宋体" w:hAnsi="宋体" w:eastAsia="宋体" w:cs="宋体"/>
          <w:color w:val="auto"/>
          <w:sz w:val="28"/>
          <w:szCs w:val="28"/>
          <w:lang w:val="en-US" w:eastAsia="zh-CN"/>
        </w:rPr>
        <w:t>实验室场地的租赁合同或采购买卖合同，并要求该实验室场所地址与《网络安全等级测评与检测评估机构服务认证证书》所列地址一致；</w:t>
      </w:r>
    </w:p>
    <w:p w14:paraId="31CB1A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6BFDA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招标代理服务费须在成交之日起7个工作日汇到本公司指定账户（户名：连城县国有资产产权交易服务有限公司，开户行：中国农业银行连城县支行，账号：1377 0101 0400 18263</w:t>
      </w:r>
      <w:r>
        <w:rPr>
          <w:rFonts w:hint="eastAsia" w:ascii="宋体" w:hAnsi="宋体" w:eastAsia="宋体" w:cs="宋体"/>
          <w:b/>
          <w:bCs/>
          <w:color w:val="000000"/>
          <w:sz w:val="28"/>
          <w:szCs w:val="28"/>
          <w:highlight w:val="none"/>
          <w:lang w:val="en-US"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549F8C6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成交人按委托人的需求完成全部测评、评估工作，委托人收到合规发票后 30 日内一次性转账支付。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w:t>
      </w:r>
      <w:r>
        <w:rPr>
          <w:rFonts w:hint="eastAsia" w:ascii="宋体" w:hAnsi="宋体" w:eastAsia="宋体" w:cs="宋体"/>
          <w:color w:val="auto"/>
          <w:sz w:val="28"/>
          <w:szCs w:val="28"/>
          <w:highlight w:val="none"/>
          <w:lang w:val="en-US" w:eastAsia="zh-CN"/>
        </w:rPr>
        <w:t>于税费、服务费、文印费、差旅费、交通费、住宿费等所有相关费用，竞</w:t>
      </w:r>
      <w:r>
        <w:rPr>
          <w:rFonts w:hint="eastAsia" w:ascii="宋体" w:hAnsi="宋体" w:eastAsia="宋体" w:cs="宋体"/>
          <w:color w:val="auto"/>
          <w:sz w:val="28"/>
          <w:szCs w:val="28"/>
          <w:lang w:val="en-US" w:eastAsia="zh-CN"/>
        </w:rPr>
        <w:t>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2026年6月17日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2026年6月24日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连城县人民检察院检察工作网系统三级等保测评及门户网站系统漏洞扫描风险评估服务项目</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LCCQJJ20260624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5289625D">
      <w:pPr>
        <w:rPr>
          <w:rFonts w:hint="default" w:ascii="宋体" w:hAnsi="宋体" w:cs="宋体"/>
          <w:color w:val="auto"/>
          <w:sz w:val="28"/>
          <w:szCs w:val="28"/>
          <w:lang w:val="en-US" w:eastAsia="zh-CN"/>
        </w:rPr>
      </w:pPr>
    </w:p>
    <w:sectPr>
      <w:footerReference r:id="rId3" w:type="default"/>
      <w:pgSz w:w="11906" w:h="16838"/>
      <w:pgMar w:top="1383" w:right="1293" w:bottom="1327" w:left="129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BA4C8A"/>
    <w:rsid w:val="0AD43D25"/>
    <w:rsid w:val="0AEE0C79"/>
    <w:rsid w:val="0C0C7087"/>
    <w:rsid w:val="0C9C0329"/>
    <w:rsid w:val="0CA830A9"/>
    <w:rsid w:val="0CDA1129"/>
    <w:rsid w:val="0D0C3638"/>
    <w:rsid w:val="0D724C37"/>
    <w:rsid w:val="0E6A79B6"/>
    <w:rsid w:val="0E8467A8"/>
    <w:rsid w:val="0F153787"/>
    <w:rsid w:val="10554859"/>
    <w:rsid w:val="10745AC6"/>
    <w:rsid w:val="108A4FA0"/>
    <w:rsid w:val="115251AE"/>
    <w:rsid w:val="128A572B"/>
    <w:rsid w:val="134E34CD"/>
    <w:rsid w:val="137205A3"/>
    <w:rsid w:val="138E2060"/>
    <w:rsid w:val="14416FC6"/>
    <w:rsid w:val="14DE0881"/>
    <w:rsid w:val="15474BF8"/>
    <w:rsid w:val="1569686F"/>
    <w:rsid w:val="16052A7F"/>
    <w:rsid w:val="16556050"/>
    <w:rsid w:val="167C30C3"/>
    <w:rsid w:val="169951BC"/>
    <w:rsid w:val="183B56FD"/>
    <w:rsid w:val="18AE0B48"/>
    <w:rsid w:val="18EF3710"/>
    <w:rsid w:val="1A146B0D"/>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6F7D4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60247F"/>
    <w:rsid w:val="42890CAC"/>
    <w:rsid w:val="429531AD"/>
    <w:rsid w:val="42E9200F"/>
    <w:rsid w:val="432E70E3"/>
    <w:rsid w:val="43FA38BE"/>
    <w:rsid w:val="4498029B"/>
    <w:rsid w:val="44B738AE"/>
    <w:rsid w:val="44E55E41"/>
    <w:rsid w:val="45A2046C"/>
    <w:rsid w:val="46601D24"/>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0044156"/>
    <w:rsid w:val="51A703F2"/>
    <w:rsid w:val="51AA471F"/>
    <w:rsid w:val="522E2CD6"/>
    <w:rsid w:val="524A20F8"/>
    <w:rsid w:val="524E2EDF"/>
    <w:rsid w:val="53CB6FAB"/>
    <w:rsid w:val="542826BF"/>
    <w:rsid w:val="545B5616"/>
    <w:rsid w:val="54785C40"/>
    <w:rsid w:val="55915C48"/>
    <w:rsid w:val="56DC71A4"/>
    <w:rsid w:val="56EB10E9"/>
    <w:rsid w:val="57D30182"/>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2F63C53"/>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1E12103"/>
    <w:rsid w:val="729A0B48"/>
    <w:rsid w:val="729B4033"/>
    <w:rsid w:val="75A82C1C"/>
    <w:rsid w:val="75C93329"/>
    <w:rsid w:val="77354B5A"/>
    <w:rsid w:val="77875CB0"/>
    <w:rsid w:val="77CE5972"/>
    <w:rsid w:val="786F5C73"/>
    <w:rsid w:val="78C20BBA"/>
    <w:rsid w:val="78F75F2F"/>
    <w:rsid w:val="79162DAA"/>
    <w:rsid w:val="7956473D"/>
    <w:rsid w:val="79B76855"/>
    <w:rsid w:val="7AD654A8"/>
    <w:rsid w:val="7BA26D66"/>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
    <w:qFormat/>
    <w:uiPriority w:val="0"/>
    <w:pPr>
      <w:spacing w:before="100" w:beforeAutospacing="1" w:after="100" w:afterAutospacing="1"/>
      <w:jc w:val="left"/>
    </w:pPr>
    <w:rPr>
      <w:rFonts w:cs="Times New Roman"/>
      <w:kern w:val="0"/>
      <w:sz w:val="24"/>
    </w:rPr>
  </w:style>
  <w:style w:type="table" w:styleId="13">
    <w:name w:val="Table Grid"/>
    <w:basedOn w:val="12"/>
    <w:qFormat/>
    <w:uiPriority w:val="5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4"/>
    <w:link w:val="8"/>
    <w:qFormat/>
    <w:uiPriority w:val="0"/>
    <w:rPr>
      <w:rFonts w:ascii="Calibri" w:hAnsi="Calibri" w:eastAsia="宋体" w:cs="Arial"/>
      <w:kern w:val="2"/>
      <w:sz w:val="18"/>
      <w:szCs w:val="1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10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微软雅黑" w:hAnsi="微软雅黑" w:eastAsia="微软雅黑" w:cs="微软雅黑"/>
      <w:color w:val="000000"/>
      <w:sz w:val="20"/>
      <w:szCs w:val="20"/>
      <w:u w:val="none"/>
    </w:rPr>
  </w:style>
  <w:style w:type="paragraph" w:customStyle="1" w:styleId="24">
    <w:name w:val="样式3"/>
    <w:basedOn w:val="7"/>
    <w:qFormat/>
    <w:uiPriority w:val="0"/>
    <w:pPr>
      <w:spacing w:line="0" w:lineRule="atLeast"/>
      <w:outlineLvl w:val="0"/>
    </w:pPr>
    <w:rPr>
      <w:sz w:val="28"/>
    </w:rPr>
  </w:style>
  <w:style w:type="character" w:customStyle="1" w:styleId="25">
    <w:name w:val="font51"/>
    <w:basedOn w:val="14"/>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5684</Words>
  <Characters>6112</Characters>
  <Lines>4</Lines>
  <Paragraphs>7</Paragraphs>
  <TotalTime>10</TotalTime>
  <ScaleCrop>false</ScaleCrop>
  <LinksUpToDate>false</LinksUpToDate>
  <CharactersWithSpaces>6141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2026-06-17T02:09:56Z</cp:lastPrinted>
  <dcterms:modified xsi:type="dcterms:W3CDTF">2026-06-17T02:21:58Z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