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416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-1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  <w:bookmarkStart w:id="0" w:name="_GoBack"/>
      <w:bookmarkEnd w:id="0"/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 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7F82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连城县县域医共体资源共享中心和中心药房建设工程项目-庙前卫生院扩建基坑支护工程监测。</w:t>
      </w:r>
    </w:p>
    <w:p w14:paraId="4A69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2.项目地址：连城县庙前镇。</w:t>
      </w:r>
    </w:p>
    <w:p w14:paraId="7E2A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3.监测服务费最高限价：66021元。</w:t>
      </w:r>
    </w:p>
    <w:p w14:paraId="1F53F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4.竞价保证金：1300元</w:t>
      </w:r>
    </w:p>
    <w:p w14:paraId="27FC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5.本项目服务内容明细清单：</w:t>
      </w:r>
    </w:p>
    <w:tbl>
      <w:tblPr>
        <w:tblStyle w:val="9"/>
        <w:tblW w:w="9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18"/>
        <w:gridCol w:w="3685"/>
        <w:gridCol w:w="638"/>
        <w:gridCol w:w="922"/>
        <w:gridCol w:w="734"/>
        <w:gridCol w:w="1220"/>
        <w:gridCol w:w="741"/>
        <w:gridCol w:w="1"/>
      </w:tblGrid>
      <w:tr w14:paraId="04D3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监测元件及布点费用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数量    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8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63E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FB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基坑坡顶水平位移及竖向位移（简称：沉降）监测点布设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BB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10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5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深层土体水平位移监测点布设（共3孔，每孔暂按11米，合计33米）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54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A8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43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建筑物沉降监测点布设（共4孔，每孔暂按11米，合计33米）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0A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464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F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7650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0A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5F4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监测项目收费标准和单次收费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数量   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55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4F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97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A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基坑坡顶水平位移监测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3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63D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0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D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基坑坡顶沉降监测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B6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1E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BE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深层土体水平位移监测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8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7C6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FF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建筑物沉降监测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19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BD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9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41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89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备注：监测点数量按设计图及相关规范要求布设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E7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A8E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暂定监测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监测阶段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监测次数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总次数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F4B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100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D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基坑土方开挖深度≤H/3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约每3天观测1次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96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19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27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基坑土方开挖深度H/3～2H/3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约每2天观测1次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2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9E2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62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CF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2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基坑土方开挖深度2H/3～H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约每1天观测1次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8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D8D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72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68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底板浇注≤7天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约每2天观测1次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5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4E5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EEE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底板浇注后7～14天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约每3天观测1次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16B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FE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33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底板浇注后14～28天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约每7天观测1次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6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30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4D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65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底板浇注后&gt;28天，至回填完毕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约每10天观测1次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C27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D94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监测费用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单次监测费用×监测次数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47845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2D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F62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技术工作费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日常监测费×0.22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10526 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A1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E9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监测费合计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监测元件布设费用+监测费用+技术工作费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66021 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未下浮总价</w:t>
            </w:r>
          </w:p>
        </w:tc>
      </w:tr>
      <w:tr w14:paraId="01FA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优惠下浮率报价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下浮率报价区间：30%-100%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05F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E3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下浮后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监测费报价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监测总价×（1-优惠下浮率）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FE62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92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C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1A3AE1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1.各点次收费按照《02勘察收费标准》收取；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2.表中所列监测内容、点数、次数根据有关规范要求；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3.监测周期：从开始监测算起至监测至地下结构施工完成并回填结束；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4.监测次数与基坑施工的进度、变形情况及降雨等因素有关，若连续监测变形无明显变化且未降雨时，监测时间间隔有可能适当加大，若变形变化较大且遇暴雨或连续降雨，监测频率加大；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5.因设计变更，监测范围、监测点增减时，按本表单价下浮后的价格按实结算。                             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5A73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00A0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6.报价方式：本项目以下浮率的方式进行报价；竞价人投报下浮率区间为30%—100%，投报下浮率最高的为本项目成交人。</w:t>
      </w:r>
    </w:p>
    <w:p w14:paraId="179F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7.合同结算方式：本项目监测服务费按实际工作量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×控制单价×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（1-成交下浮率）进行结算。</w:t>
      </w:r>
    </w:p>
    <w:p w14:paraId="64B3F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8.质量标准：满足《岩土工程勘察规范》（GB50021-2001，2019版）中的相关要求，同时勘察报告达到《建设工程勘察质量管理办法》，勘察深度满足工程设计要求。</w:t>
      </w:r>
    </w:p>
    <w:p w14:paraId="555DBC02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.本场竞价对参与竞价的人数不做限制，不受竞价人数量影响，只要有符合条件的竞价人参与并达成交易即可。</w:t>
      </w:r>
    </w:p>
    <w:p w14:paraId="6BFB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.竞价特别说明：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7E7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1.遵守中华人民共和国法律、法规，具备国家行业主管部门颁发的有效执业资质的中介机构,但已经被列入失信被执行人名单（截止报名时间）的除外。</w:t>
      </w:r>
    </w:p>
    <w:p w14:paraId="053A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2.竞价前已入选福建连城国有投资集团有限公司设立的《福建连城国有投资集团有限公司工程服务中介机构库2025-2027年度》工程勘察类名单。</w:t>
      </w:r>
    </w:p>
    <w:p w14:paraId="1183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doub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double"/>
          <w:lang w:val="en-US" w:eastAsia="zh-CN"/>
        </w:rPr>
        <w:t>3.库内符合资格要求的中介机构单位应无条件参与竞价，若未参与竞价的按不到场处理【根据《福建连城国有投资集团有限公司工程服务中介机构管理办法》第十五条第4点“中介机构一年内两次不到场”的清除出库】。</w:t>
      </w:r>
    </w:p>
    <w:p w14:paraId="4DBD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第三方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服务机构。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1300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2.竞价成交后，成交人必须在成交之日起2个工作日内与本公司签订《竞价结果通知书》，并在签订《竞价结果通知书》2个工作日内向委托人提供《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5A5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3189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（1）中介机构营业执照副本、法定代表人身份证复印件；</w:t>
      </w:r>
    </w:p>
    <w:p w14:paraId="569F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（2）报价时同步上传《报价表》，竞价系统填报的总价应与报价表的投报总价相同。（格式详见附件一）</w:t>
      </w:r>
    </w:p>
    <w:p w14:paraId="2B8B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）签订完整的承诺书；</w:t>
      </w:r>
    </w:p>
    <w:p w14:paraId="464B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）已缴纳的竞价保证金凭证；</w:t>
      </w:r>
    </w:p>
    <w:p w14:paraId="04CA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以上材料复印件须加盖公章并上传至平台系统。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4D7F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本场竞价对参与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价的人数不做限制，不受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价人数量影响，只要有符合条件的竞价人参与并达成交易即可。</w:t>
      </w:r>
    </w:p>
    <w:p w14:paraId="6A686FAB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正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优惠下浮率高者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86B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优惠下浮率进行报价，竞价人在报价时不得高于最高限价，根据有效竞价人报价排名情况，由低到高排序，最低的一名即为成交人。成交价包括但不限于税费、服务费、文印费、差旅费、交通费、住宿费等所有相关费用，竞价人应对本次竞价内容应有充分认识，自行判断能够完成本项目所需的费用，风险费用应自行考虑计入投标报价，竞价人未考虑风险因素造成的损失由竞价人自行负责。</w:t>
      </w:r>
    </w:p>
    <w:p w14:paraId="0161EA98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7DE24264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竞价人应以优惠下浮率进行报价，竞价人投报优惠下浮率区间为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%（含）-100%（含），竞价人须在此区间内报价（保留至小数点后两位），投报优惠下浮率超过区间值为无效报价。竞价系统设置的价格30，表示优惠下浮率为30%。例如优惠下浮率30%，则在竞价系统填写30；如优惠下浮率35%，则在竞价系统填写35，填报优惠下浮率最高的竞价人作为本项目成交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0FD9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5.特别提示：标的经公开征集到的合格竞价人,应以规定的报价区间内进行报价，同时成交人应签署《竞价结果通知书》等相关文件，否则视同为违约。</w:t>
      </w:r>
    </w:p>
    <w:p w14:paraId="1DAB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6EDF44F5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竞价成交后，成交人应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一次性向本公司支付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3000元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交易服务费（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交易服务费不随成交价做调整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交易服务费直接由本公司从成交人缴纳的竞价保证金中扣收，不足的，成交人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内补齐。交易服务费未按期付清的，视成交人根本违约，竞价保证金不予退回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p w14:paraId="4D17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八、付款方式</w:t>
      </w:r>
    </w:p>
    <w:p w14:paraId="3DA74426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highlight w:val="none"/>
          <w:lang w:val="en-US" w:eastAsia="zh-CN" w:bidi="ar-SA"/>
        </w:rPr>
        <w:t>以公告约定方式结算。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9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连城县国有资产产权交易服务有限公司</w:t>
      </w:r>
    </w:p>
    <w:p w14:paraId="71BB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2026年4月10日</w:t>
      </w:r>
    </w:p>
    <w:p w14:paraId="7039278D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883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31E169A1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883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3A52B172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2026年4月16日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连城县县域医共体资源共享中心和中心药房建设工程项目-庙前卫生院扩建基坑支护工程监测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416-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AE133F"/>
    <w:rsid w:val="039E3DB5"/>
    <w:rsid w:val="04973358"/>
    <w:rsid w:val="0804406F"/>
    <w:rsid w:val="081C4C9C"/>
    <w:rsid w:val="0834033F"/>
    <w:rsid w:val="0AEE0C79"/>
    <w:rsid w:val="0BEB0CCA"/>
    <w:rsid w:val="0C0C7087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39D27B2"/>
    <w:rsid w:val="14416FC6"/>
    <w:rsid w:val="15474BF8"/>
    <w:rsid w:val="1569686F"/>
    <w:rsid w:val="16052A7F"/>
    <w:rsid w:val="167C30C3"/>
    <w:rsid w:val="169951BC"/>
    <w:rsid w:val="16B50E1F"/>
    <w:rsid w:val="183B56FD"/>
    <w:rsid w:val="18AE0B48"/>
    <w:rsid w:val="18EF3710"/>
    <w:rsid w:val="1A394265"/>
    <w:rsid w:val="1A8962C8"/>
    <w:rsid w:val="1B215742"/>
    <w:rsid w:val="1CC932F4"/>
    <w:rsid w:val="1E303C84"/>
    <w:rsid w:val="1EF00CA7"/>
    <w:rsid w:val="1F633F72"/>
    <w:rsid w:val="1FB913FE"/>
    <w:rsid w:val="203C362E"/>
    <w:rsid w:val="211A411E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8315E7"/>
    <w:rsid w:val="2B9065B4"/>
    <w:rsid w:val="2C2A04A0"/>
    <w:rsid w:val="2C4C065B"/>
    <w:rsid w:val="2C5C26DC"/>
    <w:rsid w:val="2CDF621C"/>
    <w:rsid w:val="2D697A29"/>
    <w:rsid w:val="2E301AB4"/>
    <w:rsid w:val="2E7E609A"/>
    <w:rsid w:val="2EFE0466"/>
    <w:rsid w:val="2F3740ED"/>
    <w:rsid w:val="2FF9333B"/>
    <w:rsid w:val="300F15EE"/>
    <w:rsid w:val="3062140F"/>
    <w:rsid w:val="31496EC2"/>
    <w:rsid w:val="31E57E30"/>
    <w:rsid w:val="31F6203D"/>
    <w:rsid w:val="32165023"/>
    <w:rsid w:val="33B379FC"/>
    <w:rsid w:val="33BB5A80"/>
    <w:rsid w:val="348738A9"/>
    <w:rsid w:val="349D0C90"/>
    <w:rsid w:val="36070CBD"/>
    <w:rsid w:val="366756A0"/>
    <w:rsid w:val="371B5B3B"/>
    <w:rsid w:val="3741602B"/>
    <w:rsid w:val="38A87E0A"/>
    <w:rsid w:val="39C752B8"/>
    <w:rsid w:val="3A0C4B4E"/>
    <w:rsid w:val="3CDB07AE"/>
    <w:rsid w:val="3D3F6CF4"/>
    <w:rsid w:val="3D5C5D7A"/>
    <w:rsid w:val="3D71306C"/>
    <w:rsid w:val="3DC87AC0"/>
    <w:rsid w:val="3E166E94"/>
    <w:rsid w:val="3FA56A13"/>
    <w:rsid w:val="405D3D50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A58410E"/>
    <w:rsid w:val="4ACA1E61"/>
    <w:rsid w:val="4B42467C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CB6FAB"/>
    <w:rsid w:val="542826BF"/>
    <w:rsid w:val="545B5616"/>
    <w:rsid w:val="54610DCA"/>
    <w:rsid w:val="55915C48"/>
    <w:rsid w:val="56DC71A4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4DF78E7"/>
    <w:rsid w:val="664A0B53"/>
    <w:rsid w:val="67A07D7A"/>
    <w:rsid w:val="67B160B6"/>
    <w:rsid w:val="680A030D"/>
    <w:rsid w:val="69113EED"/>
    <w:rsid w:val="6B776A6D"/>
    <w:rsid w:val="6CA81B7D"/>
    <w:rsid w:val="6D7B66F3"/>
    <w:rsid w:val="6E661D1D"/>
    <w:rsid w:val="7007345D"/>
    <w:rsid w:val="707966E1"/>
    <w:rsid w:val="71305500"/>
    <w:rsid w:val="71B004C4"/>
    <w:rsid w:val="729A0B48"/>
    <w:rsid w:val="729B4033"/>
    <w:rsid w:val="75A82C1C"/>
    <w:rsid w:val="77354B5A"/>
    <w:rsid w:val="77875CB0"/>
    <w:rsid w:val="77CE5972"/>
    <w:rsid w:val="786F5C73"/>
    <w:rsid w:val="78F75F2F"/>
    <w:rsid w:val="79162DAA"/>
    <w:rsid w:val="7956473D"/>
    <w:rsid w:val="79B76855"/>
    <w:rsid w:val="7AB27343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4818</Words>
  <Characters>5256</Characters>
  <Lines>4</Lines>
  <Paragraphs>7</Paragraphs>
  <TotalTime>4</TotalTime>
  <ScaleCrop>false</ScaleCrop>
  <LinksUpToDate>false</LinksUpToDate>
  <CharactersWithSpaces>5429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2026-04-17T01:20:29Z</cp:lastPrinted>
  <dcterms:modified xsi:type="dcterms:W3CDTF">2026-04-17T01:20:59Z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