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51225</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25</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25</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w:t>
      </w:r>
      <w:bookmarkStart w:id="0" w:name="_GoBack"/>
      <w:r>
        <w:rPr>
          <w:rFonts w:hint="eastAsia" w:asciiTheme="minorEastAsia" w:hAnsiTheme="minorEastAsia" w:eastAsiaTheme="minorEastAsia" w:cstheme="minorEastAsia"/>
          <w:color w:val="auto"/>
          <w:kern w:val="2"/>
          <w:sz w:val="24"/>
          <w:szCs w:val="24"/>
          <w:shd w:val="clear"/>
          <w:lang w:val="en-US" w:eastAsia="zh-CN"/>
        </w:rPr>
        <w:t>连城县天泉湾酒店运营有限公司餐具桌椅采购项目</w:t>
      </w:r>
      <w:bookmarkEnd w:id="0"/>
      <w:r>
        <w:rPr>
          <w:rFonts w:hint="eastAsia" w:asciiTheme="minorEastAsia" w:hAnsiTheme="minorEastAsia" w:eastAsiaTheme="minorEastAsia" w:cstheme="minorEastAsia"/>
          <w:color w:val="auto"/>
          <w:kern w:val="2"/>
          <w:sz w:val="24"/>
          <w:szCs w:val="24"/>
          <w:shd w:val="clear"/>
          <w:lang w:val="en-US" w:eastAsia="zh-CN"/>
        </w:rPr>
        <w:t>（二次）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2.采购清单详见附件</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3.最高限价：79140元（含税包干）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w:t>
      </w:r>
      <w:r>
        <w:rPr>
          <w:rFonts w:hint="eastAsia" w:asciiTheme="minorEastAsia" w:hAnsiTheme="minorEastAsia" w:eastAsiaTheme="minorEastAsia" w:cstheme="minorEastAsia"/>
          <w:color w:val="auto"/>
          <w:kern w:val="2"/>
          <w:sz w:val="24"/>
          <w:szCs w:val="24"/>
          <w:highlight w:val="yellow"/>
          <w:shd w:val="clear"/>
          <w:lang w:val="en-US" w:eastAsia="zh-CN"/>
        </w:rPr>
        <w:t>自合同签订之日起15日内完成全部供货，每延迟1天供货，扣除违约金5000元</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2025年12月25日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79140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79140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79140</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2025年12月19日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12月25日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连城县天泉湾酒店运营有限公司餐具桌椅采购项目（二次）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51225</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5EBC186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(附成交清单)</w:t>
      </w:r>
    </w:p>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w:t>
      </w:r>
      <w:r>
        <w:rPr>
          <w:rFonts w:hint="eastAsia" w:asciiTheme="minorEastAsia" w:hAnsiTheme="minorEastAsia" w:eastAsiaTheme="minorEastAsia" w:cstheme="minorEastAsia"/>
          <w:sz w:val="24"/>
          <w:szCs w:val="24"/>
          <w:highlight w:val="yellow"/>
        </w:rPr>
        <w:t>供货要求：乙方根据</w:t>
      </w:r>
      <w:r>
        <w:rPr>
          <w:rFonts w:hint="eastAsia" w:asciiTheme="minorEastAsia" w:hAnsiTheme="minorEastAsia" w:eastAsiaTheme="minorEastAsia" w:cstheme="minorEastAsia"/>
          <w:sz w:val="24"/>
          <w:szCs w:val="24"/>
          <w:highlight w:val="yellow"/>
          <w:lang w:val="en-US" w:eastAsia="zh-CN"/>
        </w:rPr>
        <w:t>甲方</w:t>
      </w:r>
      <w:r>
        <w:rPr>
          <w:rFonts w:hint="eastAsia" w:asciiTheme="minorEastAsia" w:hAnsiTheme="minorEastAsia" w:eastAsiaTheme="minorEastAsia" w:cstheme="minorEastAsia"/>
          <w:color w:val="auto"/>
          <w:sz w:val="24"/>
          <w:szCs w:val="24"/>
          <w:highlight w:val="yellow"/>
          <w:lang w:val="en-US" w:eastAsia="zh-CN"/>
        </w:rPr>
        <w:t>供货</w:t>
      </w:r>
      <w:r>
        <w:rPr>
          <w:rFonts w:hint="eastAsia" w:asciiTheme="minorEastAsia" w:hAnsiTheme="minorEastAsia" w:eastAsiaTheme="minorEastAsia" w:cstheme="minorEastAsia"/>
          <w:color w:val="auto"/>
          <w:sz w:val="24"/>
          <w:szCs w:val="24"/>
          <w:highlight w:val="yellow"/>
        </w:rPr>
        <w:t>要求</w:t>
      </w:r>
      <w:r>
        <w:rPr>
          <w:rFonts w:hint="eastAsia" w:asciiTheme="minorEastAsia" w:hAnsiTheme="minorEastAsia" w:eastAsiaTheme="minorEastAsia" w:cstheme="minorEastAsia"/>
          <w:color w:val="000000" w:themeColor="text1"/>
          <w:sz w:val="24"/>
          <w:szCs w:val="24"/>
          <w:highlight w:val="yellow"/>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highlight w:val="yellow"/>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highlight w:val="yellow"/>
          <w:lang w:eastAsia="zh-CN"/>
        </w:rPr>
        <w:t>日内</w:t>
      </w:r>
      <w:r>
        <w:rPr>
          <w:rFonts w:hint="eastAsia" w:asciiTheme="minorEastAsia" w:hAnsiTheme="minorEastAsia" w:eastAsiaTheme="minorEastAsia" w:cstheme="minorEastAsia"/>
          <w:sz w:val="24"/>
          <w:szCs w:val="24"/>
          <w:highlight w:val="yellow"/>
        </w:rPr>
        <w:t>及时将货物送达指定地点并</w:t>
      </w:r>
      <w:r>
        <w:rPr>
          <w:rFonts w:hint="eastAsia" w:asciiTheme="minorEastAsia" w:hAnsiTheme="minorEastAsia" w:eastAsiaTheme="minorEastAsia" w:cstheme="minorEastAsia"/>
          <w:sz w:val="24"/>
          <w:szCs w:val="24"/>
          <w:highlight w:val="yellow"/>
          <w:lang w:val="en-US" w:eastAsia="zh-CN"/>
        </w:rPr>
        <w:t>交付正常使用，</w:t>
      </w:r>
      <w:r>
        <w:rPr>
          <w:rFonts w:hint="eastAsia" w:asciiTheme="minorEastAsia" w:hAnsiTheme="minorEastAsia" w:eastAsiaTheme="minorEastAsia" w:cstheme="minorEastAsia"/>
          <w:sz w:val="24"/>
          <w:szCs w:val="24"/>
          <w:highlight w:val="yellow"/>
        </w:rPr>
        <w:t>每延迟1天供货，扣除违约金5000元。</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逾期交货违约责任：每延迟1天供货，扣除违约金5000元。</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5A6269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114696D"/>
    <w:rsid w:val="018856AF"/>
    <w:rsid w:val="025874A5"/>
    <w:rsid w:val="02AE00E7"/>
    <w:rsid w:val="032D650E"/>
    <w:rsid w:val="034677B9"/>
    <w:rsid w:val="038A1BB2"/>
    <w:rsid w:val="039B541A"/>
    <w:rsid w:val="0580501B"/>
    <w:rsid w:val="058B39C0"/>
    <w:rsid w:val="05DA79C7"/>
    <w:rsid w:val="070E2AFA"/>
    <w:rsid w:val="07100621"/>
    <w:rsid w:val="0717375D"/>
    <w:rsid w:val="07174993"/>
    <w:rsid w:val="073315E1"/>
    <w:rsid w:val="075C3866"/>
    <w:rsid w:val="07D50D0A"/>
    <w:rsid w:val="08174AFA"/>
    <w:rsid w:val="08F12A2E"/>
    <w:rsid w:val="09075A53"/>
    <w:rsid w:val="09235D76"/>
    <w:rsid w:val="09594501"/>
    <w:rsid w:val="097C01EF"/>
    <w:rsid w:val="0A2F0DBE"/>
    <w:rsid w:val="0A5B7E05"/>
    <w:rsid w:val="0AB17A25"/>
    <w:rsid w:val="0BC33EB3"/>
    <w:rsid w:val="0BF71DAF"/>
    <w:rsid w:val="0C152235"/>
    <w:rsid w:val="0C9876E7"/>
    <w:rsid w:val="0C9910B8"/>
    <w:rsid w:val="0CF839A8"/>
    <w:rsid w:val="0D2F33D6"/>
    <w:rsid w:val="0D3112F1"/>
    <w:rsid w:val="0D4D63F1"/>
    <w:rsid w:val="0DF165A2"/>
    <w:rsid w:val="0E010CC3"/>
    <w:rsid w:val="0E97237F"/>
    <w:rsid w:val="0EE54141"/>
    <w:rsid w:val="0FE577B4"/>
    <w:rsid w:val="0FFC33FA"/>
    <w:rsid w:val="1001144E"/>
    <w:rsid w:val="10396A5B"/>
    <w:rsid w:val="115B4B8E"/>
    <w:rsid w:val="116577BB"/>
    <w:rsid w:val="11DB182B"/>
    <w:rsid w:val="11F33019"/>
    <w:rsid w:val="12307DC9"/>
    <w:rsid w:val="12437AFC"/>
    <w:rsid w:val="127B18D3"/>
    <w:rsid w:val="13182D37"/>
    <w:rsid w:val="135E44C2"/>
    <w:rsid w:val="13761663"/>
    <w:rsid w:val="14065285"/>
    <w:rsid w:val="14117786"/>
    <w:rsid w:val="14F13AEF"/>
    <w:rsid w:val="166C0A45"/>
    <w:rsid w:val="169B0C29"/>
    <w:rsid w:val="18D23988"/>
    <w:rsid w:val="192A37C4"/>
    <w:rsid w:val="19766A09"/>
    <w:rsid w:val="19C85E8A"/>
    <w:rsid w:val="1A057D8D"/>
    <w:rsid w:val="1A07140F"/>
    <w:rsid w:val="1B067919"/>
    <w:rsid w:val="1B900D63"/>
    <w:rsid w:val="1BB92BDD"/>
    <w:rsid w:val="1BCC2910"/>
    <w:rsid w:val="1C3D55BC"/>
    <w:rsid w:val="1C424981"/>
    <w:rsid w:val="1C6E4E9F"/>
    <w:rsid w:val="1D0C4F8F"/>
    <w:rsid w:val="1D552DD9"/>
    <w:rsid w:val="1E3D18A3"/>
    <w:rsid w:val="1E6C3F37"/>
    <w:rsid w:val="1E813C7F"/>
    <w:rsid w:val="1E9E60BA"/>
    <w:rsid w:val="1EF83A1C"/>
    <w:rsid w:val="1F08025D"/>
    <w:rsid w:val="1F2B2044"/>
    <w:rsid w:val="1F903C55"/>
    <w:rsid w:val="1F986481"/>
    <w:rsid w:val="21182154"/>
    <w:rsid w:val="219A700D"/>
    <w:rsid w:val="21B06830"/>
    <w:rsid w:val="21E169EA"/>
    <w:rsid w:val="21F229A5"/>
    <w:rsid w:val="225673D8"/>
    <w:rsid w:val="229121BE"/>
    <w:rsid w:val="22AA7723"/>
    <w:rsid w:val="22FF7A6F"/>
    <w:rsid w:val="242B219E"/>
    <w:rsid w:val="25896995"/>
    <w:rsid w:val="263E08AF"/>
    <w:rsid w:val="264F6618"/>
    <w:rsid w:val="2665408D"/>
    <w:rsid w:val="268362C1"/>
    <w:rsid w:val="26D60AE7"/>
    <w:rsid w:val="271B299E"/>
    <w:rsid w:val="27AA5AD0"/>
    <w:rsid w:val="27B8643F"/>
    <w:rsid w:val="27C46B92"/>
    <w:rsid w:val="283C7070"/>
    <w:rsid w:val="28D41056"/>
    <w:rsid w:val="28F434A6"/>
    <w:rsid w:val="290520D8"/>
    <w:rsid w:val="29422464"/>
    <w:rsid w:val="29FF65A7"/>
    <w:rsid w:val="2A225DF1"/>
    <w:rsid w:val="2A8820F8"/>
    <w:rsid w:val="2AEA7213"/>
    <w:rsid w:val="2AEB24EE"/>
    <w:rsid w:val="2BDB5197"/>
    <w:rsid w:val="2C136339"/>
    <w:rsid w:val="2C9C00DD"/>
    <w:rsid w:val="2CF27769"/>
    <w:rsid w:val="2CFF5994"/>
    <w:rsid w:val="2DEA4E78"/>
    <w:rsid w:val="2DEC0BF0"/>
    <w:rsid w:val="2E310CF9"/>
    <w:rsid w:val="2E821554"/>
    <w:rsid w:val="2EB536D8"/>
    <w:rsid w:val="2ED2428A"/>
    <w:rsid w:val="2F0D7070"/>
    <w:rsid w:val="2F0E4B96"/>
    <w:rsid w:val="2F1877C3"/>
    <w:rsid w:val="303411DC"/>
    <w:rsid w:val="307F5D4C"/>
    <w:rsid w:val="31BC6B2B"/>
    <w:rsid w:val="31D67EB0"/>
    <w:rsid w:val="32250B75"/>
    <w:rsid w:val="32DA370D"/>
    <w:rsid w:val="32E77BD8"/>
    <w:rsid w:val="33136E97"/>
    <w:rsid w:val="33686F2F"/>
    <w:rsid w:val="347C3F2B"/>
    <w:rsid w:val="34AE4E51"/>
    <w:rsid w:val="34CE0787"/>
    <w:rsid w:val="352E5F92"/>
    <w:rsid w:val="35944047"/>
    <w:rsid w:val="359559D7"/>
    <w:rsid w:val="35D07049"/>
    <w:rsid w:val="36323860"/>
    <w:rsid w:val="365D6B2F"/>
    <w:rsid w:val="368340BC"/>
    <w:rsid w:val="371D1E1A"/>
    <w:rsid w:val="37D42E21"/>
    <w:rsid w:val="37DB1BF5"/>
    <w:rsid w:val="3802063D"/>
    <w:rsid w:val="38BB5D8F"/>
    <w:rsid w:val="38BE762D"/>
    <w:rsid w:val="38DE55D9"/>
    <w:rsid w:val="39BE0C04"/>
    <w:rsid w:val="3A797CAF"/>
    <w:rsid w:val="3ADE5D64"/>
    <w:rsid w:val="3AEC222F"/>
    <w:rsid w:val="3AF410E4"/>
    <w:rsid w:val="3B07350D"/>
    <w:rsid w:val="3C37397E"/>
    <w:rsid w:val="3C3A6FCB"/>
    <w:rsid w:val="3CA60B04"/>
    <w:rsid w:val="3CC179FF"/>
    <w:rsid w:val="3CE60F00"/>
    <w:rsid w:val="3E467EA9"/>
    <w:rsid w:val="3E7A4524"/>
    <w:rsid w:val="3EA03A5D"/>
    <w:rsid w:val="3F0264C5"/>
    <w:rsid w:val="406B3BF6"/>
    <w:rsid w:val="40A70D13"/>
    <w:rsid w:val="411B561D"/>
    <w:rsid w:val="418A09F4"/>
    <w:rsid w:val="4269060A"/>
    <w:rsid w:val="428B1739"/>
    <w:rsid w:val="42F851B8"/>
    <w:rsid w:val="43BD0C0D"/>
    <w:rsid w:val="44240C8C"/>
    <w:rsid w:val="448B0D0B"/>
    <w:rsid w:val="44A21BB1"/>
    <w:rsid w:val="455530C7"/>
    <w:rsid w:val="4723522B"/>
    <w:rsid w:val="475A5FE3"/>
    <w:rsid w:val="47A10846"/>
    <w:rsid w:val="487B1097"/>
    <w:rsid w:val="487E46E3"/>
    <w:rsid w:val="48DC7D87"/>
    <w:rsid w:val="494B6CBB"/>
    <w:rsid w:val="497F6965"/>
    <w:rsid w:val="4A0A4F59"/>
    <w:rsid w:val="4A174A8F"/>
    <w:rsid w:val="4A3414FD"/>
    <w:rsid w:val="4A3961AC"/>
    <w:rsid w:val="4A99652F"/>
    <w:rsid w:val="4AB443EC"/>
    <w:rsid w:val="4AD86409"/>
    <w:rsid w:val="4B315A3D"/>
    <w:rsid w:val="4BA426B2"/>
    <w:rsid w:val="4C0D3FFB"/>
    <w:rsid w:val="4D094EC3"/>
    <w:rsid w:val="4DBA7F6B"/>
    <w:rsid w:val="4DEA4CF4"/>
    <w:rsid w:val="4E3F66C2"/>
    <w:rsid w:val="4EC866B8"/>
    <w:rsid w:val="4EFB4CDF"/>
    <w:rsid w:val="4F22226C"/>
    <w:rsid w:val="4FC32A8F"/>
    <w:rsid w:val="502618E8"/>
    <w:rsid w:val="50591CBD"/>
    <w:rsid w:val="50BA005B"/>
    <w:rsid w:val="50DB0924"/>
    <w:rsid w:val="51316796"/>
    <w:rsid w:val="51BD6537"/>
    <w:rsid w:val="52623FB6"/>
    <w:rsid w:val="52896FF7"/>
    <w:rsid w:val="52972F71"/>
    <w:rsid w:val="534F31D7"/>
    <w:rsid w:val="538A6ABE"/>
    <w:rsid w:val="538D4C97"/>
    <w:rsid w:val="541C78C1"/>
    <w:rsid w:val="550A7A2A"/>
    <w:rsid w:val="558C043F"/>
    <w:rsid w:val="55DF2C65"/>
    <w:rsid w:val="56064695"/>
    <w:rsid w:val="563B1BAA"/>
    <w:rsid w:val="56637DF2"/>
    <w:rsid w:val="56777AE0"/>
    <w:rsid w:val="57167B89"/>
    <w:rsid w:val="572B0584"/>
    <w:rsid w:val="57AD436E"/>
    <w:rsid w:val="58393655"/>
    <w:rsid w:val="5866766D"/>
    <w:rsid w:val="59AD6BD6"/>
    <w:rsid w:val="59B47F65"/>
    <w:rsid w:val="59C52172"/>
    <w:rsid w:val="59E940B2"/>
    <w:rsid w:val="5A2A6479"/>
    <w:rsid w:val="5A3B0686"/>
    <w:rsid w:val="5A5A6D5E"/>
    <w:rsid w:val="5A8D4B2E"/>
    <w:rsid w:val="5B04316E"/>
    <w:rsid w:val="5C2F421A"/>
    <w:rsid w:val="5C732614"/>
    <w:rsid w:val="5CB0535B"/>
    <w:rsid w:val="5CBC3271"/>
    <w:rsid w:val="5D081E82"/>
    <w:rsid w:val="5D1C319C"/>
    <w:rsid w:val="5D211DB5"/>
    <w:rsid w:val="5DAD3649"/>
    <w:rsid w:val="5DFD637E"/>
    <w:rsid w:val="5E341674"/>
    <w:rsid w:val="5F8B79B9"/>
    <w:rsid w:val="6138147B"/>
    <w:rsid w:val="6155202D"/>
    <w:rsid w:val="619C7C5C"/>
    <w:rsid w:val="61AF4C4A"/>
    <w:rsid w:val="61C3343B"/>
    <w:rsid w:val="622A5268"/>
    <w:rsid w:val="62982EC7"/>
    <w:rsid w:val="63171ABB"/>
    <w:rsid w:val="63275C4B"/>
    <w:rsid w:val="63343EC4"/>
    <w:rsid w:val="6361115D"/>
    <w:rsid w:val="63EE0517"/>
    <w:rsid w:val="642108EC"/>
    <w:rsid w:val="646023AE"/>
    <w:rsid w:val="654A0B5E"/>
    <w:rsid w:val="65660CAD"/>
    <w:rsid w:val="65FC516D"/>
    <w:rsid w:val="660C7EBD"/>
    <w:rsid w:val="66154481"/>
    <w:rsid w:val="663E5786"/>
    <w:rsid w:val="66763171"/>
    <w:rsid w:val="669C06FE"/>
    <w:rsid w:val="67393D61"/>
    <w:rsid w:val="67CB129B"/>
    <w:rsid w:val="68324E76"/>
    <w:rsid w:val="68833924"/>
    <w:rsid w:val="68B7537B"/>
    <w:rsid w:val="68FE539B"/>
    <w:rsid w:val="69036813"/>
    <w:rsid w:val="6974326C"/>
    <w:rsid w:val="69913E1E"/>
    <w:rsid w:val="699D27C3"/>
    <w:rsid w:val="6A7F011B"/>
    <w:rsid w:val="6A9C2A7B"/>
    <w:rsid w:val="6AAC5C88"/>
    <w:rsid w:val="6B4A616F"/>
    <w:rsid w:val="6B5C220A"/>
    <w:rsid w:val="6B916358"/>
    <w:rsid w:val="6BA22313"/>
    <w:rsid w:val="6C327132"/>
    <w:rsid w:val="6C4B4B3C"/>
    <w:rsid w:val="6CC85DA9"/>
    <w:rsid w:val="6DB12B4C"/>
    <w:rsid w:val="6DD15131"/>
    <w:rsid w:val="6E1A0886"/>
    <w:rsid w:val="6E6C6C08"/>
    <w:rsid w:val="6E9E14B7"/>
    <w:rsid w:val="6EA63EC8"/>
    <w:rsid w:val="6ED50C51"/>
    <w:rsid w:val="6F046E40"/>
    <w:rsid w:val="6FA523D2"/>
    <w:rsid w:val="6FA63AB6"/>
    <w:rsid w:val="6FAA3E8C"/>
    <w:rsid w:val="70BC5C25"/>
    <w:rsid w:val="70BD7BEF"/>
    <w:rsid w:val="7160340E"/>
    <w:rsid w:val="717958C4"/>
    <w:rsid w:val="728B4E57"/>
    <w:rsid w:val="72CA214F"/>
    <w:rsid w:val="731F249B"/>
    <w:rsid w:val="73625832"/>
    <w:rsid w:val="73C372CA"/>
    <w:rsid w:val="73D43285"/>
    <w:rsid w:val="740022CC"/>
    <w:rsid w:val="7444742D"/>
    <w:rsid w:val="747D1B6F"/>
    <w:rsid w:val="748E78D8"/>
    <w:rsid w:val="75022074"/>
    <w:rsid w:val="75587EE6"/>
    <w:rsid w:val="755A0D1F"/>
    <w:rsid w:val="75B01893"/>
    <w:rsid w:val="75B06567"/>
    <w:rsid w:val="762C55FB"/>
    <w:rsid w:val="76B40C43"/>
    <w:rsid w:val="76FB6D7B"/>
    <w:rsid w:val="77514BED"/>
    <w:rsid w:val="77617526"/>
    <w:rsid w:val="777A3AF4"/>
    <w:rsid w:val="77B04009"/>
    <w:rsid w:val="78D635FC"/>
    <w:rsid w:val="78EE4DE9"/>
    <w:rsid w:val="7916483D"/>
    <w:rsid w:val="79183C14"/>
    <w:rsid w:val="791F31F5"/>
    <w:rsid w:val="79CB0C87"/>
    <w:rsid w:val="79E47F9A"/>
    <w:rsid w:val="79F301DD"/>
    <w:rsid w:val="7A460C55"/>
    <w:rsid w:val="7B0643C9"/>
    <w:rsid w:val="7B0A57DF"/>
    <w:rsid w:val="7B385575"/>
    <w:rsid w:val="7BC57958"/>
    <w:rsid w:val="7C2A25D8"/>
    <w:rsid w:val="7E483361"/>
    <w:rsid w:val="7E5E656D"/>
    <w:rsid w:val="7E790340"/>
    <w:rsid w:val="7E9E4BBC"/>
    <w:rsid w:val="7ED00AED"/>
    <w:rsid w:val="7F0361DD"/>
    <w:rsid w:val="7F3D5108"/>
    <w:rsid w:val="7F58120E"/>
    <w:rsid w:val="7F6776A3"/>
    <w:rsid w:val="7F763505"/>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4752</Words>
  <Characters>5205</Characters>
  <Lines>0</Lines>
  <Paragraphs>0</Paragraphs>
  <TotalTime>0</TotalTime>
  <ScaleCrop>false</ScaleCrop>
  <LinksUpToDate>false</LinksUpToDate>
  <CharactersWithSpaces>5564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2025-12-19T06:54:27Z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