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3F9C">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243B9055">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LCCQJJ20251222</w:t>
      </w:r>
      <w:r>
        <w:rPr>
          <w:rFonts w:hint="eastAsia" w:ascii="宋体" w:hAnsi="宋体" w:eastAsia="宋体" w:cs="宋体"/>
          <w:b/>
          <w:bCs/>
          <w:color w:val="000000"/>
          <w:kern w:val="0"/>
          <w:sz w:val="28"/>
          <w:szCs w:val="28"/>
          <w:shd w:val="clear" w:color="auto" w:fill="FFFFFF"/>
        </w:rPr>
        <w:t>）</w:t>
      </w:r>
    </w:p>
    <w:p w14:paraId="4829AA5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2A7EAB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51B2F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4E1DB2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2025年12月22日上午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14:paraId="748F7D3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E0AA7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2025年12月22日上午</w:t>
      </w:r>
      <w:r>
        <w:rPr>
          <w:rFonts w:hint="eastAsia" w:ascii="宋体" w:hAnsi="宋体" w:cs="宋体"/>
          <w:color w:val="auto"/>
          <w:sz w:val="28"/>
          <w:szCs w:val="28"/>
          <w:lang w:val="en-US" w:eastAsia="zh-CN"/>
        </w:rPr>
        <w:t>10:00止。</w:t>
      </w:r>
    </w:p>
    <w:p w14:paraId="044D068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23D2259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14:paraId="01CBCB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14:paraId="537F7FF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9B65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豸龙大酒店停车场充电桩采购及安装项目</w:t>
      </w:r>
      <w:r>
        <w:rPr>
          <w:rFonts w:hint="eastAsia" w:ascii="宋体" w:hAnsi="宋体" w:eastAsia="宋体" w:cs="宋体"/>
          <w:b w:val="0"/>
          <w:bCs w:val="0"/>
          <w:color w:val="auto"/>
          <w:sz w:val="28"/>
          <w:szCs w:val="28"/>
          <w:lang w:val="en-US" w:eastAsia="zh-CN"/>
        </w:rPr>
        <w:t>。</w:t>
      </w:r>
    </w:p>
    <w:p w14:paraId="691CA8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917"/>
        <w:gridCol w:w="7337"/>
        <w:gridCol w:w="636"/>
        <w:gridCol w:w="528"/>
      </w:tblGrid>
      <w:tr w14:paraId="5BB8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CBE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38C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A3C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A9C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243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14:paraId="6AA4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03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18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7KW单枪交流充电桩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50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1.系统输入：1）输入电压：220VAC±15%；2）工作频率：50/60Hz；</w:t>
            </w:r>
          </w:p>
          <w:p w14:paraId="4CA3D9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2.系统输出：1）输出电压：220VAC±15%；2）输出电流：32A；</w:t>
            </w:r>
          </w:p>
          <w:p w14:paraId="735FBC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3.充电功能：1）充电对象：车载充电机；2）充电方式：刷卡，扫码；3）充电选项：按金额、电量自动充满等方式；</w:t>
            </w:r>
          </w:p>
          <w:p w14:paraId="39306F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4.通讯功能：通讯接口：4G模块；</w:t>
            </w:r>
          </w:p>
          <w:p w14:paraId="129B8B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5.保护功能：1）自动限流特性：输出电流超过输出限流设定值时，恒流输出，输出电流不会增大；2）输出过压保护：输出电压超过最大设定值自动停止输出，以防损坏设备；</w:t>
            </w:r>
          </w:p>
          <w:p w14:paraId="215F21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设备功能：1）身份识别：读取IC卡信息，识别用户身份及相关信息；2）小程序运用：实现查找、导航、充电、监控、移动支付等功能；3）数据管理：保护管理数据的完整，提供查询、拷贝、删除等功能；4）系统配置：管理员进行系统配置，实现不同充电装置的相关设置；5）远程监控：接受远程监控主机的命令，传送数据信息，执行控制指令；6）防护等级：IP54；7）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0E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A8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14:paraId="7071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C3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0D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120KW双枪直流充电桩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6C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1.系统输入：1）输入电压380VAC±15%；2）工作频率50HZ±10%；3）功率因素：&gt;0.99；</w:t>
            </w:r>
          </w:p>
          <w:p w14:paraId="47EB34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2.系统输出：1）输出电压1000VDC；2）输出电流：最大250A；3）满载效率：&gt; 100%；4）稳流精度：≤±1%；5）稳压精度：≤±0.5%；6）纹波系数：≤±0.5%；</w:t>
            </w:r>
          </w:p>
          <w:p w14:paraId="7EE752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3.充电功能：1）充电对象：车载动力电池；2）充电方式：快充；3）充电选项：按金额、电量自动充满等方式；4）辅助电源：12V供电；</w:t>
            </w:r>
          </w:p>
          <w:p w14:paraId="7DC3BF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4.通讯功能：通讯接口：以太网接口/4G；</w:t>
            </w:r>
          </w:p>
          <w:p w14:paraId="78B6B6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功率输出；2）输出短路保护：输出短路时，模块自行保护，以防损坏，排除故障可自动恢复工作；3）输出过压保护：输出电压超过最大设定值自动停止输出，以防损坏设备；</w:t>
            </w:r>
          </w:p>
          <w:p w14:paraId="56F503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设备功能：1）界面显示：显示提示信息，用户IC卡信息，充电监控计费信息；2）身份识别：读取IC卡信息，识别用户身份及相关信息；3）管理电能表：与电能表通信，获取充电电量信息；4）IC卡费用收取：收取充电费用，进行卡内余额扣除操作；5）小程序运用：实现查找、导航、充电、监控、移动支付等功能；6）数据管理：保护管理数据的完整，提供查询、拷贝、删除等功能；7）系统配置：管理员进行系统配置，实现不同充电装置的相关设置；8）远程监控：接受远程监控主机的命令，传送数据信息，执行控制指令；9）充电操作：提供操作按钮，用于用户充电操作和管理员操作管理；</w:t>
            </w:r>
          </w:p>
          <w:p w14:paraId="7B7BB8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7.机柜参数（尺寸mm）：1）防护等级：IP54；2）冷却方式：强迫风冷；3）工作温度：零下20℃—50℃；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6C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CF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14:paraId="21DE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F7C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8E2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sz w:val="28"/>
                <w:szCs w:val="28"/>
                <w:lang w:val="en-US" w:eastAsia="zh-CN"/>
              </w:rPr>
              <w:t>96253</w:t>
            </w:r>
            <w:r>
              <w:rPr>
                <w:rFonts w:hint="eastAsia" w:ascii="宋体" w:hAnsi="宋体" w:eastAsia="宋体" w:cs="宋体"/>
                <w:sz w:val="28"/>
                <w:szCs w:val="28"/>
                <w:lang w:val="en-US" w:eastAsia="zh-CN"/>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20F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181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3D9DD1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96253</w:t>
      </w:r>
      <w:r>
        <w:rPr>
          <w:rFonts w:hint="eastAsia" w:ascii="宋体" w:hAnsi="宋体" w:eastAsia="宋体" w:cs="宋体"/>
          <w:b w:val="0"/>
          <w:bCs w:val="0"/>
          <w:color w:val="0000FF"/>
          <w:sz w:val="28"/>
          <w:szCs w:val="28"/>
          <w:lang w:val="en-US" w:eastAsia="zh-CN"/>
        </w:rPr>
        <w:t>元</w:t>
      </w:r>
      <w:r>
        <w:rPr>
          <w:rFonts w:hint="eastAsia" w:ascii="宋体" w:hAnsi="宋体" w:cs="宋体"/>
          <w:color w:val="0000FF"/>
          <w:sz w:val="28"/>
          <w:szCs w:val="28"/>
          <w:lang w:val="en-US" w:eastAsia="zh-CN"/>
        </w:rPr>
        <w:t>。</w:t>
      </w:r>
    </w:p>
    <w:p w14:paraId="432CEC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14:paraId="3FC534A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14:paraId="25CEFE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（1）供货期：合同签订后</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5日内完成供货、安装并经委托人验收合格（若因委托人原因造成安装及验收延期的，安装及验收期限做相应顺延）。</w:t>
      </w:r>
    </w:p>
    <w:p w14:paraId="6F8A9A3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14:paraId="76BA39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14:paraId="1D5C9E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14:paraId="1725CC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14:paraId="259D569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14:paraId="3EA587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（4）自项目验收合格之日起，成交人须提供不低于18个月的免费质保期。</w:t>
      </w:r>
    </w:p>
    <w:p w14:paraId="010756F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14:paraId="2B3AAF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5.1建立、健全安全检查制度，安装过程中须定期和不定期的对施工现场进行安全检查,及时发现和消除事故隐患，提供安全防护措施，确保安全生产。</w:t>
      </w:r>
    </w:p>
    <w:p w14:paraId="02F12E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5.2成交人应时刻关注和采取适当措施保障所有在场工作人员的安全，保证工程安装过程中的施工安全，现场施工应当保持有条不紊。</w:t>
      </w:r>
    </w:p>
    <w:p w14:paraId="1F1AB9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5.3负责已完工部分工程的保护工作，并做好防雷电、防火等的安全防护工作。</w:t>
      </w:r>
    </w:p>
    <w:p w14:paraId="75E2BA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5.4施工前，应先征得委托人同意。安装期间，严禁非操作人员入内。</w:t>
      </w:r>
    </w:p>
    <w:p w14:paraId="1BB49A4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5.5成交人必须严格执行相关的施工工艺规范及相关规定。</w:t>
      </w:r>
    </w:p>
    <w:p w14:paraId="03E9723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05E38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E0BF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14:paraId="08F3BC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3.竞价人须同时具备①有效的不低于</w:t>
      </w:r>
      <w:bookmarkStart w:id="0" w:name="EB35162da5f9ed4922a2a9a951b5332b7f"/>
      <w:r>
        <w:rPr>
          <w:rFonts w:hint="eastAsia" w:ascii="宋体" w:hAnsi="宋体" w:cs="宋体"/>
          <w:color w:val="0000FF"/>
          <w:sz w:val="28"/>
          <w:szCs w:val="28"/>
          <w:highlight w:val="none"/>
          <w:lang w:val="en-US" w:eastAsia="zh-CN"/>
        </w:rPr>
        <w:t>三</w:t>
      </w:r>
      <w:bookmarkEnd w:id="0"/>
      <w:r>
        <w:rPr>
          <w:rFonts w:hint="eastAsia" w:ascii="宋体" w:hAnsi="宋体" w:cs="宋体"/>
          <w:color w:val="0000FF"/>
          <w:sz w:val="28"/>
          <w:szCs w:val="28"/>
          <w:highlight w:val="none"/>
          <w:lang w:val="en-US" w:eastAsia="zh-CN"/>
        </w:rPr>
        <w:t>级</w:t>
      </w:r>
      <w:bookmarkStart w:id="1" w:name="EB2e2bdf355c89433f9bb145e16070e3cb"/>
      <w:r>
        <w:rPr>
          <w:rFonts w:hint="eastAsia" w:ascii="宋体" w:hAnsi="宋体" w:cs="宋体"/>
          <w:color w:val="0000FF"/>
          <w:sz w:val="28"/>
          <w:szCs w:val="28"/>
          <w:highlight w:val="none"/>
          <w:lang w:val="en-US" w:eastAsia="zh-CN"/>
        </w:rPr>
        <w:t>电力工程总承包资质或不低于三级输变电工程专业承包资质，并提供有效的资质证书复印件；②具备国家能源局电力监管机构颁发的《承装（修、试）电力设施许可证》（具备有效的不低于三级的承装、承修、承试类资质），并提供有效的资质证书复印件；</w:t>
      </w:r>
      <w:bookmarkEnd w:id="1"/>
      <w:r>
        <w:rPr>
          <w:rFonts w:hint="eastAsia" w:ascii="宋体" w:hAnsi="宋体" w:cs="宋体"/>
          <w:color w:val="0000FF"/>
          <w:sz w:val="28"/>
          <w:szCs w:val="28"/>
          <w:highlight w:val="none"/>
          <w:lang w:val="en-US" w:eastAsia="zh-CN"/>
        </w:rPr>
        <w:t>③具备建设行政主管部门核发的有效的《施工企业安全生产许可证》，并提供有效的证书复印件。</w:t>
      </w:r>
    </w:p>
    <w:p w14:paraId="54A4B7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highlight w:val="yellow"/>
          <w:lang w:val="en-US" w:eastAsia="zh-CN"/>
        </w:rPr>
      </w:pPr>
      <w:r>
        <w:rPr>
          <w:rFonts w:hint="eastAsia" w:ascii="宋体" w:hAnsi="宋体" w:cs="宋体"/>
          <w:color w:val="0000FF"/>
          <w:sz w:val="28"/>
          <w:szCs w:val="28"/>
          <w:highlight w:val="none"/>
          <w:lang w:val="en-US" w:eastAsia="zh-CN"/>
        </w:rPr>
        <w:t>4.自2023年1月1日（时间以合同签订时间为准）起，竞价人独立完成过不少于1例类似项目业绩。</w:t>
      </w:r>
    </w:p>
    <w:p w14:paraId="17423E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4FF348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CBD16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22</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07B5F3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3B9256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232F9DC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62BE499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40586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6B8EC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14:paraId="24369A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14:paraId="266B0B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14:paraId="68B83B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14:paraId="1220F4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14:paraId="77E2C4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6）须同时具备①有效的不低于三级电力工程总承包资质或不低于三级输变电工程专业承包资质，并提供有效的资质证书复印件；②具备国家能源局电力监管机构颁发的《承装（修、试）电力设施许可证》（具备有效的不低于三级的承装、承修、承试类资质），并提供有效的资质证书复印件；③具备建设行政主管部门核发的有效的《施工企业安全生产许可证》，并提供有效的证书复印件。</w:t>
      </w:r>
    </w:p>
    <w:p w14:paraId="310F67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（7）自2023年1月1日（时间以合同签订时间为准）起，不少于1例类似项目业绩证明材料，须提供合同复印件。</w:t>
      </w:r>
    </w:p>
    <w:p w14:paraId="5363348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（8）分项报价表。</w:t>
      </w:r>
    </w:p>
    <w:tbl>
      <w:tblPr>
        <w:tblStyle w:val="11"/>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14:paraId="60A7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vAlign w:val="center"/>
          </w:tcPr>
          <w:p w14:paraId="734C4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bookmarkStart w:id="2" w:name="_GoBack"/>
            <w:r>
              <w:rPr>
                <w:rFonts w:hint="eastAsia" w:ascii="宋体" w:hAnsi="宋体" w:eastAsia="宋体" w:cs="宋体"/>
                <w:color w:val="0000FF"/>
                <w:sz w:val="28"/>
                <w:szCs w:val="28"/>
                <w:lang w:val="en-US" w:eastAsia="zh-CN"/>
              </w:rPr>
              <w:t>序号</w:t>
            </w:r>
          </w:p>
        </w:tc>
        <w:tc>
          <w:tcPr>
            <w:tcW w:w="2655" w:type="dxa"/>
            <w:vAlign w:val="center"/>
          </w:tcPr>
          <w:p w14:paraId="3BA2BC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货物名称</w:t>
            </w:r>
          </w:p>
        </w:tc>
        <w:tc>
          <w:tcPr>
            <w:tcW w:w="2010" w:type="dxa"/>
            <w:vAlign w:val="center"/>
          </w:tcPr>
          <w:p w14:paraId="6F57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品牌和型号</w:t>
            </w:r>
          </w:p>
        </w:tc>
        <w:tc>
          <w:tcPr>
            <w:tcW w:w="1380" w:type="dxa"/>
            <w:vAlign w:val="center"/>
          </w:tcPr>
          <w:p w14:paraId="742F4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vAlign w:val="center"/>
          </w:tcPr>
          <w:p w14:paraId="244D8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vAlign w:val="center"/>
          </w:tcPr>
          <w:p w14:paraId="3BE64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14:paraId="376B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14:paraId="7EAA28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vAlign w:val="center"/>
          </w:tcPr>
          <w:p w14:paraId="51DF754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7KW单枪交流充电桩</w:t>
            </w:r>
          </w:p>
        </w:tc>
        <w:tc>
          <w:tcPr>
            <w:tcW w:w="2010" w:type="dxa"/>
            <w:vAlign w:val="center"/>
          </w:tcPr>
          <w:p w14:paraId="4B7075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14:paraId="50A024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14:paraId="27B80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14:paraId="30A6AE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14:paraId="5B26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3" w:type="dxa"/>
            <w:vAlign w:val="center"/>
          </w:tcPr>
          <w:p w14:paraId="53966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vAlign w:val="center"/>
          </w:tcPr>
          <w:p w14:paraId="244D7A2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120KW双枪直流充电桩</w:t>
            </w:r>
          </w:p>
        </w:tc>
        <w:tc>
          <w:tcPr>
            <w:tcW w:w="2010" w:type="dxa"/>
            <w:vAlign w:val="center"/>
          </w:tcPr>
          <w:p w14:paraId="2F8E90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14:paraId="4E2790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14:paraId="6DE79E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14:paraId="397E1C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14:paraId="58F8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vAlign w:val="center"/>
          </w:tcPr>
          <w:p w14:paraId="27482B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6527" w:type="dxa"/>
            <w:gridSpan w:val="4"/>
            <w:vAlign w:val="center"/>
          </w:tcPr>
          <w:p w14:paraId="636EFC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bookmarkEnd w:id="2"/>
    </w:tbl>
    <w:p w14:paraId="136AD5C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14:paraId="48E8F4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4BF74E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70F2245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0A83A0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752AE7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249D98F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7154585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198CA3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14:paraId="481893D3">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B0B2B3A">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79006C51">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31B7277E">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F6C6855">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7A14C3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27D761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0C1B4B3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14:paraId="64E017C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7F319E8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7120F3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本项目合同价款按3期支付，（1）所有货物供货、安装调试完毕后且提供相关票据的，支付合同总价款的50%；（2）所有货物经委托人验收合格后且提供相关票据的，支付合同总价款的45%；（3）免费质保期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14:paraId="69C3E26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1E62988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165F5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E27DCB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657A81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C15495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749F61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28C52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5F7412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14:paraId="1368A80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07299F7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743F275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02BB90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397447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5526CE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6AAC1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370327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16</w:t>
      </w:r>
      <w:r>
        <w:rPr>
          <w:rFonts w:hint="eastAsia" w:ascii="宋体" w:hAnsi="宋体" w:eastAsia="宋体" w:cs="宋体"/>
          <w:color w:val="0000FF"/>
          <w:sz w:val="28"/>
          <w:szCs w:val="28"/>
          <w:lang w:val="en-US" w:eastAsia="zh-CN"/>
        </w:rPr>
        <w:t>日</w:t>
      </w:r>
    </w:p>
    <w:p w14:paraId="3E3F763C">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3323A97F">
      <w:pPr>
        <w:pStyle w:val="5"/>
        <w:rPr>
          <w:rFonts w:hint="eastAsia" w:ascii="宋体" w:hAnsi="宋体" w:eastAsia="宋体" w:cs="宋体"/>
          <w:b/>
          <w:color w:val="000000"/>
          <w:sz w:val="28"/>
          <w:szCs w:val="28"/>
        </w:rPr>
      </w:pPr>
    </w:p>
    <w:p w14:paraId="761A0621">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14:paraId="2A1771D6">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2585A1A8">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7417C42F">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22</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豸龙大酒店停车场充电桩采购及安装项目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LCCQJJ20251222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4DFAA4A">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5D17D4D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14:paraId="12E94B9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14:paraId="4035D72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1E65C09">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7474DEFE">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D6C20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A93C">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BCFBE0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0F2686"/>
    <w:rsid w:val="08161E50"/>
    <w:rsid w:val="081C4C9C"/>
    <w:rsid w:val="0834033F"/>
    <w:rsid w:val="086E3978"/>
    <w:rsid w:val="0A564F20"/>
    <w:rsid w:val="0AEE0C79"/>
    <w:rsid w:val="0C0C7087"/>
    <w:rsid w:val="0CA830A9"/>
    <w:rsid w:val="0CDA1129"/>
    <w:rsid w:val="0D0C3638"/>
    <w:rsid w:val="0D724C37"/>
    <w:rsid w:val="0E6A79B6"/>
    <w:rsid w:val="0E8467A8"/>
    <w:rsid w:val="0F153787"/>
    <w:rsid w:val="0FB87AA7"/>
    <w:rsid w:val="0FFD42BC"/>
    <w:rsid w:val="102E33CF"/>
    <w:rsid w:val="10554859"/>
    <w:rsid w:val="108A4FA0"/>
    <w:rsid w:val="115251AE"/>
    <w:rsid w:val="128A572B"/>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404B14C2"/>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6207EF4"/>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2035</Words>
  <Characters>2267</Characters>
  <Lines>4</Lines>
  <Paragraphs>7</Paragraphs>
  <TotalTime>1</TotalTime>
  <ScaleCrop>false</ScaleCrop>
  <LinksUpToDate>false</LinksUpToDate>
  <CharactersWithSpaces>2271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2025-10-28T07:00:00Z</cp:lastPrinted>
  <dcterms:modified xsi:type="dcterms:W3CDTF">2025-12-16T07:08:25Z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