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LCCQJJ202511</w:t>
      </w:r>
      <w:r>
        <w:rPr>
          <w:rFonts w:hint="eastAsia" w:ascii="宋体" w:hAnsi="宋体" w:cs="宋体"/>
          <w:b/>
          <w:bCs/>
          <w:color w:val="auto"/>
          <w:kern w:val="0"/>
          <w:sz w:val="28"/>
          <w:szCs w:val="28"/>
          <w:shd w:val="clear" w:color="auto" w:fill="FFFFFF"/>
          <w:lang w:val="en-US" w:eastAsia="zh-CN"/>
        </w:rPr>
        <w:t>26</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2025年11月26日10:00止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2025年11月26日10:00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连城县人民检察院宣传片制作及软件开发项目</w:t>
      </w:r>
      <w:r>
        <w:rPr>
          <w:rFonts w:hint="eastAsia" w:ascii="宋体" w:hAnsi="宋体" w:eastAsia="宋体" w:cs="宋体"/>
          <w:b w:val="0"/>
          <w:bCs w:val="0"/>
          <w:color w:val="auto"/>
          <w:sz w:val="28"/>
          <w:szCs w:val="28"/>
          <w:lang w:val="en-US" w:eastAsia="zh-CN"/>
        </w:rPr>
        <w:t>。</w:t>
      </w:r>
    </w:p>
    <w:p w14:paraId="3EB8EAD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2.主要工作内容</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竞价人具备策划、执行经验和视频制作、宣传推广资源，在节目制作和宣传推广方面熟悉各项政策和宣传口径，以及涉及程序软件开发的工作，能够按照委托人要求，优质高效地完成组织、策划、制作、宣传推广等各项工作。</w:t>
      </w:r>
    </w:p>
    <w:p w14:paraId="1AC5600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w:t>
      </w:r>
      <w:r>
        <w:rPr>
          <w:rFonts w:hint="eastAsia" w:ascii="宋体" w:hAnsi="宋体" w:cs="宋体"/>
          <w:b w:val="0"/>
          <w:bCs w:val="0"/>
          <w:color w:val="auto"/>
          <w:sz w:val="28"/>
          <w:szCs w:val="28"/>
          <w:lang w:val="en-US" w:eastAsia="zh-CN"/>
        </w:rPr>
        <w:t>功能需求</w:t>
      </w:r>
      <w:r>
        <w:rPr>
          <w:rFonts w:hint="eastAsia" w:ascii="宋体" w:hAnsi="宋体" w:eastAsia="宋体" w:cs="宋体"/>
          <w:b w:val="0"/>
          <w:bCs w:val="0"/>
          <w:color w:val="auto"/>
          <w:sz w:val="28"/>
          <w:szCs w:val="28"/>
          <w:lang w:val="en-US" w:eastAsia="zh-CN"/>
        </w:rPr>
        <w:t>清单：</w:t>
      </w:r>
    </w:p>
    <w:tbl>
      <w:tblPr>
        <w:tblStyle w:val="13"/>
        <w:tblpPr w:leftFromText="180" w:rightFromText="180" w:vertAnchor="text" w:horzAnchor="page" w:tblpXSpec="center" w:tblpY="565"/>
        <w:tblOverlap w:val="never"/>
        <w:tblW w:w="9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848"/>
        <w:gridCol w:w="6251"/>
        <w:gridCol w:w="781"/>
        <w:gridCol w:w="788"/>
      </w:tblGrid>
      <w:tr w14:paraId="5DD0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2E6925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9D739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6251" w:type="dxa"/>
            <w:tcBorders>
              <w:top w:val="single" w:color="000000" w:sz="4" w:space="0"/>
              <w:left w:val="single" w:color="000000" w:sz="4" w:space="0"/>
              <w:bottom w:val="single" w:color="000000" w:sz="4" w:space="0"/>
              <w:right w:val="single" w:color="000000" w:sz="4" w:space="0"/>
            </w:tcBorders>
            <w:noWrap w:val="0"/>
            <w:vAlign w:val="center"/>
          </w:tcPr>
          <w:p w14:paraId="259C06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功能需求描述</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400E1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69C0D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r>
      <w:tr w14:paraId="2F4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3" w:hRule="atLeast"/>
          <w:jc w:val="center"/>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C8A3D6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9926C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宣传片制作</w:t>
            </w:r>
          </w:p>
        </w:tc>
        <w:tc>
          <w:tcPr>
            <w:tcW w:w="6251" w:type="dxa"/>
            <w:tcBorders>
              <w:top w:val="single" w:color="000000" w:sz="4" w:space="0"/>
              <w:left w:val="single" w:color="000000" w:sz="4" w:space="0"/>
              <w:bottom w:val="single" w:color="000000" w:sz="4" w:space="0"/>
              <w:right w:val="single" w:color="000000" w:sz="4" w:space="0"/>
            </w:tcBorders>
            <w:noWrap w:val="0"/>
            <w:vAlign w:val="center"/>
          </w:tcPr>
          <w:p w14:paraId="3A58CB6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1、时长不少于120秒；整体分辨率：（1920x1080)；输出帧数：30帧/秒；格式：QT无损输出、MPEG、AVI等多种流行播放格式输出选择；分辨率不低于4K；                                         </w:t>
            </w:r>
          </w:p>
          <w:p w14:paraId="66FFCCF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2、镜头设定：根据分镜脚本的每个镜头要求，制定镜头动画；                                   </w:t>
            </w:r>
          </w:p>
          <w:p w14:paraId="5E1E4EC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3、合成，包括但不仅限于特效、剪辑成品、配音、音频音效等合成；</w:t>
            </w:r>
          </w:p>
          <w:p w14:paraId="445244E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4、后期校色，达芬奇调色软件后期较色等多种方式讲解不同信号类别的联接等内容；</w:t>
            </w:r>
          </w:p>
          <w:p w14:paraId="524092F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5、后期剪辑（初剪）：把镜头按分镜脚本的顺序在剪辑软件里合成在一起                                      </w:t>
            </w:r>
          </w:p>
          <w:p w14:paraId="7FB7502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6、后期剪辑（精剪）：按照方案策划及行动脚本对最终视频素材的要求，遵循影视逻辑，展示逻辑等原则进行剪辑合成。</w:t>
            </w:r>
          </w:p>
          <w:p w14:paraId="59AB996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7、审片修改：按照方案策划及行动脚本的设定进行内部审片及修改；按照与业主进行沟通汇报，进行最终优化和修改并提交成品。</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CFBCF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56456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6D60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3" w:hRule="atLeast"/>
          <w:jc w:val="center"/>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5E26F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4E96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沉浸式影片制作</w:t>
            </w:r>
          </w:p>
        </w:tc>
        <w:tc>
          <w:tcPr>
            <w:tcW w:w="6251" w:type="dxa"/>
            <w:tcBorders>
              <w:top w:val="single" w:color="000000" w:sz="4" w:space="0"/>
              <w:left w:val="single" w:color="000000" w:sz="4" w:space="0"/>
              <w:bottom w:val="single" w:color="000000" w:sz="4" w:space="0"/>
              <w:right w:val="single" w:color="000000" w:sz="4" w:space="0"/>
            </w:tcBorders>
            <w:noWrap w:val="0"/>
            <w:vAlign w:val="center"/>
          </w:tcPr>
          <w:p w14:paraId="3DFAFB7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沉浸区三折幕影片制作</w:t>
            </w:r>
          </w:p>
          <w:p w14:paraId="415D7D8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1、时长不少于120秒；整体分辨率：（7680x1200)定做；输出帧数：30帧/秒；格式：QT无损输出、MPEG、AVI等多种流行播放格式输出选择；分辨率不低于4K；                                         </w:t>
            </w:r>
          </w:p>
          <w:p w14:paraId="6D3BEF2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2、镜头设定：根据分镜脚本的每个镜头要求，制定镜头动画；                                   </w:t>
            </w:r>
          </w:p>
          <w:p w14:paraId="3C7C4F8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3、合成，包括但不仅限于特效、剪辑成品、配音、音频音效等合成；</w:t>
            </w:r>
          </w:p>
          <w:p w14:paraId="0128ED7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4、后期校色，达芬奇调色软件后期较色等多种方式讲解不同信号类别的联接等内容；</w:t>
            </w:r>
          </w:p>
          <w:p w14:paraId="55C23EA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5、后期剪辑（初剪）：把镜头按分镜脚本的顺序在剪辑软件里合成在一起；                                   </w:t>
            </w:r>
          </w:p>
          <w:p w14:paraId="2F55558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6、后期剪辑（精剪）：按照方案策划及行动脚本对最终视频素材的要求，遵循影视逻辑，展示逻辑等原则进行剪辑合成；</w:t>
            </w:r>
          </w:p>
          <w:p w14:paraId="07017EF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7、审片修改：按照方案策划及行动脚本的设定进行内部审片及修改；按照与业主进行沟通汇报，进行最终优化和修改并提交成品。</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C46E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182E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10A3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6" w:hRule="atLeast"/>
          <w:jc w:val="center"/>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682D8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45DA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5D情景互动程序</w:t>
            </w:r>
          </w:p>
        </w:tc>
        <w:tc>
          <w:tcPr>
            <w:tcW w:w="6251" w:type="dxa"/>
            <w:tcBorders>
              <w:top w:val="single" w:color="000000" w:sz="4" w:space="0"/>
              <w:left w:val="single" w:color="000000" w:sz="4" w:space="0"/>
              <w:bottom w:val="single" w:color="000000" w:sz="4" w:space="0"/>
              <w:right w:val="single" w:color="000000" w:sz="4" w:space="0"/>
            </w:tcBorders>
            <w:noWrap w:val="0"/>
            <w:vAlign w:val="center"/>
          </w:tcPr>
          <w:p w14:paraId="70A4575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制作《客家祖训与法治》题材为交互形式以：图文美化、特效、视频剪辑、包装，对于素材与公共素材的整理与二次处理，包含文字，图片，视频； 收集购买素材。UI界面深度定制，主页面设计、分级页面设计，分层图文内容制作、图形设计，文本输入、页面内容调整、优化。</w:t>
            </w:r>
          </w:p>
          <w:p w14:paraId="6C729FF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1.首页UI界面与集成的展示页面设计为动态效果展示.</w:t>
            </w:r>
          </w:p>
          <w:p w14:paraId="1492270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2.素材的剪辑、包装、音乐、合成、输出。</w:t>
            </w:r>
          </w:p>
          <w:p w14:paraId="0CA4F52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3.电视台、网络公共素材的版权购买；</w:t>
            </w:r>
          </w:p>
          <w:p w14:paraId="674F2EB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4.影片粗剪辑，镜头调色，影片精剪辑，AE合成，动画渲染，音效，配播合成，超高清输出，编码压制。</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D1AF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0A0B6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6619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jc w:val="center"/>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1C1E1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ACE4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互动答题程序</w:t>
            </w:r>
          </w:p>
        </w:tc>
        <w:tc>
          <w:tcPr>
            <w:tcW w:w="6251" w:type="dxa"/>
            <w:tcBorders>
              <w:top w:val="single" w:color="000000" w:sz="4" w:space="0"/>
              <w:left w:val="single" w:color="000000" w:sz="4" w:space="0"/>
              <w:bottom w:val="single" w:color="000000" w:sz="4" w:space="0"/>
              <w:right w:val="single" w:color="000000" w:sz="4" w:space="0"/>
            </w:tcBorders>
            <w:noWrap w:val="0"/>
            <w:vAlign w:val="center"/>
          </w:tcPr>
          <w:p w14:paraId="2C5FCB7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制作《预防犯罪 知识竞赛》互动答题软件，支持判断题，单选题，多选题。用户进入答题，每小题的分数显示，并记录最终成绩。</w:t>
            </w:r>
          </w:p>
          <w:p w14:paraId="72840AA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收集素材。UI界面深度定制，主页面设计、分级页面设计，分层图文内容制作、图形设计，文本输入、页面内容调整、优化。互动调用播放程序制作编写，需求对接、资料收集、整体展示风格设计，交互逻辑设计、交互原型、交互规范、测试。</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2D51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379B5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1C44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8" w:hRule="atLeast"/>
          <w:jc w:val="center"/>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66499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BDBD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AI数字人程序</w:t>
            </w:r>
          </w:p>
        </w:tc>
        <w:tc>
          <w:tcPr>
            <w:tcW w:w="6251" w:type="dxa"/>
            <w:tcBorders>
              <w:top w:val="single" w:color="000000" w:sz="4" w:space="0"/>
              <w:left w:val="single" w:color="000000" w:sz="4" w:space="0"/>
              <w:bottom w:val="single" w:color="000000" w:sz="4" w:space="0"/>
              <w:right w:val="single" w:color="000000" w:sz="4" w:space="0"/>
            </w:tcBorders>
            <w:noWrap w:val="0"/>
            <w:vAlign w:val="center"/>
          </w:tcPr>
          <w:p w14:paraId="502360F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制作《安全自我防护AI数字人》问答系统，AI知识库编辑（法律基础概念、青少年权利与义务、预防违法犯罪、安全与自我保护）。UI界面深度定制，主页面设计、分级页面设计，分层图文内容制作、图形设计，文本输入、页面内容调整、优化。互动调用播放程序制作编写，需求对接、资料收集、整体展示风格设计，交互逻辑设计、交互原型、交互规范、测试。</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08C8E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4C2C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1B1C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590" w:type="dxa"/>
            <w:tcBorders>
              <w:top w:val="single" w:color="000000" w:sz="4" w:space="0"/>
              <w:left w:val="single" w:color="000000" w:sz="4" w:space="0"/>
              <w:bottom w:val="single" w:color="000000" w:sz="4" w:space="0"/>
              <w:right w:val="single" w:color="000000" w:sz="4" w:space="0"/>
            </w:tcBorders>
            <w:noWrap w:val="0"/>
            <w:vAlign w:val="center"/>
          </w:tcPr>
          <w:p w14:paraId="69736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4045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触控互动程序</w:t>
            </w:r>
          </w:p>
        </w:tc>
        <w:tc>
          <w:tcPr>
            <w:tcW w:w="6251" w:type="dxa"/>
            <w:tcBorders>
              <w:top w:val="single" w:color="000000" w:sz="4" w:space="0"/>
              <w:left w:val="single" w:color="000000" w:sz="4" w:space="0"/>
              <w:bottom w:val="single" w:color="000000" w:sz="4" w:space="0"/>
              <w:right w:val="single" w:color="000000" w:sz="4" w:space="0"/>
            </w:tcBorders>
            <w:noWrap w:val="0"/>
            <w:vAlign w:val="center"/>
          </w:tcPr>
          <w:p w14:paraId="356D82A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制作《以案说法》触控程序与甲供案例素材和公共素材的剪辑、包装、音乐、合成、输出。UI界面深度定制，主页面设计、分级页面设计，分层图文内容制作、图形设计，文本输入、页面内容调整、优化。互动调用播放程序制作编写，需求对接、资料收集、整体展示风格设计，交互逻辑设计、交互原型、交互规范、测试。</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5285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91E17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018D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6" w:hRule="atLeast"/>
          <w:jc w:val="center"/>
        </w:trPr>
        <w:tc>
          <w:tcPr>
            <w:tcW w:w="5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EC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2A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中央集中控制系统软件</w:t>
            </w:r>
          </w:p>
        </w:tc>
        <w:tc>
          <w:tcPr>
            <w:tcW w:w="62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B4ED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1、独立多媒体展项状态综合控制；</w:t>
            </w:r>
          </w:p>
          <w:p w14:paraId="5D2B7D3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2、智能分区语音切换控制；</w:t>
            </w:r>
          </w:p>
          <w:p w14:paraId="2EFB70C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3、灯光独立控制，投影机开/关控制，计算机开/关控制（不含中控主机）；</w:t>
            </w:r>
          </w:p>
          <w:p w14:paraId="53CF64F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4、设备运行状态指示  与中控计算机实时闭环通讯；</w:t>
            </w:r>
          </w:p>
          <w:p w14:paraId="3D00F00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5、中控系统能实时显示各个受控设备的运行状态,开关机后每个设备的状态一览无余,无需跑到现场去实地确认；</w:t>
            </w:r>
          </w:p>
          <w:p w14:paraId="5C0E7F8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6、中控作为展厅设备集中管理的便捷手段，不影响对单个展项的手动控制及手动开关机，并能实时获取手动操作后的设备状态。</w:t>
            </w: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82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CC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0AA7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jc w:val="center"/>
        </w:trPr>
        <w:tc>
          <w:tcPr>
            <w:tcW w:w="925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2C72">
            <w:pPr>
              <w:pStyle w:val="20"/>
              <w:jc w:val="both"/>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注：</w:t>
            </w:r>
            <w:r>
              <w:rPr>
                <w:rFonts w:hint="eastAsia" w:ascii="宋体" w:hAnsi="宋体" w:eastAsia="宋体" w:cs="宋体"/>
                <w:b/>
                <w:bCs/>
                <w:sz w:val="24"/>
                <w:shd w:val="clear" w:fill="FFFFFF"/>
                <w:lang w:val="en-US" w:eastAsia="zh-CN"/>
              </w:rPr>
              <w:t>竞价</w:t>
            </w:r>
            <w:r>
              <w:rPr>
                <w:rFonts w:ascii="宋体" w:hAnsi="宋体" w:eastAsia="宋体" w:cs="宋体"/>
                <w:b/>
                <w:bCs/>
                <w:sz w:val="24"/>
                <w:shd w:val="clear" w:fill="FFFFFF"/>
              </w:rPr>
              <w:t>人应以包括</w:t>
            </w:r>
            <w:r>
              <w:rPr>
                <w:rFonts w:hint="eastAsia" w:ascii="宋体" w:hAnsi="宋体" w:eastAsia="宋体" w:cs="宋体"/>
                <w:b/>
                <w:bCs/>
                <w:sz w:val="24"/>
                <w:shd w:val="clear" w:fill="FFFFFF"/>
                <w:lang w:eastAsia="zh-CN"/>
              </w:rPr>
              <w:t>宣传片制作及软件开发服务</w:t>
            </w:r>
            <w:r>
              <w:rPr>
                <w:rFonts w:ascii="宋体" w:hAnsi="宋体" w:eastAsia="宋体" w:cs="宋体"/>
                <w:b/>
                <w:bCs/>
                <w:sz w:val="24"/>
                <w:shd w:val="clear" w:fill="FFFFFF"/>
              </w:rPr>
              <w:t>所涉及的有关项目的所有费用进行报价，包括：</w:t>
            </w:r>
            <w:r>
              <w:rPr>
                <w:rFonts w:hint="eastAsia" w:ascii="宋体" w:hAnsi="宋体" w:eastAsia="宋体" w:cs="宋体"/>
                <w:b/>
                <w:bCs/>
                <w:sz w:val="24"/>
                <w:shd w:val="clear" w:fill="FFFFFF"/>
                <w:lang w:eastAsia="zh-CN"/>
              </w:rPr>
              <w:t>拍摄、影片制作、软件开发</w:t>
            </w:r>
            <w:r>
              <w:rPr>
                <w:rFonts w:ascii="宋体" w:hAnsi="宋体" w:eastAsia="宋体" w:cs="宋体"/>
                <w:b/>
                <w:bCs/>
                <w:sz w:val="24"/>
                <w:shd w:val="clear" w:fill="FFFFFF"/>
              </w:rPr>
              <w:t>及培训、保修、专用工具等一切相关费用。</w:t>
            </w:r>
          </w:p>
        </w:tc>
      </w:tr>
    </w:tbl>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.最高限价：</w:t>
      </w:r>
      <w:r>
        <w:rPr>
          <w:rFonts w:hint="eastAsia" w:ascii="宋体" w:hAnsi="宋体" w:cs="宋体"/>
          <w:color w:val="auto"/>
          <w:sz w:val="28"/>
          <w:szCs w:val="28"/>
          <w:lang w:val="en-US" w:eastAsia="zh-CN"/>
        </w:rPr>
        <w:t>375800元。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7000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245651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6.供货期限：合同签订后30日历日内完成安装调试并验收合格交付使用。</w:t>
      </w:r>
    </w:p>
    <w:p w14:paraId="3C5B1A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color w:val="auto"/>
          <w:sz w:val="28"/>
          <w:szCs w:val="28"/>
          <w:lang w:val="en-US" w:eastAsia="zh-CN"/>
        </w:rPr>
        <w:t>7.供货要求：成交人根据与委托人签订的《技术服务合同》完成供货。</w:t>
      </w:r>
    </w:p>
    <w:p w14:paraId="6A7653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w:t>
      </w:r>
      <w:bookmarkStart w:id="0" w:name="OLE_LINK1"/>
      <w:r>
        <w:rPr>
          <w:rFonts w:hint="eastAsia" w:ascii="宋体" w:hAnsi="宋体" w:eastAsia="宋体" w:cs="宋体"/>
          <w:b w:val="0"/>
          <w:bCs w:val="0"/>
          <w:color w:val="auto"/>
          <w:sz w:val="28"/>
          <w:szCs w:val="28"/>
          <w:lang w:val="en-US" w:eastAsia="zh-CN"/>
        </w:rPr>
        <w:t>验收标准：</w:t>
      </w:r>
    </w:p>
    <w:p w14:paraId="5B262C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宣传片制作：成交人按照采购人的需求制作策划方案及行动脚本，并提供宣传片的成品。</w:t>
      </w:r>
    </w:p>
    <w:p w14:paraId="54E07C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软件开发：成交人按照采购人完成软件主体界面及功能设计，并提供软件演示。</w:t>
      </w:r>
    </w:p>
    <w:p w14:paraId="20231A5A">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lang w:val="en-US" w:eastAsia="zh-CN"/>
        </w:rPr>
        <w:t>质量保证：</w:t>
      </w:r>
    </w:p>
    <w:p w14:paraId="764A7E68">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服务内容的主体框架包含宣传片的策划方案及分镜脚本；软件的界面主体及功能。</w:t>
      </w:r>
    </w:p>
    <w:p w14:paraId="5501247A">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宣传片及软件的主体框架在甲方确认后3个月内，乙方应进行最终优化和修改并提交最终成品。</w:t>
      </w:r>
    </w:p>
    <w:p w14:paraId="753232B5">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项目验收后1年内根据甲方要求，在不涉及主体框架外，免费进行优化及修改。</w:t>
      </w:r>
    </w:p>
    <w:bookmarkEnd w:id="0"/>
    <w:p w14:paraId="7BC7E464">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该项目的售后保证期为1年。为确保宣传片制作质量，1年内根据甲方需求，在不改变影片主体框架前提下，进行小范围修改总体不超过整片的20%，进行更改调整视频内容。</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6D576F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cs="宋体"/>
          <w:b w:val="0"/>
          <w:bCs w:val="0"/>
          <w:color w:val="auto"/>
          <w:sz w:val="28"/>
          <w:szCs w:val="28"/>
          <w:lang w:val="en-US" w:eastAsia="zh-CN"/>
        </w:rPr>
        <w:t>功能需求</w:t>
      </w:r>
      <w:r>
        <w:rPr>
          <w:rFonts w:hint="eastAsia" w:ascii="宋体" w:hAnsi="宋体" w:eastAsia="宋体" w:cs="宋体"/>
          <w:b w:val="0"/>
          <w:bCs w:val="0"/>
          <w:color w:val="auto"/>
          <w:sz w:val="28"/>
          <w:szCs w:val="28"/>
          <w:lang w:val="en-US" w:eastAsia="zh-CN"/>
        </w:rPr>
        <w:t>清单</w:t>
      </w:r>
      <w:r>
        <w:rPr>
          <w:rFonts w:hint="eastAsia" w:ascii="宋体" w:hAnsi="宋体" w:eastAsia="宋体" w:cs="宋体"/>
          <w:color w:val="auto"/>
          <w:sz w:val="28"/>
          <w:szCs w:val="28"/>
          <w:lang w:val="en-US" w:eastAsia="zh-CN"/>
        </w:rPr>
        <w:t>”中的参数要求均为重要要求，</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人提供的货物需符合该要求。</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人必须具备</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文件要求的资格。</w:t>
      </w:r>
      <w:r>
        <w:rPr>
          <w:rFonts w:hint="eastAsia" w:ascii="宋体" w:hAnsi="宋体" w:cs="宋体"/>
          <w:color w:val="auto"/>
          <w:sz w:val="28"/>
          <w:szCs w:val="28"/>
          <w:lang w:val="en-US" w:eastAsia="zh-CN"/>
        </w:rPr>
        <w:t>其</w:t>
      </w:r>
      <w:r>
        <w:rPr>
          <w:rFonts w:hint="eastAsia" w:ascii="宋体" w:hAnsi="宋体" w:eastAsia="宋体" w:cs="宋体"/>
          <w:color w:val="auto"/>
          <w:sz w:val="28"/>
          <w:szCs w:val="28"/>
          <w:lang w:val="en-US" w:eastAsia="zh-CN"/>
        </w:rPr>
        <w:t>产品及生产所需材料应符合国家及相关规定的相应技术标准，必须自觉履行</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文件的要求和其</w:t>
      </w:r>
      <w:r>
        <w:rPr>
          <w:rFonts w:hint="eastAsia" w:ascii="宋体" w:hAnsi="宋体" w:cs="宋体"/>
          <w:color w:val="auto"/>
          <w:sz w:val="28"/>
          <w:szCs w:val="28"/>
          <w:lang w:val="en-US" w:eastAsia="zh-CN"/>
        </w:rPr>
        <w:t>响应</w:t>
      </w:r>
      <w:r>
        <w:rPr>
          <w:rFonts w:hint="eastAsia" w:ascii="宋体" w:hAnsi="宋体" w:eastAsia="宋体" w:cs="宋体"/>
          <w:color w:val="auto"/>
          <w:sz w:val="28"/>
          <w:szCs w:val="28"/>
          <w:lang w:val="en-US" w:eastAsia="zh-CN"/>
        </w:rPr>
        <w:t>文件承诺，做好服务的生产、开发、售后服务等工作。</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7000</w:t>
      </w:r>
      <w:r>
        <w:rPr>
          <w:rFonts w:hint="eastAsia" w:ascii="宋体" w:hAnsi="宋体" w:eastAsia="宋体" w:cs="宋体"/>
          <w:color w:val="auto"/>
          <w:sz w:val="28"/>
          <w:szCs w:val="28"/>
          <w:lang w:val="en-US" w:eastAsia="zh-CN"/>
        </w:rPr>
        <w:t>元，必须于2025年</w:t>
      </w:r>
      <w:r>
        <w:rPr>
          <w:rFonts w:hint="eastAsia" w:ascii="宋体" w:hAnsi="宋体" w:cs="宋体"/>
          <w:color w:val="auto"/>
          <w:sz w:val="28"/>
          <w:szCs w:val="28"/>
          <w:lang w:val="en-US" w:eastAsia="zh-CN"/>
        </w:rPr>
        <w:t>11月26日上午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A47B1A3">
      <w:pPr>
        <w:keepNext w:val="0"/>
        <w:keepLines w:val="0"/>
        <w:pageBreakBefore w:val="0"/>
        <w:widowControl/>
        <w:kinsoku/>
        <w:wordWrap/>
        <w:topLinePunct w:val="0"/>
        <w:bidi w:val="0"/>
        <w:spacing w:line="360" w:lineRule="auto"/>
        <w:ind w:left="0" w:firstLine="48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1、合同签订后7日内，委托人向成交人支付合同30%合同款。</w:t>
      </w:r>
    </w:p>
    <w:p w14:paraId="46A3E5E6">
      <w:pPr>
        <w:keepNext w:val="0"/>
        <w:keepLines w:val="0"/>
        <w:pageBreakBefore w:val="0"/>
        <w:widowControl/>
        <w:kinsoku/>
        <w:wordWrap/>
        <w:topLinePunct w:val="0"/>
        <w:bidi w:val="0"/>
        <w:spacing w:line="360" w:lineRule="auto"/>
        <w:ind w:left="0" w:firstLine="480"/>
        <w:jc w:val="left"/>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2、成交人按委托人的需求制作主体框架设计方案，委托人书面确认后7日内，委托人向成交人支付合同70%合同款。</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w:t>
      </w:r>
      <w:r>
        <w:rPr>
          <w:rFonts w:hint="eastAsia" w:ascii="宋体" w:hAnsi="宋体" w:eastAsia="宋体" w:cs="宋体"/>
          <w:color w:val="auto"/>
          <w:sz w:val="28"/>
          <w:szCs w:val="28"/>
          <w:highlight w:val="none"/>
          <w:lang w:val="en-US" w:eastAsia="zh-CN"/>
        </w:rPr>
        <w:t>于税费、服务费、文印费、差旅费、交通费、住宿费等所有相关费用，竞</w:t>
      </w:r>
      <w:r>
        <w:rPr>
          <w:rFonts w:hint="eastAsia" w:ascii="宋体" w:hAnsi="宋体" w:eastAsia="宋体" w:cs="宋体"/>
          <w:color w:val="auto"/>
          <w:sz w:val="28"/>
          <w:szCs w:val="28"/>
          <w:lang w:val="en-US" w:eastAsia="zh-CN"/>
        </w:rPr>
        <w:t>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技术服务合同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bookmarkStart w:id="1" w:name="_GoBack"/>
      <w:bookmarkEnd w:id="1"/>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11月26日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eastAsia="宋体" w:cs="宋体"/>
          <w:color w:val="auto"/>
          <w:sz w:val="28"/>
          <w:szCs w:val="28"/>
          <w:u w:val="single"/>
          <w:lang w:eastAsia="zh-CN"/>
        </w:rPr>
        <w:t>连城县人民检察院宣传片制作及软件开发项目</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LCCQJJ2025112</w:t>
      </w:r>
      <w:r>
        <w:rPr>
          <w:rFonts w:hint="eastAsia" w:ascii="宋体" w:hAnsi="宋体" w:cs="宋体"/>
          <w:color w:val="auto"/>
          <w:sz w:val="28"/>
          <w:szCs w:val="28"/>
          <w:u w:val="single"/>
          <w:lang w:val="en-US" w:eastAsia="zh-CN"/>
        </w:rPr>
        <w:t>6</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附件：《技术服务合同》</w:t>
      </w:r>
    </w:p>
    <w:p w14:paraId="250A9D6E">
      <w:pPr>
        <w:pStyle w:val="23"/>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5"/>
          <w:rFonts w:hint="eastAsia" w:hAnsi="宋体" w:cs="宋体"/>
          <w:color w:val="000000" w:themeColor="text1"/>
          <w:spacing w:val="0"/>
          <w:sz w:val="32"/>
          <w:szCs w:val="32"/>
          <w:highlight w:val="none"/>
          <w:lang w:val="en-US" w:eastAsia="zh-CN"/>
        </w:rPr>
        <w:t>技术服务合同</w:t>
      </w:r>
    </w:p>
    <w:p w14:paraId="53940447">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14:paraId="1CF552F2">
      <w:pPr>
        <w:pStyle w:val="23"/>
        <w:spacing w:line="360" w:lineRule="auto"/>
        <w:ind w:firstLine="482" w:firstLineChars="200"/>
        <w:outlineLvl w:val="9"/>
        <w:rPr>
          <w:rFonts w:hAnsi="宋体"/>
          <w:b/>
          <w:sz w:val="24"/>
        </w:rPr>
      </w:pPr>
    </w:p>
    <w:p w14:paraId="3A00C15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1、签订合同应遵守《中华人民共和国民法典》等法律法规。</w:t>
      </w:r>
    </w:p>
    <w:p w14:paraId="7B5DA05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2、签订合同时，</w:t>
      </w:r>
      <w:r>
        <w:rPr>
          <w:rStyle w:val="15"/>
          <w:rFonts w:hint="eastAsia" w:asciiTheme="minorEastAsia" w:hAnsiTheme="minorEastAsia" w:eastAsiaTheme="minorEastAsia" w:cstheme="minorEastAsia"/>
          <w:b/>
          <w:bCs/>
          <w:sz w:val="24"/>
          <w:lang w:eastAsia="zh-CN"/>
        </w:rPr>
        <w:t>委托人</w:t>
      </w:r>
      <w:r>
        <w:rPr>
          <w:rStyle w:val="15"/>
          <w:rFonts w:hint="eastAsia" w:asciiTheme="minorEastAsia" w:hAnsiTheme="minorEastAsia" w:eastAsiaTheme="minorEastAsia" w:cstheme="minorEastAsia"/>
          <w:b/>
          <w:bCs/>
          <w:sz w:val="24"/>
        </w:rPr>
        <w:t>与</w:t>
      </w:r>
      <w:r>
        <w:rPr>
          <w:rStyle w:val="15"/>
          <w:rFonts w:hint="eastAsia" w:asciiTheme="minorEastAsia" w:hAnsiTheme="minorEastAsia" w:eastAsiaTheme="minorEastAsia" w:cstheme="minorEastAsia"/>
          <w:b/>
          <w:bCs/>
          <w:sz w:val="24"/>
          <w:lang w:val="en-US" w:eastAsia="zh-CN"/>
        </w:rPr>
        <w:t>成交人</w:t>
      </w:r>
      <w:r>
        <w:rPr>
          <w:rStyle w:val="15"/>
          <w:rFonts w:hint="eastAsia" w:asciiTheme="minorEastAsia" w:hAnsiTheme="minorEastAsia" w:eastAsiaTheme="minorEastAsia" w:cstheme="minorEastAsia"/>
          <w:b/>
          <w:bCs/>
          <w:sz w:val="24"/>
        </w:rPr>
        <w:t>应结合</w:t>
      </w:r>
      <w:r>
        <w:rPr>
          <w:rStyle w:val="15"/>
          <w:rFonts w:hint="eastAsia" w:asciiTheme="minorEastAsia" w:hAnsiTheme="minorEastAsia" w:eastAsiaTheme="minorEastAsia" w:cstheme="minorEastAsia"/>
          <w:b/>
          <w:bCs/>
          <w:sz w:val="24"/>
          <w:lang w:val="en-US" w:eastAsia="zh-CN"/>
        </w:rPr>
        <w:t>竞价文件相关</w:t>
      </w:r>
      <w:r>
        <w:rPr>
          <w:rStyle w:val="15"/>
          <w:rFonts w:hint="eastAsia" w:asciiTheme="minorEastAsia" w:hAnsiTheme="minorEastAsia" w:eastAsiaTheme="minorEastAsia" w:cstheme="minorEastAsia"/>
          <w:b/>
          <w:bCs/>
          <w:sz w:val="24"/>
        </w:rPr>
        <w:t>规定填列相应内容。</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已有规定的，双方均不得变更或调整；</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5"/>
          <w:rFonts w:hint="eastAsia" w:asciiTheme="minorEastAsia" w:hAnsiTheme="minorEastAsia" w:eastAsiaTheme="minorEastAsia" w:cstheme="minorEastAsia"/>
          <w:b/>
          <w:bCs/>
          <w:sz w:val="24"/>
        </w:rPr>
        <w:t>3、</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384B88D8">
      <w:pPr>
        <w:snapToGrid w:val="0"/>
        <w:spacing w:line="480" w:lineRule="exact"/>
        <w:jc w:val="center"/>
        <w:outlineLvl w:val="0"/>
        <w:rPr>
          <w:rFonts w:hint="eastAsia" w:ascii="宋体"/>
          <w:b/>
          <w:bCs/>
          <w:sz w:val="32"/>
          <w:szCs w:val="32"/>
        </w:rPr>
      </w:pPr>
      <w:r>
        <w:rPr>
          <w:rFonts w:hint="eastAsia" w:ascii="宋体" w:hAnsi="宋体" w:eastAsia="宋体" w:cs="宋体"/>
          <w:sz w:val="24"/>
          <w:szCs w:val="32"/>
          <w:lang w:val="en-US" w:eastAsia="zh-CN"/>
        </w:rPr>
        <w:br w:type="page"/>
      </w:r>
      <w:r>
        <w:rPr>
          <w:rFonts w:hint="eastAsia" w:ascii="宋体"/>
          <w:b/>
          <w:bCs/>
          <w:sz w:val="32"/>
          <w:szCs w:val="32"/>
        </w:rPr>
        <w:t>技术服务合同</w:t>
      </w:r>
    </w:p>
    <w:p w14:paraId="231A106F">
      <w:pPr>
        <w:snapToGrid w:val="0"/>
        <w:spacing w:line="480" w:lineRule="exact"/>
        <w:rPr>
          <w:rFonts w:hint="eastAsia" w:ascii="宋体"/>
          <w:sz w:val="24"/>
          <w:u w:val="single"/>
        </w:rPr>
      </w:pPr>
    </w:p>
    <w:p w14:paraId="26D70074">
      <w:pPr>
        <w:snapToGrid w:val="0"/>
        <w:spacing w:line="480" w:lineRule="exact"/>
        <w:rPr>
          <w:rFonts w:hint="eastAsia" w:ascii="宋体"/>
          <w:spacing w:val="-20"/>
          <w:sz w:val="24"/>
          <w:u w:val="single"/>
        </w:rPr>
      </w:pPr>
      <w:r>
        <w:rPr>
          <w:rFonts w:hint="eastAsia" w:ascii="宋体"/>
          <w:sz w:val="24"/>
        </w:rPr>
        <w:t xml:space="preserve">甲方： </w:t>
      </w:r>
      <w:r>
        <w:rPr>
          <w:rFonts w:hint="eastAsia" w:ascii="宋体"/>
          <w:sz w:val="24"/>
          <w:u w:val="single"/>
          <w:lang w:val="en-US" w:eastAsia="zh-CN"/>
        </w:rPr>
        <w:t xml:space="preserve">                             </w:t>
      </w:r>
      <w:r>
        <w:rPr>
          <w:rFonts w:hint="eastAsia" w:ascii="宋体"/>
          <w:sz w:val="24"/>
          <w:u w:val="single"/>
        </w:rPr>
        <w:t xml:space="preserve"> </w:t>
      </w:r>
    </w:p>
    <w:p w14:paraId="02E35DE6">
      <w:pPr>
        <w:pStyle w:val="7"/>
        <w:tabs>
          <w:tab w:val="left" w:pos="2835"/>
        </w:tabs>
        <w:spacing w:line="480" w:lineRule="auto"/>
        <w:rPr>
          <w:rFonts w:hint="default" w:eastAsia="宋体"/>
          <w:sz w:val="24"/>
          <w:lang w:val="en-US" w:eastAsia="zh-CN"/>
        </w:rPr>
      </w:pPr>
      <w:r>
        <w:rPr>
          <w:rFonts w:hint="eastAsia"/>
          <w:sz w:val="24"/>
        </w:rPr>
        <w:t>乙方：</w:t>
      </w:r>
      <w:r>
        <w:rPr>
          <w:rFonts w:hint="eastAsia" w:cs="宋体"/>
          <w:sz w:val="24"/>
          <w:szCs w:val="24"/>
        </w:rPr>
        <w:t xml:space="preserve"> </w:t>
      </w:r>
      <w:r>
        <w:rPr>
          <w:rFonts w:hint="eastAsia"/>
          <w:sz w:val="24"/>
          <w:u w:val="single"/>
          <w:lang w:val="en-US" w:eastAsia="zh-CN"/>
        </w:rPr>
        <w:t xml:space="preserve">                               </w:t>
      </w:r>
    </w:p>
    <w:p w14:paraId="12ED8820">
      <w:pPr>
        <w:snapToGrid w:val="0"/>
        <w:spacing w:line="480" w:lineRule="exact"/>
        <w:rPr>
          <w:rFonts w:hint="eastAsia" w:ascii="宋体"/>
          <w:sz w:val="24"/>
          <w:u w:val="single"/>
        </w:rPr>
      </w:pPr>
      <w:r>
        <w:rPr>
          <w:rFonts w:hint="eastAsia" w:ascii="宋体"/>
          <w:sz w:val="24"/>
        </w:rPr>
        <w:t>签订地点：</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rPr>
        <w:t xml:space="preserve">  签订时间：</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14:paraId="6A7B13F3">
      <w:pPr>
        <w:snapToGrid w:val="0"/>
        <w:spacing w:line="480" w:lineRule="exact"/>
        <w:ind w:firstLine="480" w:firstLineChars="200"/>
        <w:rPr>
          <w:rFonts w:hint="eastAsia" w:ascii="宋体"/>
          <w:sz w:val="24"/>
        </w:rPr>
      </w:pPr>
    </w:p>
    <w:p w14:paraId="73918A1C">
      <w:pPr>
        <w:snapToGrid w:val="0"/>
        <w:spacing w:line="480" w:lineRule="exact"/>
        <w:ind w:firstLine="480" w:firstLineChars="200"/>
        <w:outlineLvl w:val="0"/>
        <w:rPr>
          <w:rFonts w:hint="eastAsia" w:ascii="宋体" w:cs="宋体"/>
          <w:sz w:val="24"/>
        </w:rPr>
      </w:pPr>
      <w:r>
        <w:rPr>
          <w:rFonts w:hint="eastAsia" w:ascii="宋体" w:cs="宋体"/>
          <w:sz w:val="24"/>
        </w:rPr>
        <w:t>依据《中华人民共和国民法典》、《中华人民共和国政府采购法》等有关的法律法规，以及本采购项目的</w:t>
      </w:r>
      <w:r>
        <w:rPr>
          <w:rFonts w:hint="eastAsia" w:ascii="宋体" w:cs="宋体"/>
          <w:sz w:val="24"/>
          <w:lang w:val="en-US" w:eastAsia="zh-CN"/>
        </w:rPr>
        <w:t>竞价文件</w:t>
      </w:r>
      <w:r>
        <w:rPr>
          <w:rFonts w:hint="eastAsia" w:ascii="宋体" w:cs="宋体"/>
          <w:sz w:val="24"/>
        </w:rPr>
        <w:t>等采购文件、乙方的《（响应）文件》及《中标（成交）通知书》，甲乙双方同意签订本合同。</w:t>
      </w:r>
    </w:p>
    <w:p w14:paraId="7EDEACCD">
      <w:pPr>
        <w:snapToGrid w:val="0"/>
        <w:spacing w:line="480" w:lineRule="exact"/>
        <w:ind w:firstLine="482" w:firstLineChars="200"/>
        <w:outlineLvl w:val="0"/>
        <w:rPr>
          <w:rFonts w:hint="eastAsia" w:ascii="宋体"/>
          <w:b/>
          <w:sz w:val="24"/>
        </w:rPr>
      </w:pPr>
      <w:r>
        <w:rPr>
          <w:rFonts w:hint="eastAsia" w:ascii="宋体"/>
          <w:b/>
          <w:sz w:val="24"/>
        </w:rPr>
        <w:t>第一条　合同标的</w:t>
      </w:r>
    </w:p>
    <w:p w14:paraId="29802BCE">
      <w:pPr>
        <w:snapToGrid w:val="0"/>
        <w:spacing w:line="480" w:lineRule="exact"/>
        <w:ind w:firstLine="480" w:firstLineChars="200"/>
        <w:rPr>
          <w:rFonts w:hint="eastAsia" w:ascii="宋体"/>
          <w:sz w:val="24"/>
        </w:rPr>
      </w:pPr>
      <w:r>
        <w:rPr>
          <w:rFonts w:hint="eastAsia" w:ascii="宋体"/>
          <w:sz w:val="24"/>
        </w:rPr>
        <w:t>1、服务内容一览表</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2457"/>
        <w:gridCol w:w="2655"/>
        <w:gridCol w:w="530"/>
        <w:gridCol w:w="783"/>
        <w:gridCol w:w="1285"/>
        <w:gridCol w:w="1290"/>
      </w:tblGrid>
      <w:tr w14:paraId="6C15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78" w:type="pct"/>
            <w:vAlign w:val="center"/>
          </w:tcPr>
          <w:p w14:paraId="2F0CB926">
            <w:pPr>
              <w:snapToGrid w:val="0"/>
              <w:spacing w:line="480" w:lineRule="exact"/>
              <w:jc w:val="center"/>
              <w:rPr>
                <w:rFonts w:hint="eastAsia" w:ascii="宋体"/>
                <w:sz w:val="24"/>
              </w:rPr>
            </w:pPr>
            <w:r>
              <w:rPr>
                <w:rFonts w:hint="eastAsia" w:ascii="宋体"/>
                <w:sz w:val="24"/>
              </w:rPr>
              <w:t>序号</w:t>
            </w:r>
          </w:p>
        </w:tc>
        <w:tc>
          <w:tcPr>
            <w:tcW w:w="1289" w:type="pct"/>
            <w:vAlign w:val="center"/>
          </w:tcPr>
          <w:p w14:paraId="3DD730FA">
            <w:pPr>
              <w:snapToGrid w:val="0"/>
              <w:spacing w:line="480" w:lineRule="exact"/>
              <w:jc w:val="center"/>
              <w:rPr>
                <w:rFonts w:hint="eastAsia" w:ascii="宋体"/>
                <w:sz w:val="24"/>
              </w:rPr>
            </w:pPr>
            <w:r>
              <w:rPr>
                <w:rFonts w:hint="eastAsia" w:ascii="宋体"/>
                <w:sz w:val="24"/>
              </w:rPr>
              <w:t>服务项目名称</w:t>
            </w:r>
          </w:p>
        </w:tc>
        <w:tc>
          <w:tcPr>
            <w:tcW w:w="1393" w:type="pct"/>
            <w:vAlign w:val="center"/>
          </w:tcPr>
          <w:p w14:paraId="00D4F75F">
            <w:pPr>
              <w:snapToGrid w:val="0"/>
              <w:spacing w:line="480" w:lineRule="exact"/>
              <w:jc w:val="center"/>
              <w:rPr>
                <w:rFonts w:hint="eastAsia" w:ascii="宋体"/>
                <w:sz w:val="24"/>
              </w:rPr>
            </w:pPr>
            <w:r>
              <w:rPr>
                <w:rFonts w:hint="eastAsia" w:ascii="宋体"/>
                <w:sz w:val="24"/>
              </w:rPr>
              <w:t>服务内容</w:t>
            </w:r>
          </w:p>
        </w:tc>
        <w:tc>
          <w:tcPr>
            <w:tcW w:w="278" w:type="pct"/>
            <w:vAlign w:val="center"/>
          </w:tcPr>
          <w:p w14:paraId="0A0413D4">
            <w:pPr>
              <w:snapToGrid w:val="0"/>
              <w:spacing w:line="480" w:lineRule="exact"/>
              <w:jc w:val="center"/>
              <w:rPr>
                <w:rFonts w:hint="eastAsia" w:ascii="宋体"/>
                <w:sz w:val="24"/>
              </w:rPr>
            </w:pPr>
            <w:r>
              <w:rPr>
                <w:rFonts w:hint="eastAsia" w:ascii="宋体"/>
                <w:sz w:val="24"/>
              </w:rPr>
              <w:t>数  量</w:t>
            </w:r>
          </w:p>
        </w:tc>
        <w:tc>
          <w:tcPr>
            <w:tcW w:w="411" w:type="pct"/>
            <w:vAlign w:val="center"/>
          </w:tcPr>
          <w:p w14:paraId="477BFB77">
            <w:pPr>
              <w:snapToGrid w:val="0"/>
              <w:spacing w:line="480" w:lineRule="exact"/>
              <w:jc w:val="center"/>
              <w:rPr>
                <w:rFonts w:hint="eastAsia" w:ascii="宋体"/>
                <w:sz w:val="24"/>
              </w:rPr>
            </w:pPr>
            <w:r>
              <w:rPr>
                <w:rFonts w:hint="eastAsia" w:ascii="宋体"/>
                <w:sz w:val="24"/>
              </w:rPr>
              <w:t>单位</w:t>
            </w:r>
          </w:p>
        </w:tc>
        <w:tc>
          <w:tcPr>
            <w:tcW w:w="674" w:type="pct"/>
            <w:vAlign w:val="center"/>
          </w:tcPr>
          <w:p w14:paraId="19032A0C">
            <w:pPr>
              <w:snapToGrid w:val="0"/>
              <w:spacing w:line="480" w:lineRule="exact"/>
              <w:jc w:val="center"/>
              <w:rPr>
                <w:rFonts w:hint="eastAsia" w:ascii="宋体"/>
                <w:sz w:val="24"/>
              </w:rPr>
            </w:pPr>
            <w:r>
              <w:rPr>
                <w:rFonts w:hint="eastAsia" w:ascii="宋体"/>
                <w:sz w:val="24"/>
              </w:rPr>
              <w:t>单  价</w:t>
            </w:r>
          </w:p>
          <w:p w14:paraId="3E667F57">
            <w:pPr>
              <w:snapToGrid w:val="0"/>
              <w:spacing w:line="480" w:lineRule="exact"/>
              <w:jc w:val="center"/>
              <w:rPr>
                <w:rFonts w:hint="eastAsia" w:ascii="宋体"/>
                <w:sz w:val="24"/>
              </w:rPr>
            </w:pPr>
            <w:r>
              <w:rPr>
                <w:rFonts w:hint="eastAsia" w:ascii="宋体"/>
                <w:sz w:val="24"/>
              </w:rPr>
              <w:t>（元）</w:t>
            </w:r>
          </w:p>
        </w:tc>
        <w:tc>
          <w:tcPr>
            <w:tcW w:w="674" w:type="pct"/>
            <w:vAlign w:val="center"/>
          </w:tcPr>
          <w:p w14:paraId="0536FD59">
            <w:pPr>
              <w:snapToGrid w:val="0"/>
              <w:spacing w:line="480" w:lineRule="exact"/>
              <w:jc w:val="center"/>
              <w:rPr>
                <w:rFonts w:hint="eastAsia" w:ascii="宋体"/>
                <w:sz w:val="24"/>
              </w:rPr>
            </w:pPr>
            <w:r>
              <w:rPr>
                <w:rFonts w:hint="eastAsia" w:ascii="宋体"/>
                <w:sz w:val="24"/>
              </w:rPr>
              <w:t>金  额</w:t>
            </w:r>
          </w:p>
          <w:p w14:paraId="0797959E">
            <w:pPr>
              <w:snapToGrid w:val="0"/>
              <w:spacing w:line="480" w:lineRule="exact"/>
              <w:jc w:val="center"/>
              <w:rPr>
                <w:rFonts w:hint="eastAsia" w:ascii="宋体"/>
                <w:sz w:val="24"/>
              </w:rPr>
            </w:pPr>
            <w:r>
              <w:rPr>
                <w:rFonts w:hint="eastAsia" w:ascii="宋体"/>
                <w:sz w:val="24"/>
              </w:rPr>
              <w:t>（元）</w:t>
            </w:r>
          </w:p>
        </w:tc>
      </w:tr>
      <w:tr w14:paraId="220C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78" w:type="pct"/>
            <w:vAlign w:val="center"/>
          </w:tcPr>
          <w:p w14:paraId="5E166804">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eastAsia" w:ascii="宋体" w:cs="宋体"/>
                <w:sz w:val="24"/>
              </w:rPr>
            </w:pPr>
            <w:r>
              <w:rPr>
                <w:rFonts w:hint="eastAsia" w:ascii="宋体" w:cs="宋体"/>
                <w:sz w:val="24"/>
              </w:rPr>
              <w:t>1</w:t>
            </w:r>
          </w:p>
        </w:tc>
        <w:tc>
          <w:tcPr>
            <w:tcW w:w="1289" w:type="pct"/>
            <w:vAlign w:val="center"/>
          </w:tcPr>
          <w:p w14:paraId="770B88B4">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left"/>
              <w:textAlignment w:val="auto"/>
              <w:rPr>
                <w:rFonts w:hint="eastAsia" w:ascii="宋体" w:cs="宋体"/>
                <w:sz w:val="24"/>
              </w:rPr>
            </w:pPr>
          </w:p>
        </w:tc>
        <w:tc>
          <w:tcPr>
            <w:tcW w:w="1393" w:type="pct"/>
            <w:vAlign w:val="center"/>
          </w:tcPr>
          <w:p w14:paraId="50D9D595">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left"/>
              <w:textAlignment w:val="auto"/>
              <w:rPr>
                <w:rFonts w:hint="eastAsia" w:ascii="宋体" w:cs="宋体"/>
                <w:sz w:val="24"/>
              </w:rPr>
            </w:pPr>
          </w:p>
        </w:tc>
        <w:tc>
          <w:tcPr>
            <w:tcW w:w="278" w:type="pct"/>
            <w:vAlign w:val="center"/>
          </w:tcPr>
          <w:p w14:paraId="71FA5B5D">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default" w:ascii="宋体" w:cs="宋体"/>
                <w:sz w:val="24"/>
                <w:lang w:val="en-US" w:eastAsia="zh-CN"/>
              </w:rPr>
            </w:pPr>
            <w:r>
              <w:rPr>
                <w:rFonts w:hint="eastAsia" w:ascii="宋体" w:cs="宋体"/>
                <w:sz w:val="24"/>
                <w:lang w:val="en-US" w:eastAsia="zh-CN"/>
              </w:rPr>
              <w:t>1</w:t>
            </w:r>
          </w:p>
        </w:tc>
        <w:tc>
          <w:tcPr>
            <w:tcW w:w="411" w:type="pct"/>
            <w:vAlign w:val="center"/>
          </w:tcPr>
          <w:p w14:paraId="2E6C88EF">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eastAsia" w:ascii="宋体" w:eastAsia="宋体" w:cs="宋体"/>
                <w:sz w:val="24"/>
                <w:lang w:eastAsia="zh-CN"/>
              </w:rPr>
            </w:pPr>
          </w:p>
        </w:tc>
        <w:tc>
          <w:tcPr>
            <w:tcW w:w="674" w:type="pct"/>
            <w:vAlign w:val="center"/>
          </w:tcPr>
          <w:p w14:paraId="7796DE58">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eastAsia" w:ascii="宋体" w:cs="宋体"/>
                <w:sz w:val="24"/>
              </w:rPr>
            </w:pPr>
          </w:p>
        </w:tc>
        <w:tc>
          <w:tcPr>
            <w:tcW w:w="674" w:type="pct"/>
            <w:vAlign w:val="center"/>
          </w:tcPr>
          <w:p w14:paraId="3605919C">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center"/>
              <w:textAlignment w:val="auto"/>
              <w:rPr>
                <w:rFonts w:hint="eastAsia" w:ascii="宋体" w:cs="宋体"/>
                <w:sz w:val="24"/>
              </w:rPr>
            </w:pPr>
          </w:p>
        </w:tc>
      </w:tr>
      <w:tr w14:paraId="0F6D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000" w:type="pct"/>
            <w:gridSpan w:val="7"/>
            <w:vAlign w:val="center"/>
          </w:tcPr>
          <w:p w14:paraId="0621C866">
            <w:pPr>
              <w:snapToGrid w:val="0"/>
              <w:spacing w:line="480" w:lineRule="exact"/>
              <w:rPr>
                <w:rFonts w:hint="eastAsia" w:ascii="宋体"/>
                <w:sz w:val="24"/>
              </w:rPr>
            </w:pPr>
            <w:r>
              <w:rPr>
                <w:rFonts w:hint="eastAsia" w:ascii="宋体"/>
                <w:sz w:val="24"/>
              </w:rPr>
              <w:t>人民币合计金额（大写）（小写）¥元</w:t>
            </w:r>
          </w:p>
        </w:tc>
      </w:tr>
    </w:tbl>
    <w:p w14:paraId="49480A37">
      <w:pPr>
        <w:pStyle w:val="20"/>
        <w:ind w:firstLine="480"/>
        <w:jc w:val="both"/>
        <w:rPr>
          <w:color w:val="FF0000"/>
        </w:rPr>
      </w:pPr>
      <w:r>
        <w:rPr>
          <w:rFonts w:hint="eastAsia" w:ascii="宋体"/>
          <w:sz w:val="24"/>
        </w:rPr>
        <w:t>2、合同合计金额</w:t>
      </w:r>
      <w:r>
        <w:rPr>
          <w:rFonts w:ascii="宋体" w:hAnsi="宋体" w:eastAsia="宋体" w:cs="宋体"/>
          <w:color w:val="FF0000"/>
          <w:sz w:val="24"/>
          <w:shd w:val="clear" w:fill="FFFFFF"/>
        </w:rPr>
        <w:t>包括</w:t>
      </w:r>
      <w:r>
        <w:rPr>
          <w:rFonts w:hint="eastAsia" w:ascii="宋体" w:hAnsi="宋体" w:eastAsia="宋体" w:cs="宋体"/>
          <w:color w:val="FF0000"/>
          <w:sz w:val="24"/>
          <w:shd w:val="clear" w:fill="FFFFFF"/>
          <w:lang w:eastAsia="zh-CN"/>
        </w:rPr>
        <w:t>宣传片制作及软件开发服务</w:t>
      </w:r>
      <w:r>
        <w:rPr>
          <w:rFonts w:ascii="宋体" w:hAnsi="宋体" w:eastAsia="宋体" w:cs="宋体"/>
          <w:color w:val="FF0000"/>
          <w:sz w:val="24"/>
          <w:shd w:val="clear" w:fill="FFFFFF"/>
        </w:rPr>
        <w:t>所涉及的有关项目的所有费用进行报价，包括：</w:t>
      </w:r>
      <w:r>
        <w:rPr>
          <w:rFonts w:hint="eastAsia" w:ascii="宋体" w:hAnsi="宋体" w:eastAsia="宋体" w:cs="宋体"/>
          <w:color w:val="FF0000"/>
          <w:sz w:val="24"/>
          <w:shd w:val="clear" w:fill="FFFFFF"/>
          <w:lang w:eastAsia="zh-CN"/>
        </w:rPr>
        <w:t>拍摄、影片制作、软件开发</w:t>
      </w:r>
      <w:r>
        <w:rPr>
          <w:rFonts w:ascii="宋体" w:hAnsi="宋体" w:eastAsia="宋体" w:cs="宋体"/>
          <w:color w:val="FF0000"/>
          <w:sz w:val="24"/>
          <w:shd w:val="clear" w:fill="FFFFFF"/>
        </w:rPr>
        <w:t>及培训、保修、专用工具等一切相关费用。</w:t>
      </w:r>
    </w:p>
    <w:p w14:paraId="731E5789">
      <w:pPr>
        <w:snapToGrid w:val="0"/>
        <w:spacing w:line="480" w:lineRule="exact"/>
        <w:ind w:firstLine="482" w:firstLineChars="200"/>
        <w:outlineLvl w:val="0"/>
        <w:rPr>
          <w:rFonts w:hint="eastAsia" w:ascii="宋体"/>
          <w:sz w:val="24"/>
        </w:rPr>
      </w:pPr>
      <w:r>
        <w:rPr>
          <w:rFonts w:hint="eastAsia" w:ascii="宋体"/>
          <w:b/>
          <w:sz w:val="24"/>
        </w:rPr>
        <w:t>第二条　质量保证</w:t>
      </w:r>
    </w:p>
    <w:p w14:paraId="45D5991C">
      <w:pPr>
        <w:snapToGrid w:val="0"/>
        <w:spacing w:line="480" w:lineRule="exact"/>
        <w:ind w:firstLine="480" w:firstLineChars="200"/>
        <w:rPr>
          <w:rFonts w:hint="eastAsia" w:ascii="宋体"/>
          <w:sz w:val="24"/>
        </w:rPr>
      </w:pPr>
      <w:r>
        <w:rPr>
          <w:rFonts w:hint="eastAsia" w:ascii="宋体"/>
          <w:sz w:val="24"/>
        </w:rPr>
        <w:t>1、乙方所提供的服务内容、技术规格、技术参数必须保证最终实施。</w:t>
      </w:r>
    </w:p>
    <w:p w14:paraId="573BA4A4">
      <w:pPr>
        <w:snapToGrid w:val="0"/>
        <w:spacing w:line="480" w:lineRule="exact"/>
        <w:ind w:firstLine="480" w:firstLineChars="200"/>
        <w:rPr>
          <w:rFonts w:hint="eastAsia" w:ascii="宋体"/>
          <w:sz w:val="24"/>
        </w:rPr>
      </w:pPr>
      <w:r>
        <w:rPr>
          <w:rFonts w:hint="eastAsia" w:ascii="宋体"/>
          <w:sz w:val="24"/>
        </w:rPr>
        <w:t>2、乙方所提供的服务各项指标均达到质量要求。</w:t>
      </w:r>
    </w:p>
    <w:p w14:paraId="4A6FCC35">
      <w:pPr>
        <w:snapToGrid w:val="0"/>
        <w:spacing w:line="480" w:lineRule="exact"/>
        <w:ind w:firstLine="480" w:firstLineChars="200"/>
        <w:rPr>
          <w:rFonts w:hint="eastAsia" w:ascii="宋体"/>
          <w:sz w:val="24"/>
        </w:rPr>
      </w:pPr>
      <w:r>
        <w:rPr>
          <w:rFonts w:hint="eastAsia" w:ascii="宋体"/>
          <w:sz w:val="24"/>
          <w:lang w:val="en-US" w:eastAsia="zh-CN"/>
        </w:rPr>
        <w:t>3、服务内容的主体框架包含宣传片的策划方案及行动脚本；软件的界面主体及功能。</w:t>
      </w:r>
    </w:p>
    <w:p w14:paraId="58825999">
      <w:pPr>
        <w:snapToGrid w:val="0"/>
        <w:spacing w:line="480" w:lineRule="exact"/>
        <w:ind w:firstLine="480" w:firstLineChars="200"/>
        <w:outlineLvl w:val="0"/>
        <w:rPr>
          <w:rFonts w:hint="eastAsia" w:ascii="宋体"/>
          <w:sz w:val="24"/>
          <w:lang w:val="en-US" w:eastAsia="zh-CN"/>
        </w:rPr>
      </w:pPr>
      <w:r>
        <w:rPr>
          <w:rFonts w:hint="eastAsia" w:ascii="宋体"/>
          <w:sz w:val="24"/>
          <w:lang w:val="en-US" w:eastAsia="zh-CN"/>
        </w:rPr>
        <w:t>4、宣传片及软件的主体框架在甲方确认后3个月内，乙方应进行最终优化和修改并提交最终成品。</w:t>
      </w:r>
    </w:p>
    <w:p w14:paraId="037D8F7F">
      <w:pPr>
        <w:snapToGrid w:val="0"/>
        <w:spacing w:line="480" w:lineRule="exact"/>
        <w:ind w:firstLine="480" w:firstLineChars="200"/>
        <w:outlineLvl w:val="0"/>
        <w:rPr>
          <w:rFonts w:hint="eastAsia" w:ascii="宋体"/>
          <w:sz w:val="24"/>
          <w:lang w:val="en-US" w:eastAsia="zh-CN"/>
        </w:rPr>
      </w:pPr>
      <w:r>
        <w:rPr>
          <w:rFonts w:hint="eastAsia" w:ascii="宋体"/>
          <w:sz w:val="24"/>
          <w:lang w:val="en-US" w:eastAsia="zh-CN"/>
        </w:rPr>
        <w:t>5、项目验收后1年内根据甲方要求，在不涉及主体框架外，免费进行优化及修改。</w:t>
      </w:r>
    </w:p>
    <w:p w14:paraId="499C2181">
      <w:pPr>
        <w:snapToGrid w:val="0"/>
        <w:spacing w:line="480" w:lineRule="exact"/>
        <w:ind w:firstLine="480" w:firstLineChars="200"/>
        <w:rPr>
          <w:rFonts w:hint="default" w:ascii="宋体"/>
          <w:sz w:val="24"/>
          <w:lang w:val="en-US" w:eastAsia="zh-CN"/>
        </w:rPr>
      </w:pPr>
      <w:r>
        <w:rPr>
          <w:rFonts w:hint="eastAsia" w:ascii="宋体"/>
          <w:sz w:val="24"/>
          <w:lang w:val="en-US" w:eastAsia="zh-CN"/>
        </w:rPr>
        <w:t>6、该项目的售后保证期为1年。</w:t>
      </w:r>
    </w:p>
    <w:p w14:paraId="5EB081ED">
      <w:pPr>
        <w:snapToGrid w:val="0"/>
        <w:spacing w:line="480" w:lineRule="exact"/>
        <w:ind w:firstLine="482" w:firstLineChars="200"/>
        <w:outlineLvl w:val="0"/>
        <w:rPr>
          <w:rFonts w:hint="eastAsia" w:ascii="宋体"/>
          <w:sz w:val="24"/>
        </w:rPr>
      </w:pPr>
      <w:r>
        <w:rPr>
          <w:rFonts w:hint="eastAsia" w:ascii="宋体"/>
          <w:b/>
          <w:sz w:val="24"/>
        </w:rPr>
        <w:t>第三条　权力保证</w:t>
      </w:r>
    </w:p>
    <w:p w14:paraId="57BDA86F">
      <w:pPr>
        <w:snapToGrid w:val="0"/>
        <w:spacing w:line="480" w:lineRule="exact"/>
        <w:ind w:firstLine="480" w:firstLineChars="200"/>
        <w:rPr>
          <w:rFonts w:hint="eastAsia" w:ascii="宋体"/>
          <w:sz w:val="24"/>
        </w:rPr>
      </w:pPr>
      <w:r>
        <w:rPr>
          <w:rFonts w:hint="eastAsia" w:ascii="宋体"/>
          <w:sz w:val="24"/>
        </w:rPr>
        <w:t>乙方保证所提供服务内容不会侵犯任何第三方的专利权、商标权、工业设计权或其他权利。乙方按规定的时间向甲方提供有关技术资料。</w:t>
      </w:r>
    </w:p>
    <w:p w14:paraId="0012C9EE">
      <w:pPr>
        <w:snapToGrid w:val="0"/>
        <w:spacing w:line="480" w:lineRule="exact"/>
        <w:ind w:firstLine="480" w:firstLineChars="200"/>
        <w:rPr>
          <w:rFonts w:hint="eastAsia" w:ascii="宋体"/>
          <w:sz w:val="24"/>
        </w:rPr>
      </w:pPr>
      <w:r>
        <w:rPr>
          <w:rFonts w:hint="eastAsia" w:ascii="宋体"/>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8ECCE22">
      <w:pPr>
        <w:snapToGrid w:val="0"/>
        <w:spacing w:line="480" w:lineRule="exact"/>
        <w:ind w:firstLine="482" w:firstLineChars="200"/>
        <w:outlineLvl w:val="0"/>
        <w:rPr>
          <w:rFonts w:hint="eastAsia" w:ascii="宋体"/>
          <w:sz w:val="24"/>
        </w:rPr>
      </w:pPr>
      <w:r>
        <w:rPr>
          <w:rFonts w:hint="eastAsia" w:ascii="宋体"/>
          <w:b/>
          <w:sz w:val="24"/>
        </w:rPr>
        <w:t>第四条　交付和验收</w:t>
      </w:r>
    </w:p>
    <w:p w14:paraId="3B169135">
      <w:pPr>
        <w:snapToGrid w:val="0"/>
        <w:spacing w:line="480" w:lineRule="exact"/>
        <w:ind w:firstLine="480" w:firstLineChars="200"/>
        <w:rPr>
          <w:rFonts w:hint="eastAsia" w:ascii="宋体"/>
          <w:sz w:val="24"/>
        </w:rPr>
      </w:pPr>
      <w:r>
        <w:rPr>
          <w:rFonts w:hint="eastAsia" w:ascii="宋体"/>
          <w:sz w:val="24"/>
        </w:rPr>
        <w:t>1、交付使用期：在签订合同之日起</w:t>
      </w:r>
      <w:r>
        <w:rPr>
          <w:rFonts w:hint="eastAsia" w:ascii="宋体"/>
          <w:sz w:val="24"/>
          <w:lang w:val="en-US" w:eastAsia="zh-CN"/>
        </w:rPr>
        <w:t>30</w:t>
      </w:r>
      <w:r>
        <w:rPr>
          <w:rFonts w:hint="eastAsia" w:ascii="宋体"/>
          <w:sz w:val="24"/>
        </w:rPr>
        <w:t>个日历日内完成交付使用。</w:t>
      </w:r>
    </w:p>
    <w:p w14:paraId="01255EF9">
      <w:pPr>
        <w:snapToGrid w:val="0"/>
        <w:spacing w:line="480" w:lineRule="exact"/>
        <w:ind w:firstLine="480" w:firstLineChars="200"/>
        <w:rPr>
          <w:rFonts w:hint="eastAsia" w:ascii="宋体"/>
          <w:sz w:val="24"/>
        </w:rPr>
      </w:pPr>
      <w:r>
        <w:rPr>
          <w:rFonts w:hint="eastAsia" w:ascii="宋体"/>
          <w:sz w:val="24"/>
        </w:rPr>
        <w:t>2、乙方提供不符合本合同规定的服务内容，甲方有权拒绝接受。</w:t>
      </w:r>
    </w:p>
    <w:p w14:paraId="03FC5B4F">
      <w:pPr>
        <w:snapToGrid w:val="0"/>
        <w:spacing w:line="480" w:lineRule="exact"/>
        <w:ind w:firstLine="480" w:firstLineChars="200"/>
        <w:rPr>
          <w:rFonts w:hint="eastAsia" w:ascii="宋体"/>
          <w:sz w:val="24"/>
        </w:rPr>
      </w:pPr>
      <w:r>
        <w:rPr>
          <w:rFonts w:hint="eastAsia" w:ascii="宋体"/>
          <w:sz w:val="24"/>
        </w:rPr>
        <w:t>3、甲方应当在全部服务内容完成后</w:t>
      </w:r>
      <w:r>
        <w:rPr>
          <w:rFonts w:hint="eastAsia" w:ascii="宋体"/>
          <w:sz w:val="24"/>
          <w:u w:val="single"/>
        </w:rPr>
        <w:t xml:space="preserve">  5  </w:t>
      </w:r>
      <w:r>
        <w:rPr>
          <w:rFonts w:hint="eastAsia" w:ascii="宋体"/>
          <w:sz w:val="24"/>
        </w:rPr>
        <w:t>个工作日内进行验收，无故逾期不验收的，乙方可视同验收合格。验收合格后由甲乙双方签署验收单并加盖甲方公章，甲乙双方各执一份。</w:t>
      </w:r>
    </w:p>
    <w:p w14:paraId="213F673D">
      <w:pPr>
        <w:snapToGrid w:val="0"/>
        <w:spacing w:line="480" w:lineRule="exact"/>
        <w:ind w:firstLine="482" w:firstLineChars="200"/>
        <w:outlineLvl w:val="0"/>
        <w:rPr>
          <w:rFonts w:hint="eastAsia" w:ascii="宋体"/>
          <w:sz w:val="24"/>
        </w:rPr>
      </w:pPr>
      <w:r>
        <w:rPr>
          <w:rFonts w:hint="eastAsia" w:ascii="宋体"/>
          <w:b/>
          <w:sz w:val="24"/>
        </w:rPr>
        <w:t>第五条　付款方式</w:t>
      </w:r>
    </w:p>
    <w:p w14:paraId="41F32709">
      <w:pPr>
        <w:tabs>
          <w:tab w:val="left" w:pos="540"/>
        </w:tabs>
        <w:spacing w:line="360" w:lineRule="auto"/>
        <w:ind w:firstLine="480" w:firstLineChars="200"/>
        <w:rPr>
          <w:rFonts w:ascii="宋体"/>
          <w:sz w:val="24"/>
        </w:rPr>
      </w:pPr>
      <w:r>
        <w:rPr>
          <w:rFonts w:hint="eastAsia" w:ascii="宋体"/>
          <w:sz w:val="24"/>
        </w:rPr>
        <w:t>1、本合同所发生的费用和结算币种均为人民币。</w:t>
      </w:r>
    </w:p>
    <w:p w14:paraId="68420D3B">
      <w:pPr>
        <w:tabs>
          <w:tab w:val="left" w:pos="540"/>
        </w:tabs>
        <w:spacing w:line="360" w:lineRule="auto"/>
        <w:ind w:firstLine="480" w:firstLineChars="200"/>
        <w:rPr>
          <w:rFonts w:hint="eastAsia" w:ascii="宋体"/>
          <w:sz w:val="24"/>
        </w:rPr>
      </w:pPr>
      <w:r>
        <w:rPr>
          <w:rFonts w:hint="eastAsia" w:ascii="宋体"/>
          <w:sz w:val="24"/>
        </w:rPr>
        <w:t>2、合同总金额为人民币仟元整（小写）</w:t>
      </w:r>
      <w:r>
        <w:rPr>
          <w:rFonts w:hint="eastAsia" w:ascii="宋体"/>
          <w:sz w:val="24"/>
          <w:lang w:val="en-US" w:eastAsia="zh-CN"/>
        </w:rPr>
        <w:t>xxx</w:t>
      </w:r>
      <w:r>
        <w:rPr>
          <w:rFonts w:hint="eastAsia" w:ascii="宋体"/>
          <w:sz w:val="24"/>
        </w:rPr>
        <w:t>元。</w:t>
      </w:r>
    </w:p>
    <w:tbl>
      <w:tblPr>
        <w:tblStyle w:val="13"/>
        <w:tblW w:w="88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5"/>
        <w:gridCol w:w="6904"/>
      </w:tblGrid>
      <w:tr w14:paraId="706AC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5" w:type="dxa"/>
            <w:vAlign w:val="center"/>
          </w:tcPr>
          <w:p w14:paraId="2041B16C">
            <w:pPr>
              <w:pStyle w:val="2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合同支付方式</w:t>
            </w:r>
          </w:p>
        </w:tc>
        <w:tc>
          <w:tcPr>
            <w:tcW w:w="6904" w:type="dxa"/>
          </w:tcPr>
          <w:p w14:paraId="34FFA98A">
            <w:pPr>
              <w:pStyle w:val="2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1、合同签订后7日内，甲方向乙方支付合同30%合同款。</w:t>
            </w:r>
          </w:p>
          <w:p w14:paraId="78073F4B">
            <w:pPr>
              <w:pStyle w:val="2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2、乙方按甲方的需求制作主体框架设计方案，甲方书面确认后7日内，甲方向乙方支付合同70%合同款。</w:t>
            </w:r>
          </w:p>
        </w:tc>
      </w:tr>
    </w:tbl>
    <w:p w14:paraId="639ACC7D">
      <w:pPr>
        <w:snapToGrid w:val="0"/>
        <w:spacing w:line="480" w:lineRule="exact"/>
        <w:ind w:firstLine="482" w:firstLineChars="200"/>
        <w:outlineLvl w:val="0"/>
        <w:rPr>
          <w:rFonts w:hint="eastAsia" w:ascii="宋体"/>
          <w:b/>
          <w:sz w:val="24"/>
        </w:rPr>
      </w:pPr>
      <w:r>
        <w:rPr>
          <w:rFonts w:hint="eastAsia" w:ascii="宋体"/>
          <w:b/>
          <w:sz w:val="24"/>
        </w:rPr>
        <w:t>第六条　违约责任</w:t>
      </w:r>
    </w:p>
    <w:p w14:paraId="45FE78AD">
      <w:pPr>
        <w:pStyle w:val="7"/>
        <w:tabs>
          <w:tab w:val="left" w:pos="420"/>
          <w:tab w:val="left" w:pos="720"/>
        </w:tabs>
        <w:spacing w:line="384" w:lineRule="auto"/>
        <w:ind w:left="420" w:firstLine="480"/>
        <w:rPr>
          <w:color w:val="000000"/>
          <w:sz w:val="24"/>
          <w:szCs w:val="24"/>
        </w:rPr>
      </w:pPr>
      <w:r>
        <w:rPr>
          <w:color w:val="000000"/>
          <w:sz w:val="24"/>
          <w:szCs w:val="24"/>
        </w:rPr>
        <w:t>若因乙方原因导致本项目未能通过最终业主验收，乙方应在甲方指定期间进行整改直至验收合格，由此产生的一切费用均由乙方承担。乙方逾期未进行整改解决的，每逾期一天甲方有权从项目技术服务费中扣除总金额0.1%的违约金；逾期超过［15］天，甲方有权解除合同并要求乙方赔偿甲方因此受到的直接和间接损失（包括但不限于律师费、调查取证费、鉴定费、差旅费等费用）。</w:t>
      </w:r>
    </w:p>
    <w:p w14:paraId="5B4D370C">
      <w:pPr>
        <w:pStyle w:val="7"/>
        <w:snapToGrid w:val="0"/>
        <w:spacing w:line="480" w:lineRule="exact"/>
        <w:ind w:firstLine="472" w:firstLineChars="196"/>
        <w:outlineLvl w:val="0"/>
        <w:rPr>
          <w:rFonts w:hint="eastAsia"/>
          <w:b/>
          <w:sz w:val="24"/>
          <w:szCs w:val="24"/>
        </w:rPr>
      </w:pPr>
      <w:r>
        <w:rPr>
          <w:rFonts w:hint="eastAsia"/>
          <w:b/>
          <w:sz w:val="24"/>
          <w:szCs w:val="24"/>
        </w:rPr>
        <w:t>第七条  不可抗力事件处理</w:t>
      </w:r>
    </w:p>
    <w:p w14:paraId="0131E135">
      <w:pPr>
        <w:pStyle w:val="7"/>
        <w:snapToGrid w:val="0"/>
        <w:spacing w:line="480" w:lineRule="exact"/>
        <w:ind w:firstLine="480" w:firstLineChars="200"/>
        <w:rPr>
          <w:rFonts w:hint="eastAsia"/>
          <w:sz w:val="24"/>
          <w:szCs w:val="24"/>
        </w:rPr>
      </w:pPr>
      <w:r>
        <w:rPr>
          <w:rFonts w:hint="eastAsia"/>
          <w:sz w:val="24"/>
          <w:szCs w:val="24"/>
        </w:rPr>
        <w:t>1、在合同有效期内，任何一方因不可抗力事件导致不能履行合同，则合同履行期可延长，其延长期与不可抗力影响期相同。一方违约后发生不可抗力的,不得要求免除违约责任。</w:t>
      </w:r>
    </w:p>
    <w:p w14:paraId="0AD7B98E">
      <w:pPr>
        <w:pStyle w:val="7"/>
        <w:snapToGrid w:val="0"/>
        <w:spacing w:line="480" w:lineRule="exact"/>
        <w:ind w:firstLine="480" w:firstLineChars="200"/>
        <w:rPr>
          <w:rFonts w:hint="eastAsia"/>
          <w:sz w:val="24"/>
          <w:szCs w:val="24"/>
        </w:rPr>
      </w:pPr>
      <w:r>
        <w:rPr>
          <w:rFonts w:hint="eastAsia"/>
          <w:sz w:val="24"/>
          <w:szCs w:val="24"/>
        </w:rPr>
        <w:t>2、不可抗力事件发生后，应立即通知对方，并寄送有关权威机构出具的证明。</w:t>
      </w:r>
    </w:p>
    <w:p w14:paraId="00BAA3C5">
      <w:pPr>
        <w:pStyle w:val="7"/>
        <w:snapToGrid w:val="0"/>
        <w:spacing w:line="480" w:lineRule="exact"/>
        <w:ind w:firstLine="480" w:firstLineChars="200"/>
        <w:rPr>
          <w:rFonts w:hint="eastAsia"/>
          <w:sz w:val="24"/>
          <w:szCs w:val="24"/>
        </w:rPr>
      </w:pPr>
      <w:r>
        <w:rPr>
          <w:rFonts w:hint="eastAsia"/>
          <w:sz w:val="24"/>
          <w:szCs w:val="24"/>
        </w:rPr>
        <w:t>3、不可抗力事件延续120天以上，双方应通过友好协商，确定是否继续履行合同。</w:t>
      </w:r>
    </w:p>
    <w:p w14:paraId="2E38F7E3">
      <w:pPr>
        <w:snapToGrid w:val="0"/>
        <w:spacing w:line="480" w:lineRule="exact"/>
        <w:ind w:firstLine="482" w:firstLineChars="200"/>
        <w:outlineLvl w:val="0"/>
        <w:rPr>
          <w:rFonts w:hint="eastAsia" w:ascii="宋体"/>
          <w:sz w:val="24"/>
        </w:rPr>
      </w:pPr>
      <w:r>
        <w:rPr>
          <w:rFonts w:hint="eastAsia" w:ascii="宋体"/>
          <w:b/>
          <w:sz w:val="24"/>
        </w:rPr>
        <w:t>第八条  合同争议解决</w:t>
      </w:r>
    </w:p>
    <w:p w14:paraId="7F4B9CCE">
      <w:pPr>
        <w:snapToGrid w:val="0"/>
        <w:spacing w:line="480" w:lineRule="exact"/>
        <w:ind w:firstLine="480" w:firstLineChars="200"/>
        <w:rPr>
          <w:rFonts w:hint="eastAsia" w:ascii="宋体"/>
          <w:sz w:val="24"/>
        </w:rPr>
      </w:pPr>
      <w:r>
        <w:rPr>
          <w:rFonts w:hint="eastAsia" w:ascii="宋体"/>
          <w:sz w:val="24"/>
        </w:rPr>
        <w:t>1、因服务质量问题发生争议的，应邀请国家认可的机构对服务质量进行鉴定。服务质量符合标准的，鉴定费由甲方承担；不符合标准的，鉴定费由乙方承担。</w:t>
      </w:r>
    </w:p>
    <w:p w14:paraId="4C56B33F">
      <w:pPr>
        <w:snapToGrid w:val="0"/>
        <w:spacing w:line="480" w:lineRule="exact"/>
        <w:ind w:firstLine="480" w:firstLineChars="200"/>
        <w:rPr>
          <w:rFonts w:hint="eastAsia" w:ascii="宋体"/>
          <w:sz w:val="24"/>
        </w:rPr>
      </w:pPr>
      <w:r>
        <w:rPr>
          <w:rFonts w:hint="eastAsia" w:ascii="宋体"/>
          <w:sz w:val="24"/>
        </w:rPr>
        <w:t>2、因履行本合同引起的或与本合同有关的争议，甲乙双方应首先通过友好协商解决，如果协商不能解决，应向甲方住所地人民法院诉讼解决。</w:t>
      </w:r>
    </w:p>
    <w:p w14:paraId="63679154">
      <w:pPr>
        <w:snapToGrid w:val="0"/>
        <w:spacing w:line="480" w:lineRule="exact"/>
        <w:ind w:firstLine="480" w:firstLineChars="200"/>
        <w:rPr>
          <w:rFonts w:hint="eastAsia" w:ascii="宋体"/>
          <w:sz w:val="24"/>
        </w:rPr>
      </w:pPr>
      <w:r>
        <w:rPr>
          <w:rFonts w:hint="eastAsia" w:ascii="宋体"/>
          <w:sz w:val="24"/>
        </w:rPr>
        <w:t>3、诉讼期间，本合同继续履行。</w:t>
      </w:r>
    </w:p>
    <w:p w14:paraId="60BC769B">
      <w:pPr>
        <w:pStyle w:val="7"/>
        <w:snapToGrid w:val="0"/>
        <w:spacing w:line="480" w:lineRule="exact"/>
        <w:ind w:firstLine="472" w:firstLineChars="196"/>
        <w:outlineLvl w:val="0"/>
        <w:rPr>
          <w:rFonts w:hint="eastAsia"/>
          <w:b/>
          <w:sz w:val="24"/>
          <w:szCs w:val="24"/>
        </w:rPr>
      </w:pPr>
      <w:r>
        <w:rPr>
          <w:rFonts w:hint="eastAsia"/>
          <w:b/>
          <w:sz w:val="24"/>
          <w:szCs w:val="24"/>
        </w:rPr>
        <w:t>第九条  合同生效及其它</w:t>
      </w:r>
    </w:p>
    <w:p w14:paraId="59C2C1CA">
      <w:pPr>
        <w:snapToGrid w:val="0"/>
        <w:spacing w:line="480" w:lineRule="exact"/>
        <w:ind w:firstLine="480" w:firstLineChars="200"/>
        <w:rPr>
          <w:rFonts w:hint="eastAsia" w:ascii="宋体"/>
          <w:sz w:val="24"/>
        </w:rPr>
      </w:pPr>
      <w:r>
        <w:rPr>
          <w:rFonts w:hint="eastAsia" w:ascii="宋体"/>
          <w:sz w:val="24"/>
        </w:rPr>
        <w:t>1、合同经双方法定代表人或授权代表签字并加盖单位公章后生效。</w:t>
      </w:r>
    </w:p>
    <w:p w14:paraId="51DE7F33">
      <w:pPr>
        <w:snapToGrid w:val="0"/>
        <w:spacing w:line="480" w:lineRule="exact"/>
        <w:ind w:firstLine="480" w:firstLineChars="200"/>
        <w:rPr>
          <w:rFonts w:hint="eastAsia" w:ascii="宋体"/>
          <w:sz w:val="24"/>
        </w:rPr>
      </w:pPr>
      <w:r>
        <w:rPr>
          <w:rFonts w:hint="eastAsia" w:ascii="宋体"/>
          <w:sz w:val="24"/>
        </w:rPr>
        <w:t>2、本合同未尽事宜，遵照《合同法》有关条文执行。</w:t>
      </w:r>
    </w:p>
    <w:p w14:paraId="50A30E7E">
      <w:pPr>
        <w:snapToGrid w:val="0"/>
        <w:spacing w:line="480" w:lineRule="exact"/>
        <w:ind w:firstLine="482" w:firstLineChars="200"/>
        <w:outlineLvl w:val="0"/>
        <w:rPr>
          <w:rFonts w:hint="eastAsia" w:ascii="宋体"/>
          <w:sz w:val="24"/>
        </w:rPr>
      </w:pPr>
      <w:r>
        <w:rPr>
          <w:rFonts w:hint="eastAsia" w:ascii="宋体"/>
          <w:b/>
          <w:sz w:val="24"/>
        </w:rPr>
        <w:t>第十条　</w:t>
      </w:r>
      <w:r>
        <w:rPr>
          <w:rFonts w:hint="eastAsia" w:ascii="宋体"/>
          <w:sz w:val="24"/>
        </w:rPr>
        <w:t>本合同一式贰份，具有同等法律效力，甲乙双方各壹份。。</w:t>
      </w:r>
    </w:p>
    <w:p w14:paraId="4C51DF7E">
      <w:pPr>
        <w:snapToGrid w:val="0"/>
        <w:spacing w:line="400" w:lineRule="exact"/>
        <w:rPr>
          <w:rFonts w:hint="eastAsia" w:ascii="宋体"/>
          <w:sz w:val="24"/>
        </w:rPr>
      </w:pPr>
    </w:p>
    <w:tbl>
      <w:tblPr>
        <w:tblStyle w:val="13"/>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0EC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76F7CE22">
            <w:pPr>
              <w:snapToGrid w:val="0"/>
              <w:spacing w:line="400" w:lineRule="exact"/>
              <w:rPr>
                <w:rFonts w:hint="eastAsia" w:ascii="宋体" w:cs="宋体"/>
                <w:sz w:val="24"/>
              </w:rPr>
            </w:pPr>
            <w:r>
              <w:rPr>
                <w:rFonts w:hint="eastAsia" w:ascii="宋体" w:cs="宋体"/>
                <w:sz w:val="24"/>
              </w:rPr>
              <w:t>甲方（章）</w:t>
            </w:r>
          </w:p>
          <w:p w14:paraId="3C2417B1">
            <w:pPr>
              <w:snapToGrid w:val="0"/>
              <w:spacing w:line="400" w:lineRule="exact"/>
              <w:rPr>
                <w:rFonts w:hint="eastAsia" w:ascii="宋体" w:cs="宋体"/>
                <w:sz w:val="24"/>
              </w:rPr>
            </w:pPr>
            <w:r>
              <w:rPr>
                <w:rFonts w:hint="eastAsia" w:ascii="宋体" w:cs="宋体"/>
                <w:sz w:val="24"/>
              </w:rPr>
              <w:t xml:space="preserve"> </w:t>
            </w:r>
          </w:p>
          <w:p w14:paraId="0B7981F0">
            <w:pPr>
              <w:snapToGrid w:val="0"/>
              <w:spacing w:line="400" w:lineRule="exact"/>
              <w:rPr>
                <w:rFonts w:hint="eastAsia" w:ascii="宋体" w:cs="宋体"/>
                <w:sz w:val="24"/>
              </w:rPr>
            </w:pPr>
          </w:p>
          <w:p w14:paraId="600829C0">
            <w:pPr>
              <w:snapToGrid w:val="0"/>
              <w:spacing w:line="400" w:lineRule="exact"/>
              <w:ind w:firstLine="1080" w:firstLineChars="450"/>
              <w:jc w:val="right"/>
              <w:rPr>
                <w:rFonts w:hint="eastAsia" w:ascii="宋体" w:cs="宋体"/>
                <w:sz w:val="24"/>
              </w:rPr>
            </w:pPr>
            <w:r>
              <w:rPr>
                <w:rFonts w:hint="eastAsia" w:ascii="宋体" w:cs="宋体"/>
                <w:sz w:val="24"/>
              </w:rPr>
              <w:t>年   月   日</w:t>
            </w:r>
          </w:p>
        </w:tc>
        <w:tc>
          <w:tcPr>
            <w:tcW w:w="4517" w:type="dxa"/>
            <w:vAlign w:val="center"/>
          </w:tcPr>
          <w:p w14:paraId="647A3F94">
            <w:pPr>
              <w:snapToGrid w:val="0"/>
              <w:spacing w:line="400" w:lineRule="exact"/>
              <w:rPr>
                <w:rFonts w:hint="eastAsia" w:ascii="宋体" w:cs="宋体"/>
                <w:sz w:val="24"/>
              </w:rPr>
            </w:pPr>
            <w:r>
              <w:rPr>
                <w:rFonts w:hint="eastAsia" w:ascii="宋体" w:cs="宋体"/>
                <w:sz w:val="24"/>
              </w:rPr>
              <w:t>乙方（章）</w:t>
            </w:r>
          </w:p>
          <w:p w14:paraId="1754E2DF">
            <w:pPr>
              <w:snapToGrid w:val="0"/>
              <w:spacing w:line="400" w:lineRule="exact"/>
              <w:rPr>
                <w:rFonts w:hint="eastAsia" w:ascii="宋体" w:cs="宋体"/>
                <w:sz w:val="24"/>
              </w:rPr>
            </w:pPr>
            <w:r>
              <w:rPr>
                <w:rFonts w:hint="eastAsia" w:ascii="宋体" w:cs="宋体"/>
                <w:sz w:val="24"/>
              </w:rPr>
              <w:t xml:space="preserve">                 </w:t>
            </w:r>
            <w:r>
              <w:rPr>
                <w:rFonts w:hint="eastAsia" w:ascii="宋体" w:cs="宋体"/>
                <w:sz w:val="24"/>
                <w:lang w:val="en-US" w:eastAsia="zh-CN"/>
              </w:rPr>
              <w:t xml:space="preserve">    </w:t>
            </w:r>
            <w:r>
              <w:rPr>
                <w:rFonts w:hint="eastAsia" w:ascii="宋体" w:cs="宋体"/>
                <w:sz w:val="24"/>
              </w:rPr>
              <w:t>年</w:t>
            </w:r>
            <w:r>
              <w:rPr>
                <w:rFonts w:hint="eastAsia" w:ascii="宋体" w:cs="宋体"/>
                <w:sz w:val="24"/>
                <w:lang w:val="en-US" w:eastAsia="zh-CN"/>
              </w:rPr>
              <w:t xml:space="preserve">   </w:t>
            </w:r>
            <w:r>
              <w:rPr>
                <w:rFonts w:hint="eastAsia" w:ascii="宋体" w:cs="宋体"/>
                <w:sz w:val="24"/>
              </w:rPr>
              <w:t>月</w:t>
            </w:r>
            <w:r>
              <w:rPr>
                <w:rFonts w:hint="eastAsia" w:ascii="宋体" w:cs="宋体"/>
                <w:sz w:val="24"/>
                <w:lang w:val="en-US" w:eastAsia="zh-CN"/>
              </w:rPr>
              <w:t xml:space="preserve">  </w:t>
            </w:r>
            <w:r>
              <w:rPr>
                <w:rFonts w:hint="eastAsia" w:ascii="宋体" w:cs="宋体"/>
                <w:sz w:val="24"/>
              </w:rPr>
              <w:t xml:space="preserve">  日</w:t>
            </w:r>
          </w:p>
        </w:tc>
      </w:tr>
      <w:tr w14:paraId="5576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4516" w:type="dxa"/>
            <w:vAlign w:val="center"/>
          </w:tcPr>
          <w:p w14:paraId="63BB7963">
            <w:pPr>
              <w:snapToGrid w:val="0"/>
              <w:spacing w:line="400" w:lineRule="exact"/>
              <w:rPr>
                <w:rFonts w:hint="eastAsia" w:ascii="宋体" w:cs="宋体"/>
                <w:sz w:val="24"/>
              </w:rPr>
            </w:pPr>
            <w:r>
              <w:rPr>
                <w:rFonts w:hint="eastAsia" w:ascii="宋体" w:cs="宋体"/>
                <w:sz w:val="24"/>
              </w:rPr>
              <w:t xml:space="preserve">单位地址： </w:t>
            </w:r>
          </w:p>
        </w:tc>
        <w:tc>
          <w:tcPr>
            <w:tcW w:w="4517" w:type="dxa"/>
            <w:vAlign w:val="center"/>
          </w:tcPr>
          <w:p w14:paraId="0A3A87BE">
            <w:pPr>
              <w:snapToGrid w:val="0"/>
              <w:spacing w:line="400" w:lineRule="exact"/>
              <w:rPr>
                <w:rFonts w:hint="eastAsia" w:ascii="宋体" w:cs="宋体"/>
                <w:sz w:val="24"/>
              </w:rPr>
            </w:pPr>
            <w:r>
              <w:rPr>
                <w:rFonts w:hint="eastAsia" w:ascii="宋体" w:cs="宋体"/>
                <w:sz w:val="24"/>
              </w:rPr>
              <w:t>单位地址：</w:t>
            </w:r>
          </w:p>
        </w:tc>
      </w:tr>
      <w:tr w14:paraId="7062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4516" w:type="dxa"/>
            <w:vAlign w:val="center"/>
          </w:tcPr>
          <w:p w14:paraId="186041F3">
            <w:pPr>
              <w:snapToGrid w:val="0"/>
              <w:spacing w:line="400" w:lineRule="exact"/>
              <w:rPr>
                <w:rFonts w:hint="eastAsia" w:ascii="宋体" w:cs="宋体"/>
                <w:sz w:val="24"/>
              </w:rPr>
            </w:pPr>
            <w:r>
              <w:rPr>
                <w:rFonts w:hint="eastAsia" w:ascii="宋体" w:cs="宋体"/>
                <w:sz w:val="24"/>
              </w:rPr>
              <w:t>签约代表：</w:t>
            </w:r>
          </w:p>
        </w:tc>
        <w:tc>
          <w:tcPr>
            <w:tcW w:w="4517" w:type="dxa"/>
            <w:vAlign w:val="center"/>
          </w:tcPr>
          <w:p w14:paraId="7334D5AE">
            <w:pPr>
              <w:snapToGrid w:val="0"/>
              <w:spacing w:line="400" w:lineRule="exact"/>
              <w:rPr>
                <w:rFonts w:hint="eastAsia" w:ascii="宋体" w:cs="宋体"/>
                <w:sz w:val="24"/>
              </w:rPr>
            </w:pPr>
            <w:r>
              <w:rPr>
                <w:rFonts w:hint="eastAsia" w:ascii="宋体" w:cs="宋体"/>
                <w:sz w:val="24"/>
              </w:rPr>
              <w:t>签约代表：</w:t>
            </w:r>
          </w:p>
        </w:tc>
      </w:tr>
      <w:tr w14:paraId="1FFD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4516" w:type="dxa"/>
            <w:vAlign w:val="center"/>
          </w:tcPr>
          <w:p w14:paraId="15BD1171">
            <w:pPr>
              <w:snapToGrid w:val="0"/>
              <w:spacing w:line="400" w:lineRule="exact"/>
              <w:rPr>
                <w:rFonts w:hint="eastAsia" w:ascii="宋体" w:cs="宋体"/>
                <w:sz w:val="24"/>
              </w:rPr>
            </w:pPr>
            <w:r>
              <w:rPr>
                <w:rFonts w:hint="eastAsia" w:ascii="宋体" w:cs="宋体"/>
                <w:sz w:val="24"/>
              </w:rPr>
              <w:t>联系人及电话：</w:t>
            </w:r>
          </w:p>
        </w:tc>
        <w:tc>
          <w:tcPr>
            <w:tcW w:w="4517" w:type="dxa"/>
            <w:vAlign w:val="center"/>
          </w:tcPr>
          <w:p w14:paraId="1E1CA7BB">
            <w:pPr>
              <w:snapToGrid w:val="0"/>
              <w:spacing w:line="400" w:lineRule="exact"/>
              <w:rPr>
                <w:rFonts w:hint="eastAsia" w:ascii="宋体" w:cs="宋体"/>
                <w:sz w:val="24"/>
              </w:rPr>
            </w:pPr>
            <w:r>
              <w:rPr>
                <w:rFonts w:hint="eastAsia" w:ascii="宋体" w:cs="宋体"/>
                <w:sz w:val="24"/>
              </w:rPr>
              <w:t>联系人及电话：</w:t>
            </w:r>
          </w:p>
        </w:tc>
      </w:tr>
      <w:tr w14:paraId="1E64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16" w:type="dxa"/>
            <w:vAlign w:val="center"/>
          </w:tcPr>
          <w:p w14:paraId="164BB471">
            <w:pPr>
              <w:snapToGrid w:val="0"/>
              <w:spacing w:line="400" w:lineRule="exact"/>
              <w:rPr>
                <w:rFonts w:hint="eastAsia" w:ascii="宋体" w:cs="宋体"/>
                <w:sz w:val="24"/>
              </w:rPr>
            </w:pPr>
            <w:r>
              <w:rPr>
                <w:rFonts w:hint="eastAsia" w:ascii="宋体" w:cs="宋体"/>
                <w:sz w:val="24"/>
              </w:rPr>
              <w:t>电子邮箱：</w:t>
            </w:r>
          </w:p>
        </w:tc>
        <w:tc>
          <w:tcPr>
            <w:tcW w:w="4517" w:type="dxa"/>
            <w:vAlign w:val="center"/>
          </w:tcPr>
          <w:p w14:paraId="61D62BA1">
            <w:pPr>
              <w:snapToGrid w:val="0"/>
              <w:spacing w:line="400" w:lineRule="exact"/>
              <w:rPr>
                <w:rFonts w:hint="eastAsia" w:ascii="宋体" w:cs="宋体"/>
                <w:sz w:val="24"/>
              </w:rPr>
            </w:pPr>
            <w:r>
              <w:rPr>
                <w:rFonts w:hint="eastAsia" w:ascii="宋体" w:cs="宋体"/>
                <w:sz w:val="24"/>
              </w:rPr>
              <w:t>电子邮箱：</w:t>
            </w:r>
          </w:p>
        </w:tc>
      </w:tr>
      <w:tr w14:paraId="42B0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27765978">
            <w:pPr>
              <w:snapToGrid w:val="0"/>
              <w:spacing w:line="400" w:lineRule="exact"/>
              <w:rPr>
                <w:rFonts w:hint="eastAsia" w:ascii="宋体" w:cs="宋体"/>
                <w:sz w:val="24"/>
              </w:rPr>
            </w:pPr>
            <w:r>
              <w:rPr>
                <w:rFonts w:hint="eastAsia" w:ascii="宋体" w:cs="宋体"/>
                <w:sz w:val="24"/>
              </w:rPr>
              <w:t xml:space="preserve">开户银行： </w:t>
            </w:r>
          </w:p>
        </w:tc>
        <w:tc>
          <w:tcPr>
            <w:tcW w:w="4517" w:type="dxa"/>
            <w:vAlign w:val="center"/>
          </w:tcPr>
          <w:p w14:paraId="3A27B44A">
            <w:pPr>
              <w:snapToGrid w:val="0"/>
              <w:spacing w:line="400" w:lineRule="exact"/>
              <w:rPr>
                <w:rFonts w:ascii="宋体" w:cs="宋体"/>
                <w:sz w:val="24"/>
              </w:rPr>
            </w:pPr>
            <w:r>
              <w:rPr>
                <w:rFonts w:hint="eastAsia" w:ascii="宋体" w:cs="宋体"/>
                <w:sz w:val="24"/>
              </w:rPr>
              <w:t>开户银行：</w:t>
            </w:r>
          </w:p>
        </w:tc>
      </w:tr>
      <w:tr w14:paraId="4A16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621DC205">
            <w:pPr>
              <w:snapToGrid w:val="0"/>
              <w:spacing w:line="400" w:lineRule="exact"/>
              <w:rPr>
                <w:rFonts w:hint="eastAsia" w:ascii="宋体" w:cs="宋体"/>
                <w:sz w:val="24"/>
              </w:rPr>
            </w:pPr>
            <w:r>
              <w:rPr>
                <w:rFonts w:hint="eastAsia" w:ascii="宋体" w:cs="宋体"/>
                <w:sz w:val="24"/>
              </w:rPr>
              <w:t>账号：</w:t>
            </w:r>
          </w:p>
        </w:tc>
        <w:tc>
          <w:tcPr>
            <w:tcW w:w="4517" w:type="dxa"/>
            <w:vAlign w:val="center"/>
          </w:tcPr>
          <w:p w14:paraId="3D944F45">
            <w:pPr>
              <w:snapToGrid w:val="0"/>
              <w:spacing w:line="400" w:lineRule="exact"/>
              <w:rPr>
                <w:rFonts w:ascii="宋体" w:cs="宋体"/>
                <w:sz w:val="24"/>
              </w:rPr>
            </w:pPr>
            <w:r>
              <w:rPr>
                <w:rFonts w:hint="eastAsia" w:ascii="宋体" w:cs="宋体"/>
                <w:sz w:val="24"/>
              </w:rPr>
              <w:t>账号：</w:t>
            </w:r>
          </w:p>
        </w:tc>
      </w:tr>
      <w:tr w14:paraId="20BA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5325656A">
            <w:pPr>
              <w:snapToGrid w:val="0"/>
              <w:spacing w:line="400" w:lineRule="exact"/>
              <w:rPr>
                <w:rFonts w:hint="eastAsia" w:ascii="宋体" w:cs="宋体"/>
                <w:sz w:val="24"/>
              </w:rPr>
            </w:pPr>
            <w:r>
              <w:rPr>
                <w:rFonts w:hint="eastAsia" w:ascii="宋体" w:cs="宋体"/>
                <w:sz w:val="24"/>
              </w:rPr>
              <w:t>邮政编码：</w:t>
            </w:r>
          </w:p>
        </w:tc>
        <w:tc>
          <w:tcPr>
            <w:tcW w:w="4517" w:type="dxa"/>
            <w:vAlign w:val="center"/>
          </w:tcPr>
          <w:p w14:paraId="2E8AE120">
            <w:pPr>
              <w:snapToGrid w:val="0"/>
              <w:spacing w:line="400" w:lineRule="exact"/>
              <w:rPr>
                <w:rFonts w:ascii="宋体" w:cs="宋体"/>
                <w:sz w:val="24"/>
              </w:rPr>
            </w:pPr>
            <w:r>
              <w:rPr>
                <w:rFonts w:hint="eastAsia" w:ascii="宋体" w:cs="宋体"/>
                <w:sz w:val="24"/>
              </w:rPr>
              <w:t>邮政编码：</w:t>
            </w:r>
          </w:p>
        </w:tc>
      </w:tr>
    </w:tbl>
    <w:p w14:paraId="1DB721AD"/>
    <w:p w14:paraId="5289625D">
      <w:pPr>
        <w:rPr>
          <w:rFonts w:hint="default" w:ascii="宋体" w:hAnsi="宋体" w:eastAsia="宋体" w:cs="宋体"/>
          <w:sz w:val="24"/>
          <w:szCs w:val="32"/>
          <w:lang w:val="en-US" w:eastAsia="zh-CN"/>
        </w:rPr>
      </w:pPr>
    </w:p>
    <w:sectPr>
      <w:footerReference r:id="rId3" w:type="default"/>
      <w:pgSz w:w="11906" w:h="16838"/>
      <w:pgMar w:top="1383" w:right="1293" w:bottom="1327" w:left="129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745AC6"/>
    <w:rsid w:val="108A4FA0"/>
    <w:rsid w:val="115251AE"/>
    <w:rsid w:val="128A572B"/>
    <w:rsid w:val="137205A3"/>
    <w:rsid w:val="138E2060"/>
    <w:rsid w:val="14416FC6"/>
    <w:rsid w:val="14DE0881"/>
    <w:rsid w:val="15474BF8"/>
    <w:rsid w:val="1569686F"/>
    <w:rsid w:val="16052A7F"/>
    <w:rsid w:val="16556050"/>
    <w:rsid w:val="167C30C3"/>
    <w:rsid w:val="169951BC"/>
    <w:rsid w:val="183B56FD"/>
    <w:rsid w:val="18AE0B48"/>
    <w:rsid w:val="18EF3710"/>
    <w:rsid w:val="1A146B0D"/>
    <w:rsid w:val="1A394265"/>
    <w:rsid w:val="1B215742"/>
    <w:rsid w:val="1CC932F4"/>
    <w:rsid w:val="1E303C84"/>
    <w:rsid w:val="1EA56673"/>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6F7D4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60247F"/>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CB6FAB"/>
    <w:rsid w:val="542826BF"/>
    <w:rsid w:val="545B5616"/>
    <w:rsid w:val="54785C40"/>
    <w:rsid w:val="55915C48"/>
    <w:rsid w:val="56DC71A4"/>
    <w:rsid w:val="56EB10E9"/>
    <w:rsid w:val="57D30182"/>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B776A6D"/>
    <w:rsid w:val="6BCB02F6"/>
    <w:rsid w:val="6CA81B7D"/>
    <w:rsid w:val="6D7B66F3"/>
    <w:rsid w:val="6E661D1D"/>
    <w:rsid w:val="7007345D"/>
    <w:rsid w:val="706E1953"/>
    <w:rsid w:val="707966E1"/>
    <w:rsid w:val="729A0B48"/>
    <w:rsid w:val="729B4033"/>
    <w:rsid w:val="75A82C1C"/>
    <w:rsid w:val="75C93329"/>
    <w:rsid w:val="77354B5A"/>
    <w:rsid w:val="77875CB0"/>
    <w:rsid w:val="77CE5972"/>
    <w:rsid w:val="786F5C73"/>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character" w:styleId="15">
    <w:name w:val="Strong"/>
    <w:basedOn w:val="14"/>
    <w:qFormat/>
    <w:uiPriority w:val="22"/>
    <w:rPr>
      <w:b/>
      <w:bCs/>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8"/>
    <w:qFormat/>
    <w:uiPriority w:val="0"/>
    <w:rPr>
      <w:rFonts w:ascii="Calibri" w:hAnsi="Calibri" w:eastAsia="宋体" w:cs="Arial"/>
      <w:kern w:val="2"/>
      <w:sz w:val="18"/>
      <w:szCs w:val="18"/>
    </w:rPr>
  </w:style>
  <w:style w:type="paragraph" w:customStyle="1" w:styleId="19">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01"/>
    <w:basedOn w:val="14"/>
    <w:qFormat/>
    <w:uiPriority w:val="0"/>
    <w:rPr>
      <w:rFonts w:hint="eastAsia" w:ascii="宋体" w:hAnsi="宋体" w:eastAsia="宋体" w:cs="宋体"/>
      <w:color w:val="000000"/>
      <w:sz w:val="20"/>
      <w:szCs w:val="20"/>
      <w:u w:val="none"/>
    </w:rPr>
  </w:style>
  <w:style w:type="character" w:customStyle="1" w:styleId="22">
    <w:name w:val="font11"/>
    <w:basedOn w:val="14"/>
    <w:qFormat/>
    <w:uiPriority w:val="0"/>
    <w:rPr>
      <w:rFonts w:hint="eastAsia" w:ascii="微软雅黑" w:hAnsi="微软雅黑" w:eastAsia="微软雅黑" w:cs="微软雅黑"/>
      <w:color w:val="000000"/>
      <w:sz w:val="20"/>
      <w:szCs w:val="20"/>
      <w:u w:val="none"/>
    </w:rPr>
  </w:style>
  <w:style w:type="paragraph" w:customStyle="1" w:styleId="23">
    <w:name w:val="样式3"/>
    <w:basedOn w:val="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7699</Words>
  <Characters>8097</Characters>
  <Lines>4</Lines>
  <Paragraphs>7</Paragraphs>
  <TotalTime>9</TotalTime>
  <ScaleCrop>false</ScaleCrop>
  <LinksUpToDate>false</LinksUpToDate>
  <CharactersWithSpaces>8576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2025-11-20T07:33:12Z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