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eastAsia="宋体" w:cs="宋体"/>
          <w:b/>
          <w:bCs/>
          <w:color w:val="0000FF"/>
          <w:kern w:val="0"/>
          <w:sz w:val="28"/>
          <w:szCs w:val="28"/>
          <w:shd w:val="clear" w:color="auto" w:fill="FFFFFF"/>
        </w:rPr>
        <w:t>LCCQJJ</w:t>
      </w:r>
      <w:r>
        <w:rPr>
          <w:rFonts w:hint="eastAsia" w:ascii="宋体" w:hAnsi="宋体" w:eastAsia="宋体" w:cs="宋体"/>
          <w:b/>
          <w:bCs/>
          <w:color w:val="0000FF"/>
          <w:kern w:val="0"/>
          <w:sz w:val="28"/>
          <w:szCs w:val="28"/>
          <w:shd w:val="clear" w:color="auto" w:fill="FFFFFF"/>
          <w:lang w:val="en-US" w:eastAsia="zh-CN"/>
        </w:rPr>
        <w:t>202510</w:t>
      </w:r>
      <w:r>
        <w:rPr>
          <w:rFonts w:hint="eastAsia" w:ascii="宋体" w:hAnsi="宋体" w:cs="宋体"/>
          <w:b/>
          <w:bCs/>
          <w:color w:val="0000FF"/>
          <w:kern w:val="0"/>
          <w:sz w:val="28"/>
          <w:szCs w:val="28"/>
          <w:shd w:val="clear" w:color="auto" w:fill="FFFFFF"/>
          <w:lang w:val="en-US" w:eastAsia="zh-CN"/>
        </w:rPr>
        <w:t>24-1</w:t>
      </w:r>
      <w:r>
        <w:rPr>
          <w:rFonts w:hint="eastAsia" w:ascii="宋体" w:hAnsi="宋体" w:eastAsia="宋体" w:cs="宋体"/>
          <w:b/>
          <w:bCs/>
          <w:color w:val="000000"/>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24</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10:00止。</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23</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下午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0000FF"/>
          <w:sz w:val="28"/>
          <w:szCs w:val="28"/>
          <w:lang w:val="en-US" w:eastAsia="zh-CN"/>
        </w:rPr>
        <w:t>0597-8911670</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福建省连城桃坪矿业有限公司股权收购服务采购项目选取法律尽职调查服务机构</w:t>
      </w:r>
      <w:r>
        <w:rPr>
          <w:rFonts w:hint="eastAsia" w:ascii="宋体" w:hAnsi="宋体" w:eastAsia="宋体" w:cs="宋体"/>
          <w:b w:val="0"/>
          <w:bCs w:val="0"/>
          <w:color w:val="auto"/>
          <w:sz w:val="28"/>
          <w:szCs w:val="28"/>
          <w:lang w:val="en-US" w:eastAsia="zh-CN"/>
        </w:rPr>
        <w:t>。</w:t>
      </w:r>
    </w:p>
    <w:p w14:paraId="47FD0B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福建省连城桃坪矿业有限公司股权收购服务采购项目策划、谈判、尽调、起草法律文书等非诉讼专项法律事务,出具《法律尽职调查报告》（一式两份），为收购福建省连城桃坪矿业有限公司股权决策提供关键依据和估值参考。</w:t>
      </w:r>
    </w:p>
    <w:p w14:paraId="1D87B5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color w:val="0000FF"/>
          <w:sz w:val="28"/>
          <w:szCs w:val="28"/>
          <w:lang w:val="en-US" w:eastAsia="zh-CN"/>
        </w:rPr>
        <w:t>26700</w:t>
      </w:r>
      <w:r>
        <w:rPr>
          <w:rFonts w:hint="eastAsia" w:ascii="宋体" w:hAnsi="宋体" w:eastAsia="宋体" w:cs="宋体"/>
          <w:color w:val="0000FF"/>
          <w:sz w:val="28"/>
          <w:szCs w:val="28"/>
          <w:lang w:val="en-US" w:eastAsia="zh-CN"/>
        </w:rPr>
        <w:t>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000元。</w:t>
      </w:r>
    </w:p>
    <w:p w14:paraId="0C36BC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0000FF"/>
          <w:sz w:val="28"/>
          <w:szCs w:val="28"/>
          <w:lang w:val="en-US" w:eastAsia="zh-CN"/>
        </w:rPr>
        <w:t>在收到尽调业务通知后必须尽快与委托人对接并进场，</w:t>
      </w:r>
      <w:r>
        <w:rPr>
          <w:rFonts w:hint="eastAsia" w:ascii="宋体" w:hAnsi="宋体" w:cs="宋体"/>
          <w:color w:val="0000FF"/>
          <w:sz w:val="28"/>
          <w:szCs w:val="28"/>
          <w:lang w:val="en-US" w:eastAsia="zh-CN"/>
        </w:rPr>
        <w:t>根据委托人要求</w:t>
      </w:r>
      <w:r>
        <w:rPr>
          <w:rFonts w:hint="eastAsia" w:ascii="宋体" w:hAnsi="宋体" w:eastAsia="宋体" w:cs="宋体"/>
          <w:color w:val="0000FF"/>
          <w:sz w:val="28"/>
          <w:szCs w:val="28"/>
          <w:lang w:val="en-US" w:eastAsia="zh-CN"/>
        </w:rPr>
        <w:t>按时完成调查工作并提交《法律尽职调查报告》</w:t>
      </w:r>
      <w:r>
        <w:rPr>
          <w:rFonts w:hint="eastAsia" w:ascii="宋体" w:hAnsi="宋体" w:eastAsia="宋体" w:cs="宋体"/>
          <w:b w:val="0"/>
          <w:bCs w:val="0"/>
          <w:color w:val="0000FF"/>
          <w:sz w:val="28"/>
          <w:szCs w:val="28"/>
          <w:lang w:val="en-US" w:eastAsia="zh-CN"/>
        </w:rPr>
        <w:t>。</w:t>
      </w:r>
    </w:p>
    <w:p w14:paraId="18564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2B7DF10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（1）在尽职调查过程中要严格按照国家法律法规相关要求进行尽职调查。</w:t>
      </w:r>
    </w:p>
    <w:p w14:paraId="395164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（2）律师事务所委派的经办律师应当具备胜任的专业能力，遵守行业职业道德和执业纪律，独立、客观、公正，依据事实和法律做出判断，尽最大努力维护委托人利益。</w:t>
      </w:r>
      <w:r>
        <w:rPr>
          <w:rFonts w:hint="eastAsia" w:ascii="宋体" w:hAnsi="宋体" w:eastAsia="宋体" w:cs="宋体"/>
          <w:color w:val="0000FF"/>
          <w:sz w:val="28"/>
          <w:szCs w:val="28"/>
          <w:lang w:eastAsia="zh-CN"/>
        </w:rPr>
        <w:t>若因职业变动或其他不可抗力等特殊情况，需更换主办律师的，应提前三个工作日以书面形式通知</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新指派的律师应具备与原主办律师相当的专业资质和执业经验，且需</w:t>
      </w:r>
      <w:r>
        <w:rPr>
          <w:rFonts w:hint="eastAsia" w:ascii="宋体" w:hAnsi="宋体" w:eastAsia="宋体" w:cs="宋体"/>
          <w:color w:val="0000FF"/>
          <w:sz w:val="28"/>
          <w:szCs w:val="28"/>
          <w:lang w:eastAsia="zh-CN"/>
        </w:rPr>
        <w:t>获得</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rPr>
        <w:t>书面同意；未经</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rPr>
        <w:t>同意，不得擅自更换主办律师。</w:t>
      </w:r>
    </w:p>
    <w:p w14:paraId="30F46B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尽职调查目的为调查目标公司的相关证照，实控人，主体合法性，资产和负债情况，经营和财务情况、法律关系，股东背景资料调查，资产入账原始成本真实准确性，对外担保，业务开展，重大合同，税务，环保，劳动关系，关联企业情况，董事、监事、高管人员对外公开基本情况，诉讼仲裁和可能涉及的行政处罚等一系列法律问题以及成立合资公司带来的机会和潜在风险进行充分、详实的调查，从而合法、客观、公正地进行尽职调查，出具符合要求、规范的《法律尽职调查报告》和专项《法律意见书》，能真实、完整地反映出与目标公司的财务、业务法律等风险情况。</w:t>
      </w:r>
    </w:p>
    <w:p w14:paraId="0D48F8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（4）律师事务所及委派的经办律师、律师事务所负责人对出具的《法律尽职调查报告》和专项《法律意见书》的客观性、真实性、公正性承担法律责任。</w:t>
      </w:r>
    </w:p>
    <w:p w14:paraId="389A85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对执行尽职调查业务过程中知悉和接触的委托人和目标公司的商业秘密应严加保密、对委托人提供的有关资料和尽职调查结果保密，未经委托人书面同意不得泄露或者披露，如有违反应承担由此引起的法律责任和法律后果。</w:t>
      </w:r>
    </w:p>
    <w:p w14:paraId="1A87CB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（6）成交的律师事务所在收到业务通知后必须尽快与委托人经办人员对接并进场，</w:t>
      </w:r>
      <w:r>
        <w:rPr>
          <w:rFonts w:hint="eastAsia" w:ascii="宋体" w:hAnsi="宋体" w:cs="宋体"/>
          <w:color w:val="0000FF"/>
          <w:sz w:val="28"/>
          <w:szCs w:val="28"/>
          <w:lang w:val="en-US" w:eastAsia="zh-CN"/>
        </w:rPr>
        <w:t>根据委托人要求</w:t>
      </w:r>
      <w:r>
        <w:rPr>
          <w:rFonts w:hint="eastAsia" w:ascii="宋体" w:hAnsi="宋体" w:eastAsia="宋体" w:cs="宋体"/>
          <w:color w:val="0000FF"/>
          <w:sz w:val="28"/>
          <w:szCs w:val="28"/>
          <w:lang w:val="en-US" w:eastAsia="zh-CN"/>
        </w:rPr>
        <w:t>按时完成尽调工作并出具纸质《法律尽职调查报告》和专项《法律意见书》（纸质文件均需胶印成册并加盖公章），同时报送同口径的电子文档，无正当理由不得拖延，如因项目复杂可根据具体情况另行商定完成时间。若不能按期完成法律尽职调查任务的，委托人可视实际情况考虑予以更换，并由不能按期完成尽职调查任务的成交的律师事务所承担由此引起的经济和法律责任。</w:t>
      </w:r>
    </w:p>
    <w:p w14:paraId="687670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（7）协助委托人开展项目投资协议的谈判并草拟及审查相关法律文书，提供法律咨询和法律风险防控措施。</w:t>
      </w:r>
    </w:p>
    <w:p w14:paraId="1956F2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成交的律师事务所及其委派的经办律师尽职调查工作或者尽职调查报告质量不符合统一工作要求，委托人可要求补充相关资料或者重新进行尽职调查；调查质量存在较大问题的，委托人有权少付费或不付费。</w:t>
      </w:r>
    </w:p>
    <w:p w14:paraId="75F58D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9）成交的律师事务所及其委派的经办律师违反有关法律法规、执业规范和职业道德，与目标公司及相关人员串通，弄虚作假，出具不实或虚假内容的《法律尽职调查报告》和《法律意见书》的，委托人将通报有关部门依法予以处罚，并有权对律师事务所予以调整更换。</w:t>
      </w:r>
    </w:p>
    <w:p w14:paraId="0D115F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FF"/>
          <w:sz w:val="28"/>
          <w:szCs w:val="28"/>
          <w:lang w:val="en-US" w:eastAsia="zh-CN"/>
        </w:rPr>
        <w:t>（10）若存在未按约定提供服务，擅自更换主办律师，应支付违约金（按代理费50%计）给委托人，若造成的损失大于违约金时，按造成的损失赔偿</w:t>
      </w:r>
      <w:r>
        <w:rPr>
          <w:rFonts w:hint="eastAsia" w:ascii="宋体" w:hAnsi="宋体" w:eastAsia="宋体" w:cs="宋体"/>
          <w:color w:val="000000"/>
          <w:sz w:val="28"/>
          <w:szCs w:val="28"/>
          <w:lang w:val="en-US" w:eastAsia="zh-CN"/>
        </w:rPr>
        <w:t>。</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15C76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1.遵守中华人民共和国法律、法规，依法成立具备国家行业主管部门颁发的合法有效的相关执业资质的律师事务所，但已经被列入失信被执行人名单（截止报名时间）的除外。</w:t>
      </w:r>
    </w:p>
    <w:p w14:paraId="6A105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14:paraId="20C666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3.竞价人必须是委托方邀请的单位。</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eastAsia="宋体" w:cs="宋体"/>
          <w:color w:val="0000FF"/>
          <w:sz w:val="28"/>
          <w:szCs w:val="28"/>
          <w:lang w:val="en-US" w:eastAsia="zh-CN"/>
        </w:rPr>
        <w:t>3000元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23</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下午</w:t>
      </w:r>
      <w:r>
        <w:rPr>
          <w:rFonts w:hint="eastAsia" w:ascii="宋体" w:hAnsi="宋体" w:cs="宋体"/>
          <w:b/>
          <w:bCs/>
          <w:color w:val="0000FF"/>
          <w:kern w:val="0"/>
          <w:sz w:val="28"/>
          <w:szCs w:val="28"/>
          <w:shd w:val="clear" w:color="auto" w:fill="FFFFFF"/>
          <w:lang w:val="en-US" w:eastAsia="zh-CN"/>
        </w:rPr>
        <w:t>17</w:t>
      </w:r>
      <w:r>
        <w:rPr>
          <w:rFonts w:hint="eastAsia" w:ascii="宋体" w:hAnsi="宋体" w:eastAsia="宋体" w:cs="宋体"/>
          <w:b/>
          <w:bCs/>
          <w:color w:val="0000FF"/>
          <w:kern w:val="0"/>
          <w:sz w:val="28"/>
          <w:szCs w:val="28"/>
          <w:shd w:val="clear" w:color="auto" w:fill="FFFFFF"/>
          <w:lang w:val="en-US" w:eastAsia="zh-CN"/>
        </w:rPr>
        <w:t>:00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eastAsia="宋体" w:cs="宋体"/>
          <w:b/>
          <w:bCs/>
          <w:color w:val="auto"/>
          <w:kern w:val="0"/>
          <w:sz w:val="28"/>
          <w:szCs w:val="28"/>
          <w:shd w:val="clear" w:color="auto" w:fill="FFFFFF"/>
          <w:lang w:val="en-US" w:eastAsia="zh-CN" w:bidi="ar-SA"/>
        </w:rPr>
        <w:t>《</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7555B1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(1)律师事务所执行许可证（副本）复印件、律师执业证复印件；</w:t>
      </w:r>
    </w:p>
    <w:p w14:paraId="4CC25F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(2)营业执照副本、负责人身份证复印件；</w:t>
      </w:r>
    </w:p>
    <w:p w14:paraId="57F0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(3)签订完整的承诺书；</w:t>
      </w:r>
    </w:p>
    <w:p w14:paraId="691166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(4)已缴纳的竞价保证金凭证；</w:t>
      </w:r>
    </w:p>
    <w:p w14:paraId="593DFF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(5)在参加本次采购活动前3年内在经营活动中没有重大违法记录的书面声明；</w:t>
      </w:r>
    </w:p>
    <w:p w14:paraId="464BDA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(6)通过“信用中国”网（www.creditchina.gov.cn）或中国政府采购网（www.ccgp.gov.cn）信用信息查询无严重违法失信行为信息记录的打印件（或截图）。</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w:t>
      </w:r>
      <w:r>
        <w:rPr>
          <w:rFonts w:hint="eastAsia" w:ascii="宋体" w:hAnsi="宋体" w:eastAsia="宋体" w:cs="宋体"/>
          <w:color w:val="0000FF"/>
          <w:sz w:val="28"/>
          <w:szCs w:val="28"/>
          <w:lang w:val="en-US" w:eastAsia="zh-CN"/>
        </w:rPr>
        <w:t>负责人</w:t>
      </w:r>
      <w:r>
        <w:rPr>
          <w:rFonts w:hint="eastAsia" w:ascii="宋体" w:hAnsi="宋体" w:eastAsia="宋体" w:cs="宋体"/>
          <w:color w:val="auto"/>
          <w:sz w:val="28"/>
          <w:szCs w:val="28"/>
          <w:lang w:val="en-US" w:eastAsia="zh-CN"/>
        </w:rPr>
        <w:t>无法亲自到现场办理竞价手续的，应提供《授权委托书》原件和委托代理人身份证复印件。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b/>
          <w:bCs/>
          <w:color w:val="0000FF"/>
          <w:kern w:val="2"/>
          <w:sz w:val="28"/>
          <w:szCs w:val="28"/>
          <w:highlight w:val="none"/>
          <w:shd w:val="clear"/>
          <w:lang w:val="en-US" w:eastAsia="zh-CN"/>
        </w:rPr>
        <w:t>反</w:t>
      </w:r>
      <w:r>
        <w:rPr>
          <w:rFonts w:hint="eastAsia" w:ascii="宋体" w:hAnsi="宋体" w:eastAsia="宋体" w:cs="宋体"/>
          <w:b/>
          <w:bCs/>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b/>
          <w:bCs/>
          <w:color w:val="0000FF"/>
          <w:sz w:val="28"/>
          <w:szCs w:val="28"/>
          <w:lang w:val="en-US" w:eastAsia="zh-CN"/>
        </w:rPr>
        <w:t>成交人与委托人签订的合同生效后五个工作日内，委托人向成交人（或中标人）支付律师代理费总额的30%，作为首期服务费。本项目股权收购协议签署完毕，且完成约定的全部服务事项后五个工作日内，委托人向成交人（或中标人）支付剩余70%律师代理费 ，具体以《非诉讼委托代理合同</w:t>
      </w:r>
      <w:bookmarkStart w:id="0" w:name="_GoBack"/>
      <w:bookmarkEnd w:id="0"/>
      <w:r>
        <w:rPr>
          <w:rFonts w:hint="eastAsia" w:ascii="宋体" w:hAnsi="宋体" w:eastAsia="宋体" w:cs="宋体"/>
          <w:b/>
          <w:bCs/>
          <w:color w:val="0000FF"/>
          <w:sz w:val="28"/>
          <w:szCs w:val="28"/>
          <w:lang w:val="en-US" w:eastAsia="zh-CN"/>
        </w:rPr>
        <w:t>》约定为准 。</w:t>
      </w:r>
      <w:r>
        <w:rPr>
          <w:rFonts w:hint="eastAsia" w:ascii="宋体" w:hAnsi="宋体" w:eastAsia="宋体" w:cs="宋体"/>
          <w:color w:val="0000FF"/>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0000FF"/>
          <w:sz w:val="28"/>
          <w:szCs w:val="28"/>
          <w:lang w:val="en-US" w:eastAsia="zh-CN"/>
        </w:rPr>
        <w:t>税费、服务费、文印费、差旅费、交通费、住宿费等</w:t>
      </w:r>
      <w:r>
        <w:rPr>
          <w:rFonts w:hint="eastAsia" w:ascii="宋体" w:hAnsi="宋体" w:eastAsia="宋体" w:cs="宋体"/>
          <w:color w:val="auto"/>
          <w:sz w:val="28"/>
          <w:szCs w:val="28"/>
          <w:lang w:val="en-US" w:eastAsia="zh-CN"/>
        </w:rPr>
        <w:t>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49C3E373">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20</w:t>
      </w:r>
      <w:r>
        <w:rPr>
          <w:rFonts w:hint="eastAsia" w:ascii="宋体" w:hAnsi="宋体" w:eastAsia="宋体" w:cs="宋体"/>
          <w:color w:val="0000FF"/>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697C2F0E">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0A432BD">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eastAsia="宋体" w:cs="宋体"/>
          <w:color w:val="0000FF"/>
          <w:sz w:val="28"/>
          <w:szCs w:val="28"/>
          <w:u w:val="single"/>
          <w:lang w:val="en-US" w:eastAsia="zh-CN"/>
        </w:rPr>
        <w:t>10</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24</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w:t>
      </w:r>
      <w:r>
        <w:rPr>
          <w:rFonts w:hint="eastAsia" w:ascii="宋体" w:hAnsi="宋体" w:eastAsia="宋体" w:cs="宋体"/>
          <w:color w:val="auto"/>
          <w:sz w:val="28"/>
          <w:szCs w:val="28"/>
        </w:rPr>
        <w:t>连城县招标投标交易平台</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cs="宋体"/>
          <w:color w:val="000000"/>
          <w:sz w:val="28"/>
          <w:szCs w:val="28"/>
          <w:u w:val="single"/>
          <w:lang w:val="en-US" w:eastAsia="zh-CN"/>
        </w:rPr>
        <w:t>法律</w:t>
      </w:r>
      <w:r>
        <w:rPr>
          <w:rFonts w:hint="eastAsia" w:ascii="宋体" w:hAnsi="宋体" w:eastAsia="宋体" w:cs="宋体"/>
          <w:color w:val="000000"/>
          <w:sz w:val="28"/>
          <w:szCs w:val="28"/>
          <w:u w:val="single"/>
          <w:lang w:val="en-US" w:eastAsia="zh-CN"/>
        </w:rPr>
        <w:t>尽职调查</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LCCQJJ</w:t>
      </w:r>
      <w:r>
        <w:rPr>
          <w:rFonts w:hint="eastAsia" w:ascii="宋体" w:hAnsi="宋体" w:eastAsia="宋体" w:cs="宋体"/>
          <w:color w:val="0000FF"/>
          <w:sz w:val="28"/>
          <w:szCs w:val="28"/>
          <w:u w:val="single"/>
          <w:lang w:val="en-US" w:eastAsia="zh-CN"/>
        </w:rPr>
        <w:t>202510</w:t>
      </w:r>
      <w:r>
        <w:rPr>
          <w:rFonts w:hint="eastAsia" w:ascii="宋体" w:hAnsi="宋体" w:cs="宋体"/>
          <w:color w:val="0000FF"/>
          <w:sz w:val="28"/>
          <w:szCs w:val="28"/>
          <w:u w:val="single"/>
          <w:lang w:val="en-US" w:eastAsia="zh-CN"/>
        </w:rPr>
        <w:t>24-1</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122BE9"/>
    <w:rsid w:val="0A670D81"/>
    <w:rsid w:val="0ADB0F46"/>
    <w:rsid w:val="0AEE0C79"/>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394265"/>
    <w:rsid w:val="1B215742"/>
    <w:rsid w:val="1CBD7020"/>
    <w:rsid w:val="1CC932F4"/>
    <w:rsid w:val="1E303C84"/>
    <w:rsid w:val="1EF00CA7"/>
    <w:rsid w:val="1F633F72"/>
    <w:rsid w:val="1FB913FE"/>
    <w:rsid w:val="203C362E"/>
    <w:rsid w:val="211A411E"/>
    <w:rsid w:val="21E464DA"/>
    <w:rsid w:val="226244CC"/>
    <w:rsid w:val="22950329"/>
    <w:rsid w:val="22A30872"/>
    <w:rsid w:val="234F36E4"/>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6070CBD"/>
    <w:rsid w:val="366756A0"/>
    <w:rsid w:val="371B5B3B"/>
    <w:rsid w:val="3741602B"/>
    <w:rsid w:val="38A87E0A"/>
    <w:rsid w:val="39C752B8"/>
    <w:rsid w:val="3A0C4B4E"/>
    <w:rsid w:val="3CDB07AE"/>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06541B"/>
    <w:rsid w:val="46797B93"/>
    <w:rsid w:val="46965745"/>
    <w:rsid w:val="4758626E"/>
    <w:rsid w:val="47CB141F"/>
    <w:rsid w:val="47ED28F0"/>
    <w:rsid w:val="48556CDA"/>
    <w:rsid w:val="485D0F10"/>
    <w:rsid w:val="4A3B3A62"/>
    <w:rsid w:val="4A58410E"/>
    <w:rsid w:val="4ACA1E61"/>
    <w:rsid w:val="4B42467C"/>
    <w:rsid w:val="4C6355B6"/>
    <w:rsid w:val="4D235499"/>
    <w:rsid w:val="4D2550DF"/>
    <w:rsid w:val="4D515A96"/>
    <w:rsid w:val="4DA2556F"/>
    <w:rsid w:val="4E143612"/>
    <w:rsid w:val="4E997C57"/>
    <w:rsid w:val="4E9D3635"/>
    <w:rsid w:val="4ED62599"/>
    <w:rsid w:val="4F0771E0"/>
    <w:rsid w:val="4F4F373F"/>
    <w:rsid w:val="51A703F2"/>
    <w:rsid w:val="51AA471F"/>
    <w:rsid w:val="522E2CD6"/>
    <w:rsid w:val="524A20F8"/>
    <w:rsid w:val="524E2EDF"/>
    <w:rsid w:val="53CB6FAB"/>
    <w:rsid w:val="542826BF"/>
    <w:rsid w:val="545B5616"/>
    <w:rsid w:val="55915C48"/>
    <w:rsid w:val="56DC71A4"/>
    <w:rsid w:val="599A26B4"/>
    <w:rsid w:val="59E02F96"/>
    <w:rsid w:val="59FD510C"/>
    <w:rsid w:val="5A10637D"/>
    <w:rsid w:val="5A244F70"/>
    <w:rsid w:val="5A944CE3"/>
    <w:rsid w:val="5B280C0A"/>
    <w:rsid w:val="5BA1276A"/>
    <w:rsid w:val="5C1B076F"/>
    <w:rsid w:val="5C2441D3"/>
    <w:rsid w:val="5C9245A9"/>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E661D1D"/>
    <w:rsid w:val="6EC07C7F"/>
    <w:rsid w:val="7007345D"/>
    <w:rsid w:val="707966E1"/>
    <w:rsid w:val="729A0B48"/>
    <w:rsid w:val="729B4033"/>
    <w:rsid w:val="75A82C1C"/>
    <w:rsid w:val="77354B5A"/>
    <w:rsid w:val="77875CB0"/>
    <w:rsid w:val="77CE5972"/>
    <w:rsid w:val="786F5C73"/>
    <w:rsid w:val="78F75F2F"/>
    <w:rsid w:val="7900710C"/>
    <w:rsid w:val="7956473D"/>
    <w:rsid w:val="79B76855"/>
    <w:rsid w:val="7AD654A8"/>
    <w:rsid w:val="7B1E19C1"/>
    <w:rsid w:val="7C207AE9"/>
    <w:rsid w:val="7C435390"/>
    <w:rsid w:val="7E2F48C9"/>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Fließtext"/>
    <w:basedOn w:val="1"/>
    <w:qFormat/>
    <w:uiPriority w:val="0"/>
    <w:pPr>
      <w:overflowPunct w:val="0"/>
      <w:autoSpaceDE w:val="0"/>
      <w:autoSpaceDN w:val="0"/>
      <w:adjustRightInd w:val="0"/>
      <w:textAlignment w:val="baseline"/>
    </w:pPr>
    <w:rPr>
      <w:kern w:val="28"/>
      <w:szCs w:val="20"/>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5095</Words>
  <Characters>5466</Characters>
  <Lines>4</Lines>
  <Paragraphs>7</Paragraphs>
  <TotalTime>0</TotalTime>
  <ScaleCrop>false</ScaleCrop>
  <LinksUpToDate>false</LinksUpToDate>
  <CharactersWithSpaces>5565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2025-11-10T03:44:50Z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916B0A382F254096ACFC205746AF6B1B</vt:lpwstr>
  </property>
  <property fmtid="{D5CDD505-2E9C-101B-9397-08002B2CF9AE}" pid="4" name="KSOTemplateDocerSaveRecord">
    <vt:lpwstr>eyJoZGlkIjoiMmRkNWMwZGU3ZDViNGQ0YWVkNTQ0YzZlZWZiNDhjYTQiLCJ1c2VySWQiOiIyNTYwMTE1NzYifQ==</vt:lpwstr>
  </property>
</Properties>
</file>