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3E237">
      <w:pPr>
        <w:widowControl/>
        <w:shd w:val="clear"/>
        <w:snapToGrid/>
        <w:spacing w:before="0" w:line="520" w:lineRule="exact"/>
        <w:ind w:left="0" w:firstLine="723" w:firstLineChars="200"/>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kern w:val="2"/>
          <w:sz w:val="36"/>
          <w:szCs w:val="36"/>
          <w:highlight w:val="none"/>
          <w:shd w:val="clear"/>
        </w:rPr>
        <w:t>网络竞价须知</w:t>
      </w:r>
    </w:p>
    <w:p w14:paraId="10EF46A9">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0000FF"/>
          <w:kern w:val="2"/>
          <w:sz w:val="24"/>
          <w:szCs w:val="24"/>
          <w:highlight w:val="none"/>
          <w:shd w:val="clear"/>
          <w:lang w:eastAsia="zh-CN"/>
        </w:rPr>
        <w:t>LCCQJJ20250925-1</w:t>
      </w:r>
      <w:r>
        <w:rPr>
          <w:rFonts w:hint="eastAsia" w:asciiTheme="minorEastAsia" w:hAnsiTheme="minorEastAsia" w:eastAsiaTheme="minorEastAsia" w:cstheme="minorEastAsia"/>
          <w:b w:val="0"/>
          <w:bCs w:val="0"/>
          <w:color w:val="auto"/>
          <w:kern w:val="2"/>
          <w:sz w:val="24"/>
          <w:szCs w:val="24"/>
          <w:highlight w:val="none"/>
          <w:shd w:val="clear"/>
        </w:rPr>
        <w:t>）</w:t>
      </w:r>
    </w:p>
    <w:p w14:paraId="6E4A098F">
      <w:pPr>
        <w:keepNext w:val="0"/>
        <w:keepLines w:val="0"/>
        <w:pageBreakBefore w:val="0"/>
        <w:widowControl/>
        <w:shd w:val="clear"/>
        <w:kinsoku/>
        <w:wordWrap/>
        <w:overflowPunct/>
        <w:topLinePunct w:val="0"/>
        <w:autoSpaceDE/>
        <w:autoSpaceDN/>
        <w:bidi w:val="0"/>
        <w:adjustRightInd/>
        <w:snapToGrid/>
        <w:spacing w:before="0"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连城县国有资产产权交易服务有限公司</w:t>
      </w:r>
      <w:r>
        <w:rPr>
          <w:rFonts w:hint="eastAsia" w:asciiTheme="minorEastAsia" w:hAnsiTheme="minorEastAsia" w:eastAsiaTheme="minorEastAsia" w:cstheme="minorEastAsia"/>
          <w:color w:val="auto"/>
          <w:kern w:val="2"/>
          <w:sz w:val="24"/>
          <w:szCs w:val="24"/>
          <w:highlight w:val="none"/>
          <w:shd w:val="clear"/>
        </w:rPr>
        <w:t>（以下简称本公司）遵循“公开、公平、公正、诚实信用”的原则，依照国家法律、法规、政策为本次竞价活动提供服务。现将有关竞价事项告知如下：</w:t>
      </w:r>
    </w:p>
    <w:p w14:paraId="3BAED74A">
      <w:pPr>
        <w:keepNext w:val="0"/>
        <w:keepLines w:val="0"/>
        <w:pageBreakBefore w:val="0"/>
        <w:widowControl/>
        <w:shd w:val="clear"/>
        <w:kinsoku/>
        <w:wordWrap/>
        <w:overflowPunct/>
        <w:topLinePunct w:val="0"/>
        <w:autoSpaceDE/>
        <w:autoSpaceDN/>
        <w:bidi w:val="0"/>
        <w:adjustRightInd/>
        <w:snapToGrid/>
        <w:spacing w:before="0" w:line="48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一、竞价、报名时间、地点</w:t>
      </w:r>
    </w:p>
    <w:p w14:paraId="48F45296">
      <w:pPr>
        <w:keepNext w:val="0"/>
        <w:keepLines w:val="0"/>
        <w:pageBreakBefore w:val="0"/>
        <w:widowControl/>
        <w:shd w:val="clear"/>
        <w:kinsoku/>
        <w:wordWrap/>
        <w:overflowPunct/>
        <w:topLinePunct w:val="0"/>
        <w:autoSpaceDE/>
        <w:autoSpaceDN/>
        <w:bidi w:val="0"/>
        <w:adjustRightInd/>
        <w:snapToGrid/>
        <w:spacing w:before="0" w:line="48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竞价时间：</w:t>
      </w:r>
      <w:r>
        <w:rPr>
          <w:rFonts w:hint="eastAsia" w:asciiTheme="minorEastAsia" w:hAnsiTheme="minorEastAsia" w:eastAsiaTheme="minorEastAsia" w:cstheme="minorEastAsia"/>
          <w:color w:val="auto"/>
          <w:kern w:val="2"/>
          <w:sz w:val="24"/>
          <w:szCs w:val="24"/>
          <w:highlight w:val="none"/>
          <w:shd w:val="clear"/>
          <w:lang w:eastAsia="zh-CN"/>
        </w:rPr>
        <w:t>2025年</w:t>
      </w:r>
      <w:r>
        <w:rPr>
          <w:rFonts w:hint="eastAsia" w:asciiTheme="minorEastAsia" w:hAnsiTheme="minorEastAsia" w:eastAsiaTheme="minorEastAsia" w:cstheme="minorEastAsia"/>
          <w:color w:val="auto"/>
          <w:kern w:val="2"/>
          <w:sz w:val="24"/>
          <w:szCs w:val="24"/>
          <w:highlight w:val="none"/>
          <w:shd w:val="clear"/>
          <w:lang w:val="en-US" w:eastAsia="zh-CN"/>
        </w:rPr>
        <w:t>9月25日</w:t>
      </w:r>
      <w:r>
        <w:rPr>
          <w:rFonts w:hint="eastAsia" w:asciiTheme="minorEastAsia" w:hAnsiTheme="minorEastAsia" w:eastAsiaTheme="minorEastAsia" w:cstheme="minorEastAsia"/>
          <w:color w:val="auto"/>
          <w:kern w:val="2"/>
          <w:sz w:val="24"/>
          <w:szCs w:val="24"/>
          <w:highlight w:val="none"/>
          <w:shd w:val="clear"/>
        </w:rPr>
        <w:t>9:30开始至9:50止（20分钟）。</w:t>
      </w:r>
    </w:p>
    <w:p w14:paraId="6F1CE0C4">
      <w:pPr>
        <w:keepNext w:val="0"/>
        <w:keepLines w:val="0"/>
        <w:pageBreakBefore w:val="0"/>
        <w:widowControl/>
        <w:shd w:val="clear"/>
        <w:kinsoku/>
        <w:wordWrap/>
        <w:overflowPunct/>
        <w:topLinePunct w:val="0"/>
        <w:autoSpaceDE/>
        <w:autoSpaceDN/>
        <w:bidi w:val="0"/>
        <w:adjustRightInd/>
        <w:snapToGrid/>
        <w:spacing w:before="0"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权益云交易平台或微信公众号“权益云交易平台”</w:t>
      </w:r>
    </w:p>
    <w:p w14:paraId="3CDBDDCB">
      <w:pPr>
        <w:keepNext w:val="0"/>
        <w:keepLines w:val="0"/>
        <w:pageBreakBefore w:val="0"/>
        <w:widowControl/>
        <w:shd w:val="clear"/>
        <w:kinsoku/>
        <w:wordWrap/>
        <w:overflowPunct/>
        <w:topLinePunct w:val="0"/>
        <w:autoSpaceDE/>
        <w:autoSpaceDN/>
        <w:bidi w:val="0"/>
        <w:adjustRightInd/>
        <w:snapToGrid/>
        <w:spacing w:before="0" w:line="48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报名时间：</w:t>
      </w:r>
      <w:r>
        <w:rPr>
          <w:rFonts w:hint="eastAsia" w:asciiTheme="minorEastAsia" w:hAnsiTheme="minorEastAsia" w:eastAsiaTheme="minorEastAsia" w:cstheme="minorEastAsia"/>
          <w:color w:val="auto"/>
          <w:kern w:val="2"/>
          <w:sz w:val="24"/>
          <w:szCs w:val="24"/>
          <w:highlight w:val="none"/>
          <w:shd w:val="clear"/>
          <w:lang w:eastAsia="zh-CN"/>
        </w:rPr>
        <w:t>2025年</w:t>
      </w:r>
      <w:r>
        <w:rPr>
          <w:rFonts w:hint="eastAsia" w:asciiTheme="minorEastAsia" w:hAnsiTheme="minorEastAsia" w:eastAsiaTheme="minorEastAsia" w:cstheme="minorEastAsia"/>
          <w:color w:val="auto"/>
          <w:kern w:val="2"/>
          <w:sz w:val="24"/>
          <w:szCs w:val="24"/>
          <w:highlight w:val="none"/>
          <w:shd w:val="clear"/>
          <w:lang w:val="en-US" w:eastAsia="zh-CN"/>
        </w:rPr>
        <w:t>9月19日</w:t>
      </w:r>
      <w:r>
        <w:rPr>
          <w:rFonts w:hint="eastAsia" w:asciiTheme="minorEastAsia" w:hAnsiTheme="minorEastAsia" w:eastAsiaTheme="minorEastAsia" w:cstheme="minorEastAsia"/>
          <w:color w:val="auto"/>
          <w:kern w:val="2"/>
          <w:sz w:val="24"/>
          <w:szCs w:val="24"/>
          <w:highlight w:val="none"/>
          <w:shd w:val="clear"/>
        </w:rPr>
        <w:t>至</w:t>
      </w:r>
      <w:r>
        <w:rPr>
          <w:rFonts w:hint="eastAsia" w:asciiTheme="minorEastAsia" w:hAnsiTheme="minorEastAsia" w:eastAsiaTheme="minorEastAsia" w:cstheme="minorEastAsia"/>
          <w:color w:val="auto"/>
          <w:kern w:val="2"/>
          <w:sz w:val="24"/>
          <w:szCs w:val="24"/>
          <w:highlight w:val="none"/>
          <w:shd w:val="clear"/>
          <w:lang w:eastAsia="zh-CN"/>
        </w:rPr>
        <w:t>2025年</w:t>
      </w:r>
      <w:r>
        <w:rPr>
          <w:rFonts w:hint="eastAsia" w:asciiTheme="minorEastAsia" w:hAnsiTheme="minorEastAsia" w:eastAsiaTheme="minorEastAsia" w:cstheme="minorEastAsia"/>
          <w:color w:val="auto"/>
          <w:kern w:val="2"/>
          <w:sz w:val="24"/>
          <w:szCs w:val="24"/>
          <w:highlight w:val="none"/>
          <w:shd w:val="clear"/>
          <w:lang w:val="en-US" w:eastAsia="zh-CN"/>
        </w:rPr>
        <w:t>9月24日</w:t>
      </w:r>
      <w:r>
        <w:rPr>
          <w:rFonts w:hint="eastAsia" w:asciiTheme="minorEastAsia" w:hAnsiTheme="minorEastAsia" w:eastAsiaTheme="minorEastAsia" w:cstheme="minorEastAsia"/>
          <w:color w:val="0000FF"/>
          <w:kern w:val="2"/>
          <w:sz w:val="24"/>
          <w:szCs w:val="24"/>
          <w:highlight w:val="none"/>
          <w:shd w:val="clear"/>
        </w:rPr>
        <w:t>17时</w:t>
      </w:r>
      <w:r>
        <w:rPr>
          <w:rFonts w:hint="eastAsia" w:asciiTheme="minorEastAsia" w:hAnsiTheme="minorEastAsia" w:eastAsiaTheme="minorEastAsia" w:cstheme="minorEastAsia"/>
          <w:color w:val="auto"/>
          <w:kern w:val="2"/>
          <w:sz w:val="24"/>
          <w:szCs w:val="24"/>
          <w:highlight w:val="none"/>
          <w:shd w:val="clear"/>
        </w:rPr>
        <w:t>(节假日除外)</w:t>
      </w:r>
    </w:p>
    <w:p w14:paraId="691BF49F">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报名地点：福建省龙岩市连城县莲峰镇李彭村彭坊桥路1号4层</w:t>
      </w:r>
    </w:p>
    <w:p w14:paraId="7526CA50">
      <w:pPr>
        <w:keepNext w:val="0"/>
        <w:keepLines w:val="0"/>
        <w:pageBreakBefore w:val="0"/>
        <w:kinsoku/>
        <w:wordWrap/>
        <w:overflowPunct/>
        <w:topLinePunct w:val="0"/>
        <w:autoSpaceDE/>
        <w:autoSpaceDN/>
        <w:bidi w:val="0"/>
        <w:adjustRightInd/>
        <w:snapToGrid/>
        <w:spacing w:line="480" w:lineRule="exact"/>
        <w:ind w:firstLine="480" w:firstLineChars="200"/>
        <w:rPr>
          <w:rFonts w:hint="default"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lang w:val="en-US" w:eastAsia="zh-CN"/>
        </w:rPr>
        <w:t>连城产权</w:t>
      </w: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kern w:val="2"/>
          <w:sz w:val="24"/>
          <w:szCs w:val="24"/>
          <w:highlight w:val="none"/>
          <w:u w:val="none"/>
          <w:lang w:val="en-US" w:eastAsia="zh-CN"/>
        </w:rPr>
        <w:t>林女士 18039848961</w:t>
      </w:r>
    </w:p>
    <w:p w14:paraId="50D14974">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48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7F1268F5">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480" w:lineRule="exact"/>
        <w:ind w:firstLine="482" w:firstLineChars="200"/>
        <w:rPr>
          <w:rFonts w:hint="eastAsia" w:ascii="宋体" w:hAnsi="宋体" w:cs="宋体" w:eastAsiaTheme="minorEastAsia"/>
          <w:color w:val="auto"/>
          <w:kern w:val="2"/>
          <w:sz w:val="24"/>
          <w:szCs w:val="24"/>
          <w:highlight w:val="none"/>
          <w:u w:val="none"/>
          <w:lang w:val="en-US" w:eastAsia="zh-CN"/>
        </w:rPr>
      </w:pPr>
      <w:r>
        <w:rPr>
          <w:rFonts w:hint="eastAsia" w:asciiTheme="minorEastAsia" w:hAnsiTheme="minorEastAsia" w:eastAsiaTheme="minorEastAsia" w:cstheme="minorEastAsia"/>
          <w:b/>
          <w:bCs/>
          <w:color w:val="auto"/>
          <w:sz w:val="24"/>
          <w:szCs w:val="24"/>
          <w:highlight w:val="none"/>
        </w:rPr>
        <w:t>1.项目名称：</w:t>
      </w:r>
      <w:r>
        <w:rPr>
          <w:rFonts w:hint="eastAsia" w:ascii="宋体" w:hAnsi="宋体" w:cs="宋体"/>
          <w:color w:val="auto"/>
          <w:kern w:val="2"/>
          <w:sz w:val="24"/>
          <w:szCs w:val="24"/>
          <w:highlight w:val="none"/>
          <w:u w:val="none"/>
          <w:lang w:val="en-US" w:eastAsia="zh-CN"/>
        </w:rPr>
        <w:t>集团组织管理与岗位体系优化建设项目</w:t>
      </w:r>
    </w:p>
    <w:p w14:paraId="067B584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2.项目概况</w:t>
      </w:r>
      <w:r>
        <w:rPr>
          <w:rFonts w:hint="eastAsia" w:ascii="宋体" w:hAnsi="宋体" w:eastAsia="宋体" w:cs="宋体"/>
          <w:b/>
          <w:bCs/>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rPr>
        <w:t>优化集团现有组织管理模式，提升内部管理的公平性与规范化水平，支撑集团高效运营</w:t>
      </w:r>
      <w:r>
        <w:rPr>
          <w:rFonts w:hint="eastAsia" w:ascii="宋体" w:hAnsi="宋体" w:eastAsia="宋体" w:cs="宋体"/>
          <w:i w:val="0"/>
          <w:iCs w:val="0"/>
          <w:caps w:val="0"/>
          <w:color w:val="auto"/>
          <w:spacing w:val="0"/>
          <w:sz w:val="24"/>
          <w:szCs w:val="24"/>
          <w:highlight w:val="none"/>
          <w:shd w:val="clear" w:fill="FFFFFF"/>
          <w:lang w:eastAsia="zh-CN"/>
        </w:rPr>
        <w:t>。</w:t>
      </w:r>
    </w:p>
    <w:p w14:paraId="661FB7E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2.1.核心工作内容：集团一体化的组织结构优化设计，各部门/子公司、科室的职能梳理与规范、岗位设置与规范等。</w:t>
      </w:r>
    </w:p>
    <w:p w14:paraId="3962D1A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2.2.覆盖主体：集团本部现有9个部门与下属4家有业务运作的子公司及岗位（不含临时、返聘或项目式等灵活用工）；整合重组后划入集团的2家有业务运作的公司及其子公司与岗位。</w:t>
      </w:r>
    </w:p>
    <w:p w14:paraId="1537C01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fill="FFFFFF"/>
          <w:lang w:val="en-US" w:eastAsia="zh-CN"/>
        </w:rPr>
        <w:t>3.服务</w:t>
      </w:r>
      <w:r>
        <w:rPr>
          <w:rFonts w:hint="eastAsia" w:ascii="宋体" w:hAnsi="宋体" w:eastAsia="宋体" w:cs="宋体"/>
          <w:b/>
          <w:bCs/>
          <w:i w:val="0"/>
          <w:iCs w:val="0"/>
          <w:caps w:val="0"/>
          <w:color w:val="333333"/>
          <w:spacing w:val="0"/>
          <w:sz w:val="24"/>
          <w:szCs w:val="24"/>
          <w:highlight w:val="none"/>
          <w:shd w:val="clear" w:fill="FFFFFF"/>
        </w:rPr>
        <w:t>地点：</w:t>
      </w:r>
      <w:r>
        <w:rPr>
          <w:rFonts w:hint="eastAsia" w:ascii="宋体" w:hAnsi="宋体" w:eastAsia="宋体" w:cs="宋体"/>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福建连城豸龙旅游集团有限公司办公场所。</w:t>
      </w:r>
    </w:p>
    <w:p w14:paraId="6A2C09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fill="FFFFFF"/>
          <w:lang w:val="en-US" w:eastAsia="zh-CN"/>
          <w14:textFill>
            <w14:solidFill>
              <w14:schemeClr w14:val="tx1"/>
            </w14:solidFill>
          </w14:textFill>
        </w:rPr>
        <w:t>4.服务周期：</w:t>
      </w:r>
      <w:r>
        <w:rPr>
          <w:rFonts w:hint="eastAsia" w:ascii="宋体" w:hAnsi="宋体" w:eastAsia="宋体" w:cs="宋体"/>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合同签订之日起8周内完成项目所有方案设计。成交人在进场后提交一份项目总体推进计划，经采购人确认后作为工作进度依据。</w:t>
      </w:r>
    </w:p>
    <w:p w14:paraId="5982711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b/>
          <w:bCs/>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fill="FFFFFF"/>
          <w:lang w:val="en-US" w:eastAsia="zh-CN"/>
          <w14:textFill>
            <w14:solidFill>
              <w14:schemeClr w14:val="tx1"/>
            </w14:solidFill>
          </w14:textFill>
        </w:rPr>
        <w:t>5.项目服务内容：</w:t>
      </w:r>
    </w:p>
    <w:p w14:paraId="04A8885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5.1.项目前期准备、启动与初步调研</w:t>
      </w:r>
    </w:p>
    <w:p w14:paraId="6203F2B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完成项目启动策划与初步调研方案制定，收集并分析上级政策文件、集团及子公司现有组织架构、岗位设置及人力资源基础管理相关资料。开展集团及子公司现有中高层管理人员一对一访谈、各部门及子公司基层员工代表小组访谈，组织现有标杆子公司现场走访。召开项目启动会，完成业务盘点、调研信息整理与初步分析，形成《项目实施总体计划》《文件资料收集清单》《调研访谈记录》等成果。</w:t>
      </w:r>
    </w:p>
    <w:p w14:paraId="654E79A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5.2.集团组织优化与职能梳理</w:t>
      </w:r>
    </w:p>
    <w:p w14:paraId="248F355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themeColor="text1"/>
          <w:spacing w:val="0"/>
          <w:sz w:val="24"/>
          <w:szCs w:val="24"/>
          <w:highlight w:val="none"/>
          <w:u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盘点集团现有业务运作情况，明确整合重组后集团的业务定位及近期业务规划。厘清集团管控模式，确定集团本部与子公司的定位；以集团整体视角，运用“职能虚拟化、子公司部门化”创新思路，设计集团一体化现代企业组织模式及优化组织结构。完成集团本部部门职能、子公司部门化后职能及潜在科室职能的梳理、优化与完善。形成《集团现有部门及子公司组织与职能现状调查与优化建</w:t>
      </w:r>
      <w:r>
        <w:rPr>
          <w:rFonts w:hint="eastAsia" w:ascii="宋体" w:hAnsi="宋体" w:eastAsia="宋体" w:cs="宋体"/>
          <w:i w:val="0"/>
          <w:iCs w:val="0"/>
          <w:caps w:val="0"/>
          <w:color w:val="000000" w:themeColor="text1"/>
          <w:spacing w:val="0"/>
          <w:sz w:val="24"/>
          <w:szCs w:val="24"/>
          <w:highlight w:val="none"/>
          <w:u w:val="none"/>
          <w:shd w:val="clear" w:fill="FFFFFF"/>
          <w:lang w:val="en-US" w:eastAsia="zh-CN"/>
          <w14:textFill>
            <w14:solidFill>
              <w14:schemeClr w14:val="tx1"/>
            </w14:solidFill>
          </w14:textFill>
        </w:rPr>
        <w:t xml:space="preserve">议表》《集团组织结构图》（优化稿）。 </w:t>
      </w:r>
    </w:p>
    <w:p w14:paraId="084D360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themeColor="text1"/>
          <w:spacing w:val="0"/>
          <w:sz w:val="24"/>
          <w:szCs w:val="24"/>
          <w:highlight w:val="none"/>
          <w:u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u w:val="none"/>
          <w:shd w:val="clear" w:fill="FFFFFF"/>
          <w:lang w:val="en-US" w:eastAsia="zh-CN"/>
          <w14:textFill>
            <w14:solidFill>
              <w14:schemeClr w14:val="tx1"/>
            </w14:solidFill>
          </w14:textFill>
        </w:rPr>
        <w:t>5.3.部门及子公司职能规范</w:t>
      </w:r>
    </w:p>
    <w:p w14:paraId="74F6880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themeColor="text1"/>
          <w:spacing w:val="0"/>
          <w:sz w:val="24"/>
          <w:szCs w:val="24"/>
          <w:highlight w:val="none"/>
          <w:u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u w:val="none"/>
          <w:shd w:val="clear" w:fill="FFFFFF"/>
          <w:lang w:val="en-US" w:eastAsia="zh-CN"/>
          <w14:textFill>
            <w14:solidFill>
              <w14:schemeClr w14:val="tx1"/>
            </w14:solidFill>
          </w14:textFill>
        </w:rPr>
        <w:t xml:space="preserve">开展集团本部部门及子公司职能说明书编写培训，提供职能说明书编写标杆检审与技术指导。形成《部门职能说明书编写技术》课件、《集团本部部门及子公司（管理部）与潜在科室职能说明书》汇编。 </w:t>
      </w:r>
    </w:p>
    <w:p w14:paraId="6B8392E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themeColor="text1"/>
          <w:spacing w:val="0"/>
          <w:sz w:val="24"/>
          <w:szCs w:val="24"/>
          <w:highlight w:val="none"/>
          <w:u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u w:val="none"/>
          <w:shd w:val="clear" w:fill="FFFFFF"/>
          <w:lang w:val="en-US" w:eastAsia="zh-CN"/>
          <w14:textFill>
            <w14:solidFill>
              <w14:schemeClr w14:val="tx1"/>
            </w14:solidFill>
          </w14:textFill>
        </w:rPr>
        <w:t>5.4.岗位细化、统一与规范</w:t>
      </w:r>
    </w:p>
    <w:p w14:paraId="19660AE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themeColor="text1"/>
          <w:spacing w:val="0"/>
          <w:sz w:val="24"/>
          <w:szCs w:val="24"/>
          <w:highlight w:val="none"/>
          <w:u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u w:val="none"/>
          <w:shd w:val="clear" w:fill="FFFFFF"/>
          <w:lang w:val="en-US" w:eastAsia="zh-CN"/>
          <w14:textFill>
            <w14:solidFill>
              <w14:schemeClr w14:val="tx1"/>
            </w14:solidFill>
          </w14:textFill>
        </w:rPr>
        <w:t>完成集团本部部门及子公司岗位的细化优化、职责梳理与编制优化，提供标杆检审与技术指导，完成岗位说明书编写培训，提供标杆性检审与技术指导。形成《部门及子公司岗位三定介绍》课件、《集团本部部门及子公司与潜在科室岗位设置与编制建议一览表》《集团本部部门/子公司岗位说明书》汇编等成果。</w:t>
      </w:r>
    </w:p>
    <w:p w14:paraId="371D2CB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fill="FFFFFF"/>
          <w:lang w:val="en-US" w:eastAsia="zh-CN"/>
          <w14:textFill>
            <w14:solidFill>
              <w14:schemeClr w14:val="tx1"/>
            </w14:solidFill>
          </w14:textFill>
        </w:rPr>
        <w:t>6.交付条件：</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 xml:space="preserve"> 乙方主导完成的成果文件通过甲方项目组评审的视为验收合格。</w:t>
      </w:r>
    </w:p>
    <w:p w14:paraId="1657A3DC">
      <w:pPr>
        <w:keepNext w:val="0"/>
        <w:keepLines w:val="0"/>
        <w:pageBreakBefore w:val="0"/>
        <w:widowControl/>
        <w:kinsoku/>
        <w:wordWrap/>
        <w:overflowPunct/>
        <w:topLinePunct w:val="0"/>
        <w:autoSpaceDE/>
        <w:autoSpaceDN/>
        <w:bidi w:val="0"/>
        <w:adjustRightInd/>
        <w:spacing w:line="480" w:lineRule="exact"/>
        <w:ind w:left="0" w:firstLine="480"/>
        <w:jc w:val="left"/>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7.</w:t>
      </w:r>
      <w:r>
        <w:rPr>
          <w:rFonts w:hint="eastAsia" w:ascii="宋体" w:hAnsi="宋体" w:eastAsia="宋体" w:cs="宋体"/>
          <w:b/>
          <w:bCs/>
          <w:i w:val="0"/>
          <w:iCs w:val="0"/>
          <w:caps w:val="0"/>
          <w:color w:val="000000" w:themeColor="text1"/>
          <w:spacing w:val="0"/>
          <w:sz w:val="24"/>
          <w:szCs w:val="24"/>
          <w:highlight w:val="none"/>
          <w:shd w:val="clear" w:fill="FFFFFF"/>
          <w:lang w:val="en-US" w:eastAsia="zh-CN"/>
          <w14:textFill>
            <w14:solidFill>
              <w14:schemeClr w14:val="tx1"/>
            </w14:solidFill>
          </w14:textFill>
        </w:rPr>
        <w:t>最高控制价：133000元（含税包干）</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，竞价人在报价时不得高于最高控制价单价，根据有效供应商报价排名情况，由低到高排序，最低的一名即为成交人</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w:t>
      </w:r>
    </w:p>
    <w:p w14:paraId="2A40D81F">
      <w:pPr>
        <w:keepNext w:val="0"/>
        <w:keepLines w:val="0"/>
        <w:pageBreakBefore w:val="0"/>
        <w:widowControl/>
        <w:kinsoku/>
        <w:wordWrap/>
        <w:overflowPunct/>
        <w:topLinePunct w:val="0"/>
        <w:autoSpaceDE/>
        <w:autoSpaceDN/>
        <w:bidi w:val="0"/>
        <w:adjustRightInd/>
        <w:spacing w:line="480" w:lineRule="exact"/>
        <w:ind w:left="0" w:firstLine="480"/>
        <w:jc w:val="left"/>
        <w:rPr>
          <w:rFonts w:hint="eastAsia" w:ascii="宋体" w:hAnsi="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8.付款方式：</w:t>
      </w:r>
    </w:p>
    <w:tbl>
      <w:tblPr>
        <w:tblStyle w:val="14"/>
        <w:tblW w:w="95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1"/>
        <w:gridCol w:w="1391"/>
        <w:gridCol w:w="6903"/>
      </w:tblGrid>
      <w:tr w14:paraId="218E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tblHeader/>
          <w:tblCellSpacing w:w="0" w:type="dxa"/>
          <w:jc w:val="center"/>
        </w:trPr>
        <w:tc>
          <w:tcPr>
            <w:tcW w:w="1241" w:type="dxa"/>
            <w:noWrap w:val="0"/>
            <w:vAlign w:val="center"/>
          </w:tcPr>
          <w:p w14:paraId="3227867D">
            <w:pPr>
              <w:spacing w:line="360" w:lineRule="auto"/>
              <w:jc w:val="center"/>
              <w:rPr>
                <w:rFonts w:ascii="宋体" w:hAnsi="宋体" w:cs="宋体"/>
                <w:szCs w:val="21"/>
                <w:lang w:bidi="ar"/>
              </w:rPr>
            </w:pPr>
            <w:r>
              <w:rPr>
                <w:rFonts w:hint="eastAsia" w:ascii="宋体" w:hAnsi="宋体" w:cs="宋体"/>
                <w:szCs w:val="21"/>
                <w:lang w:bidi="ar"/>
              </w:rPr>
              <w:t>支付期次</w:t>
            </w:r>
          </w:p>
        </w:tc>
        <w:tc>
          <w:tcPr>
            <w:tcW w:w="1391" w:type="dxa"/>
            <w:noWrap w:val="0"/>
            <w:vAlign w:val="center"/>
          </w:tcPr>
          <w:p w14:paraId="4EDBCB2C">
            <w:pPr>
              <w:spacing w:line="360" w:lineRule="auto"/>
              <w:jc w:val="center"/>
              <w:rPr>
                <w:rFonts w:ascii="宋体" w:hAnsi="宋体" w:cs="宋体"/>
                <w:szCs w:val="21"/>
                <w:lang w:bidi="ar"/>
              </w:rPr>
            </w:pPr>
            <w:r>
              <w:rPr>
                <w:rFonts w:hint="eastAsia" w:ascii="宋体" w:hAnsi="宋体" w:cs="宋体"/>
                <w:szCs w:val="21"/>
                <w:lang w:bidi="ar"/>
              </w:rPr>
              <w:t>支付比例</w:t>
            </w:r>
            <w:r>
              <w:rPr>
                <w:rFonts w:ascii="宋体" w:hAnsi="宋体" w:cs="宋体"/>
                <w:szCs w:val="21"/>
                <w:lang w:bidi="ar"/>
              </w:rPr>
              <w:t>(%)</w:t>
            </w:r>
          </w:p>
        </w:tc>
        <w:tc>
          <w:tcPr>
            <w:tcW w:w="6903" w:type="dxa"/>
            <w:noWrap w:val="0"/>
            <w:vAlign w:val="center"/>
          </w:tcPr>
          <w:p w14:paraId="0D1D6338">
            <w:pPr>
              <w:spacing w:line="360" w:lineRule="auto"/>
              <w:jc w:val="center"/>
              <w:rPr>
                <w:rFonts w:ascii="宋体" w:hAnsi="宋体" w:cs="宋体"/>
                <w:szCs w:val="21"/>
                <w:lang w:bidi="ar"/>
              </w:rPr>
            </w:pPr>
            <w:r>
              <w:rPr>
                <w:rFonts w:hint="eastAsia" w:ascii="宋体" w:hAnsi="宋体" w:cs="宋体"/>
                <w:szCs w:val="21"/>
                <w:lang w:bidi="ar"/>
              </w:rPr>
              <w:t>支付期次说明</w:t>
            </w:r>
          </w:p>
        </w:tc>
      </w:tr>
      <w:tr w14:paraId="5E0D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blCellSpacing w:w="0" w:type="dxa"/>
          <w:jc w:val="center"/>
        </w:trPr>
        <w:tc>
          <w:tcPr>
            <w:tcW w:w="1241" w:type="dxa"/>
            <w:noWrap w:val="0"/>
            <w:vAlign w:val="center"/>
          </w:tcPr>
          <w:p w14:paraId="71ED8411">
            <w:pPr>
              <w:spacing w:line="360" w:lineRule="auto"/>
              <w:ind w:firstLine="420" w:firstLineChars="200"/>
              <w:jc w:val="left"/>
              <w:rPr>
                <w:rFonts w:ascii="宋体" w:hAnsi="宋体" w:cs="宋体"/>
                <w:szCs w:val="21"/>
              </w:rPr>
            </w:pPr>
            <w:r>
              <w:rPr>
                <w:rFonts w:ascii="宋体" w:hAnsi="宋体" w:cs="宋体"/>
                <w:szCs w:val="21"/>
              </w:rPr>
              <w:t>1</w:t>
            </w:r>
          </w:p>
        </w:tc>
        <w:tc>
          <w:tcPr>
            <w:tcW w:w="1391" w:type="dxa"/>
            <w:noWrap w:val="0"/>
            <w:vAlign w:val="center"/>
          </w:tcPr>
          <w:p w14:paraId="6639652B">
            <w:pPr>
              <w:widowControl/>
              <w:shd w:val="clear" w:color="auto" w:fill="FFFFFF"/>
              <w:wordWrap w:val="0"/>
              <w:spacing w:line="360" w:lineRule="auto"/>
              <w:ind w:firstLine="440"/>
              <w:jc w:val="left"/>
              <w:rPr>
                <w:rFonts w:ascii="宋体" w:hAnsi="宋体" w:eastAsia="宋体" w:cs="宋体"/>
                <w:szCs w:val="21"/>
              </w:rPr>
            </w:pPr>
            <w:r>
              <w:rPr>
                <w:rFonts w:ascii="宋体" w:hAnsi="宋体" w:eastAsia="宋体" w:cs="宋体"/>
                <w:szCs w:val="21"/>
              </w:rPr>
              <w:t>30%</w:t>
            </w:r>
          </w:p>
        </w:tc>
        <w:tc>
          <w:tcPr>
            <w:tcW w:w="6903" w:type="dxa"/>
            <w:noWrap w:val="0"/>
            <w:vAlign w:val="top"/>
          </w:tcPr>
          <w:p w14:paraId="701849B2">
            <w:pPr>
              <w:widowControl/>
              <w:shd w:val="clear" w:color="auto" w:fill="FFFFFF"/>
              <w:wordWrap w:val="0"/>
              <w:spacing w:line="360" w:lineRule="auto"/>
              <w:ind w:firstLine="440"/>
              <w:jc w:val="left"/>
              <w:rPr>
                <w:rFonts w:ascii="宋体" w:hAnsi="宋体" w:eastAsia="宋体" w:cs="宋体"/>
                <w:szCs w:val="21"/>
              </w:rPr>
            </w:pPr>
            <w:r>
              <w:rPr>
                <w:rFonts w:hint="eastAsia" w:ascii="宋体" w:hAnsi="宋体" w:eastAsia="宋体" w:cs="宋体"/>
                <w:szCs w:val="21"/>
                <w:lang w:bidi="ar"/>
              </w:rPr>
              <w:t>合同签订完成后，支付签约价款总额的</w:t>
            </w:r>
            <w:r>
              <w:rPr>
                <w:rFonts w:ascii="宋体" w:hAnsi="宋体" w:eastAsia="宋体" w:cs="宋体"/>
                <w:szCs w:val="21"/>
                <w:lang w:bidi="ar"/>
              </w:rPr>
              <w:t>30%作为项目首付款；（首次付款前乙方应开具合同金额30%的一般纳税人增值税专用发票）</w:t>
            </w:r>
          </w:p>
        </w:tc>
      </w:tr>
      <w:tr w14:paraId="4D07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blCellSpacing w:w="0" w:type="dxa"/>
          <w:jc w:val="center"/>
        </w:trPr>
        <w:tc>
          <w:tcPr>
            <w:tcW w:w="1241" w:type="dxa"/>
            <w:noWrap w:val="0"/>
            <w:vAlign w:val="center"/>
          </w:tcPr>
          <w:p w14:paraId="471AB707">
            <w:pPr>
              <w:spacing w:line="360" w:lineRule="auto"/>
              <w:ind w:firstLine="420" w:firstLineChars="200"/>
              <w:jc w:val="left"/>
              <w:rPr>
                <w:rFonts w:ascii="宋体" w:hAnsi="宋体" w:cs="宋体"/>
                <w:szCs w:val="21"/>
              </w:rPr>
            </w:pPr>
            <w:r>
              <w:rPr>
                <w:rFonts w:ascii="宋体" w:hAnsi="宋体" w:cs="宋体"/>
                <w:szCs w:val="21"/>
              </w:rPr>
              <w:t>2</w:t>
            </w:r>
          </w:p>
        </w:tc>
        <w:tc>
          <w:tcPr>
            <w:tcW w:w="1391" w:type="dxa"/>
            <w:noWrap w:val="0"/>
            <w:vAlign w:val="center"/>
          </w:tcPr>
          <w:p w14:paraId="54F90052">
            <w:pPr>
              <w:widowControl/>
              <w:shd w:val="clear" w:color="auto" w:fill="FFFFFF"/>
              <w:wordWrap w:val="0"/>
              <w:spacing w:line="360" w:lineRule="auto"/>
              <w:ind w:firstLine="440"/>
              <w:jc w:val="left"/>
              <w:rPr>
                <w:rFonts w:ascii="宋体" w:hAnsi="宋体" w:eastAsia="宋体" w:cs="宋体"/>
                <w:szCs w:val="21"/>
              </w:rPr>
            </w:pPr>
            <w:r>
              <w:rPr>
                <w:rFonts w:ascii="宋体" w:hAnsi="宋体" w:eastAsia="宋体" w:cs="宋体"/>
                <w:szCs w:val="21"/>
              </w:rPr>
              <w:t>30%</w:t>
            </w:r>
          </w:p>
        </w:tc>
        <w:tc>
          <w:tcPr>
            <w:tcW w:w="6903" w:type="dxa"/>
            <w:noWrap w:val="0"/>
            <w:vAlign w:val="top"/>
          </w:tcPr>
          <w:p w14:paraId="27A229EE">
            <w:pPr>
              <w:widowControl/>
              <w:ind w:firstLine="420" w:firstLineChars="200"/>
              <w:jc w:val="left"/>
              <w:rPr>
                <w:rFonts w:ascii="宋体" w:hAnsi="宋体" w:eastAsia="宋体" w:cs="宋体"/>
                <w:szCs w:val="21"/>
              </w:rPr>
            </w:pPr>
            <w:r>
              <w:rPr>
                <w:rFonts w:hint="eastAsia" w:ascii="宋体" w:hAnsi="宋体" w:eastAsia="宋体" w:cs="宋体"/>
                <w:szCs w:val="21"/>
                <w:lang w:bidi="ar"/>
              </w:rPr>
              <w:t>乙方完成</w:t>
            </w:r>
            <w:r>
              <w:rPr>
                <w:rFonts w:ascii="宋体" w:hAnsi="宋体" w:eastAsia="宋体" w:cs="宋体"/>
                <w:szCs w:val="21"/>
                <w:lang w:bidi="ar"/>
              </w:rPr>
              <w:t>项目</w:t>
            </w:r>
            <w:r>
              <w:rPr>
                <w:rFonts w:ascii="宋体" w:hAnsi="宋体" w:eastAsia="宋体" w:cs="宋体"/>
                <w:color w:val="0033CC"/>
                <w:szCs w:val="21"/>
                <w:lang w:bidi="ar"/>
              </w:rPr>
              <w:t>启动与</w:t>
            </w:r>
            <w:r>
              <w:rPr>
                <w:rFonts w:ascii="宋体" w:hAnsi="宋体" w:eastAsia="宋体" w:cs="宋体"/>
                <w:szCs w:val="21"/>
                <w:lang w:bidi="ar"/>
              </w:rPr>
              <w:t>调研</w:t>
            </w:r>
            <w:r>
              <w:rPr>
                <w:rFonts w:hint="eastAsia" w:ascii="宋体" w:hAnsi="宋体" w:eastAsia="宋体" w:cs="宋体"/>
                <w:color w:val="0033CC"/>
                <w:szCs w:val="21"/>
                <w:lang w:bidi="ar"/>
              </w:rPr>
              <w:t>诊断、及提交</w:t>
            </w:r>
            <w:r>
              <w:rPr>
                <w:rFonts w:ascii="宋体" w:hAnsi="宋体" w:eastAsia="宋体" w:cs="宋体"/>
                <w:szCs w:val="21"/>
                <w:lang w:bidi="ar"/>
              </w:rPr>
              <w:t>集团组织优化与职能梳理</w:t>
            </w:r>
            <w:r>
              <w:rPr>
                <w:rFonts w:hint="eastAsia" w:ascii="宋体" w:hAnsi="宋体" w:eastAsia="宋体" w:cs="宋体"/>
                <w:szCs w:val="21"/>
                <w:lang w:bidi="ar"/>
              </w:rPr>
              <w:t>模块项目成果</w:t>
            </w:r>
            <w:r>
              <w:rPr>
                <w:rFonts w:hint="eastAsia" w:ascii="宋体" w:hAnsi="宋体" w:eastAsia="宋体" w:cs="宋体"/>
                <w:color w:val="0033CC"/>
                <w:szCs w:val="21"/>
                <w:lang w:bidi="ar"/>
              </w:rPr>
              <w:t>（包含：《集团组织结构图》与职能梳理建议）</w:t>
            </w:r>
            <w:r>
              <w:rPr>
                <w:rFonts w:hint="eastAsia" w:ascii="宋体" w:hAnsi="宋体" w:eastAsia="宋体" w:cs="宋体"/>
                <w:szCs w:val="21"/>
              </w:rPr>
              <w:t>，经甲方项目组验收通过后采购人支付签约价款总额的</w:t>
            </w:r>
            <w:r>
              <w:rPr>
                <w:rFonts w:ascii="宋体" w:hAnsi="宋体" w:eastAsia="宋体" w:cs="宋体"/>
                <w:szCs w:val="21"/>
              </w:rPr>
              <w:t xml:space="preserve">30%。（二次付款前乙方应开具合同金额30%的一般纳税人增值税专用发票）； </w:t>
            </w:r>
          </w:p>
        </w:tc>
      </w:tr>
      <w:tr w14:paraId="32D4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blCellSpacing w:w="0" w:type="dxa"/>
          <w:jc w:val="center"/>
        </w:trPr>
        <w:tc>
          <w:tcPr>
            <w:tcW w:w="1241" w:type="dxa"/>
            <w:noWrap w:val="0"/>
            <w:vAlign w:val="center"/>
          </w:tcPr>
          <w:p w14:paraId="1969E728">
            <w:pPr>
              <w:spacing w:line="360" w:lineRule="auto"/>
              <w:ind w:firstLine="420" w:firstLineChars="200"/>
              <w:jc w:val="left"/>
              <w:rPr>
                <w:rFonts w:ascii="宋体" w:hAnsi="宋体" w:cs="宋体"/>
                <w:szCs w:val="21"/>
              </w:rPr>
            </w:pPr>
            <w:r>
              <w:rPr>
                <w:rFonts w:ascii="宋体" w:hAnsi="宋体" w:cs="宋体"/>
                <w:szCs w:val="21"/>
              </w:rPr>
              <w:t>3</w:t>
            </w:r>
          </w:p>
        </w:tc>
        <w:tc>
          <w:tcPr>
            <w:tcW w:w="1391" w:type="dxa"/>
            <w:noWrap w:val="0"/>
            <w:vAlign w:val="center"/>
          </w:tcPr>
          <w:p w14:paraId="19621BC4">
            <w:pPr>
              <w:widowControl/>
              <w:shd w:val="clear" w:color="auto" w:fill="FFFFFF"/>
              <w:wordWrap w:val="0"/>
              <w:spacing w:line="360" w:lineRule="auto"/>
              <w:ind w:firstLine="440"/>
              <w:jc w:val="left"/>
              <w:rPr>
                <w:rFonts w:ascii="宋体" w:hAnsi="宋体" w:eastAsia="宋体" w:cs="宋体"/>
                <w:szCs w:val="21"/>
              </w:rPr>
            </w:pPr>
            <w:r>
              <w:rPr>
                <w:rFonts w:ascii="宋体" w:hAnsi="宋体" w:eastAsia="宋体" w:cs="宋体"/>
                <w:szCs w:val="21"/>
              </w:rPr>
              <w:t>20%</w:t>
            </w:r>
          </w:p>
        </w:tc>
        <w:tc>
          <w:tcPr>
            <w:tcW w:w="6903" w:type="dxa"/>
            <w:noWrap w:val="0"/>
            <w:vAlign w:val="top"/>
          </w:tcPr>
          <w:p w14:paraId="29EB56C9">
            <w:pPr>
              <w:widowControl/>
              <w:ind w:firstLine="420" w:firstLineChars="200"/>
              <w:jc w:val="left"/>
              <w:rPr>
                <w:rFonts w:ascii="宋体" w:hAnsi="宋体" w:eastAsia="宋体" w:cs="宋体"/>
                <w:szCs w:val="21"/>
              </w:rPr>
            </w:pPr>
            <w:r>
              <w:rPr>
                <w:rFonts w:hint="eastAsia" w:ascii="宋体" w:hAnsi="宋体" w:eastAsia="宋体" w:cs="宋体"/>
                <w:szCs w:val="21"/>
              </w:rPr>
              <w:t>乙方完成</w:t>
            </w:r>
            <w:r>
              <w:rPr>
                <w:rFonts w:hint="eastAsia" w:ascii="宋体" w:hAnsi="宋体" w:eastAsia="宋体" w:cs="宋体"/>
                <w:color w:val="0033CC"/>
                <w:szCs w:val="21"/>
                <w:lang w:bidi="ar"/>
              </w:rPr>
              <w:t>对豸龙集团项目组</w:t>
            </w:r>
            <w:r>
              <w:rPr>
                <w:rFonts w:hint="eastAsia" w:ascii="宋体" w:hAnsi="宋体" w:eastAsia="宋体" w:cs="宋体"/>
                <w:szCs w:val="21"/>
                <w:lang w:bidi="ar"/>
              </w:rPr>
              <w:t>开展</w:t>
            </w:r>
            <w:r>
              <w:rPr>
                <w:rFonts w:ascii="宋体" w:hAnsi="宋体" w:eastAsia="宋体" w:cs="宋体"/>
                <w:szCs w:val="21"/>
                <w:lang w:bidi="ar"/>
              </w:rPr>
              <w:t>部门/子公司职能规范</w:t>
            </w:r>
            <w:r>
              <w:rPr>
                <w:rFonts w:hint="eastAsia" w:ascii="宋体" w:hAnsi="宋体" w:eastAsia="宋体" w:cs="宋体"/>
                <w:szCs w:val="21"/>
                <w:lang w:bidi="ar"/>
              </w:rPr>
              <w:t>模块</w:t>
            </w:r>
            <w:r>
              <w:rPr>
                <w:rFonts w:hint="eastAsia" w:ascii="宋体" w:hAnsi="宋体" w:eastAsia="宋体" w:cs="宋体"/>
                <w:color w:val="0033CC"/>
                <w:szCs w:val="21"/>
                <w:lang w:bidi="ar"/>
              </w:rPr>
              <w:t>编写、修订的</w:t>
            </w:r>
            <w:r>
              <w:rPr>
                <w:rFonts w:hint="eastAsia" w:ascii="宋体" w:hAnsi="宋体" w:eastAsia="宋体" w:cs="宋体"/>
                <w:szCs w:val="21"/>
                <w:lang w:bidi="ar"/>
              </w:rPr>
              <w:t>培训教练式辅导3次</w:t>
            </w:r>
            <w:r>
              <w:rPr>
                <w:rFonts w:hint="eastAsia" w:ascii="宋体" w:hAnsi="宋体" w:eastAsia="宋体" w:cs="宋体"/>
                <w:color w:val="0033CC"/>
                <w:szCs w:val="21"/>
                <w:lang w:bidi="ar"/>
              </w:rPr>
              <w:t>（含</w:t>
            </w:r>
            <w:r>
              <w:rPr>
                <w:rFonts w:ascii="宋体" w:hAnsi="宋体" w:eastAsia="宋体" w:cs="宋体"/>
                <w:color w:val="0033CC"/>
                <w:szCs w:val="21"/>
                <w:lang w:bidi="ar"/>
              </w:rPr>
              <w:t>1</w:t>
            </w:r>
            <w:r>
              <w:rPr>
                <w:rFonts w:hint="eastAsia" w:ascii="宋体" w:hAnsi="宋体" w:eastAsia="宋体" w:cs="宋体"/>
                <w:color w:val="0033CC"/>
                <w:szCs w:val="21"/>
                <w:lang w:bidi="ar"/>
              </w:rPr>
              <w:t>次培训）</w:t>
            </w:r>
            <w:r>
              <w:rPr>
                <w:rFonts w:hint="eastAsia" w:ascii="宋体" w:hAnsi="宋体" w:eastAsia="宋体" w:cs="宋体"/>
                <w:szCs w:val="21"/>
                <w:lang w:bidi="ar"/>
              </w:rPr>
              <w:t>，以培训记录为依据，</w:t>
            </w:r>
            <w:r>
              <w:rPr>
                <w:rFonts w:hint="eastAsia" w:ascii="宋体" w:hAnsi="宋体" w:eastAsia="宋体" w:cs="宋体"/>
                <w:szCs w:val="21"/>
              </w:rPr>
              <w:t>甲方支付签约价款总额的</w:t>
            </w:r>
            <w:r>
              <w:rPr>
                <w:rFonts w:ascii="宋体" w:hAnsi="宋体" w:eastAsia="宋体" w:cs="宋体"/>
                <w:szCs w:val="21"/>
              </w:rPr>
              <w:t>20%。（三次付款前乙方应开具合同金额20%的一般纳税人增值税专用发票）；</w:t>
            </w:r>
          </w:p>
        </w:tc>
      </w:tr>
      <w:tr w14:paraId="2C0D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blCellSpacing w:w="0" w:type="dxa"/>
          <w:jc w:val="center"/>
        </w:trPr>
        <w:tc>
          <w:tcPr>
            <w:tcW w:w="1241" w:type="dxa"/>
            <w:noWrap w:val="0"/>
            <w:vAlign w:val="center"/>
          </w:tcPr>
          <w:p w14:paraId="33148CBE">
            <w:pPr>
              <w:spacing w:line="360" w:lineRule="auto"/>
              <w:ind w:firstLine="420" w:firstLineChars="200"/>
              <w:jc w:val="left"/>
              <w:rPr>
                <w:rFonts w:ascii="宋体" w:hAnsi="宋体" w:cs="宋体"/>
                <w:szCs w:val="21"/>
              </w:rPr>
            </w:pPr>
            <w:r>
              <w:rPr>
                <w:rFonts w:ascii="宋体" w:hAnsi="宋体" w:cs="宋体"/>
                <w:szCs w:val="21"/>
              </w:rPr>
              <w:t>4</w:t>
            </w:r>
          </w:p>
        </w:tc>
        <w:tc>
          <w:tcPr>
            <w:tcW w:w="1391" w:type="dxa"/>
            <w:noWrap w:val="0"/>
            <w:vAlign w:val="center"/>
          </w:tcPr>
          <w:p w14:paraId="0257B14B">
            <w:pPr>
              <w:widowControl/>
              <w:shd w:val="clear" w:color="auto" w:fill="FFFFFF"/>
              <w:wordWrap w:val="0"/>
              <w:spacing w:line="360" w:lineRule="auto"/>
              <w:ind w:firstLine="440"/>
              <w:jc w:val="left"/>
              <w:rPr>
                <w:rFonts w:ascii="宋体" w:hAnsi="宋体" w:eastAsia="宋体" w:cs="宋体"/>
                <w:szCs w:val="21"/>
              </w:rPr>
            </w:pPr>
            <w:r>
              <w:rPr>
                <w:rFonts w:ascii="宋体" w:hAnsi="宋体" w:eastAsia="宋体" w:cs="宋体"/>
                <w:szCs w:val="21"/>
              </w:rPr>
              <w:t>20%</w:t>
            </w:r>
          </w:p>
        </w:tc>
        <w:tc>
          <w:tcPr>
            <w:tcW w:w="6903" w:type="dxa"/>
            <w:noWrap w:val="0"/>
            <w:vAlign w:val="top"/>
          </w:tcPr>
          <w:p w14:paraId="4A9DC889">
            <w:pPr>
              <w:widowControl/>
              <w:ind w:firstLine="420" w:firstLineChars="200"/>
              <w:jc w:val="left"/>
              <w:rPr>
                <w:rFonts w:ascii="宋体" w:hAnsi="宋体" w:eastAsia="宋体" w:cs="宋体"/>
                <w:szCs w:val="21"/>
              </w:rPr>
            </w:pPr>
            <w:r>
              <w:rPr>
                <w:rFonts w:hint="eastAsia" w:ascii="宋体" w:hAnsi="宋体" w:eastAsia="宋体" w:cs="宋体"/>
                <w:szCs w:val="21"/>
              </w:rPr>
              <w:t>乙方完成</w:t>
            </w:r>
            <w:r>
              <w:rPr>
                <w:rFonts w:hint="eastAsia" w:ascii="宋体" w:hAnsi="宋体" w:eastAsia="宋体" w:cs="宋体"/>
                <w:color w:val="0033CC"/>
                <w:szCs w:val="21"/>
              </w:rPr>
              <w:t>对豸龙集团项目组开展</w:t>
            </w:r>
            <w:r>
              <w:rPr>
                <w:rFonts w:hint="eastAsia" w:ascii="宋体" w:hAnsi="宋体" w:eastAsia="宋体" w:cs="宋体"/>
                <w:color w:val="0033CC"/>
                <w:szCs w:val="21"/>
                <w:lang w:bidi="ar"/>
              </w:rPr>
              <w:t>部门</w:t>
            </w:r>
            <w:r>
              <w:rPr>
                <w:rFonts w:ascii="宋体" w:hAnsi="宋体" w:eastAsia="宋体" w:cs="宋体"/>
                <w:color w:val="0033CC"/>
                <w:szCs w:val="21"/>
                <w:lang w:bidi="ar"/>
              </w:rPr>
              <w:t>/子公司</w:t>
            </w:r>
            <w:r>
              <w:rPr>
                <w:rFonts w:ascii="宋体" w:hAnsi="宋体" w:eastAsia="宋体" w:cs="宋体"/>
                <w:szCs w:val="21"/>
                <w:lang w:bidi="ar"/>
              </w:rPr>
              <w:t>岗位</w:t>
            </w:r>
            <w:r>
              <w:rPr>
                <w:rFonts w:hint="eastAsia" w:ascii="宋体" w:hAnsi="宋体" w:eastAsia="宋体" w:cs="宋体"/>
                <w:szCs w:val="21"/>
                <w:lang w:bidi="ar"/>
              </w:rPr>
              <w:t>设置</w:t>
            </w:r>
            <w:r>
              <w:rPr>
                <w:rFonts w:ascii="宋体" w:hAnsi="宋体" w:eastAsia="宋体" w:cs="宋体"/>
                <w:szCs w:val="21"/>
                <w:lang w:bidi="ar"/>
              </w:rPr>
              <w:t>与规范</w:t>
            </w:r>
            <w:r>
              <w:rPr>
                <w:rFonts w:hint="eastAsia" w:ascii="宋体" w:hAnsi="宋体" w:eastAsia="宋体" w:cs="宋体"/>
                <w:szCs w:val="21"/>
                <w:lang w:bidi="ar"/>
              </w:rPr>
              <w:t>模块</w:t>
            </w:r>
            <w:r>
              <w:rPr>
                <w:rFonts w:hint="eastAsia" w:ascii="宋体" w:hAnsi="宋体" w:eastAsia="宋体" w:cs="宋体"/>
                <w:color w:val="0033CC"/>
                <w:szCs w:val="21"/>
                <w:lang w:bidi="ar"/>
              </w:rPr>
              <w:t>梳理</w:t>
            </w:r>
            <w:r>
              <w:rPr>
                <w:rFonts w:ascii="宋体" w:hAnsi="宋体" w:eastAsia="宋体" w:cs="宋体"/>
                <w:color w:val="0033CC"/>
                <w:szCs w:val="21"/>
                <w:lang w:bidi="ar"/>
              </w:rPr>
              <w:t>/编写与修订的</w:t>
            </w:r>
            <w:r>
              <w:rPr>
                <w:rFonts w:hint="eastAsia" w:ascii="宋体" w:hAnsi="宋体" w:eastAsia="宋体" w:cs="宋体"/>
                <w:szCs w:val="21"/>
                <w:lang w:bidi="ar"/>
              </w:rPr>
              <w:t>培训教练式辅导</w:t>
            </w:r>
            <w:r>
              <w:rPr>
                <w:rFonts w:hint="eastAsia" w:ascii="宋体" w:hAnsi="宋体" w:eastAsia="宋体" w:cs="宋体"/>
                <w:color w:val="0033CC"/>
                <w:szCs w:val="21"/>
                <w:lang w:bidi="ar"/>
              </w:rPr>
              <w:t>5次（含</w:t>
            </w:r>
            <w:r>
              <w:rPr>
                <w:rFonts w:ascii="宋体" w:hAnsi="宋体" w:eastAsia="宋体" w:cs="宋体"/>
                <w:color w:val="0033CC"/>
                <w:szCs w:val="21"/>
                <w:lang w:bidi="ar"/>
              </w:rPr>
              <w:t>2次培训）</w:t>
            </w:r>
            <w:r>
              <w:rPr>
                <w:rFonts w:hint="eastAsia" w:ascii="宋体" w:hAnsi="宋体" w:eastAsia="宋体" w:cs="宋体"/>
                <w:szCs w:val="21"/>
                <w:lang w:bidi="ar"/>
              </w:rPr>
              <w:t>，以培训记录为依据</w:t>
            </w:r>
            <w:r>
              <w:rPr>
                <w:rFonts w:hint="eastAsia" w:ascii="宋体" w:hAnsi="宋体" w:eastAsia="宋体" w:cs="宋体"/>
                <w:szCs w:val="21"/>
              </w:rPr>
              <w:t>，甲方支付签约价款总额的</w:t>
            </w:r>
            <w:r>
              <w:rPr>
                <w:rFonts w:ascii="宋体" w:hAnsi="宋体" w:eastAsia="宋体" w:cs="宋体"/>
                <w:szCs w:val="21"/>
              </w:rPr>
              <w:t>20%。（四次付款前乙方应开具合同金额20%的一般纳税人增值税专用发票）。</w:t>
            </w:r>
          </w:p>
        </w:tc>
      </w:tr>
    </w:tbl>
    <w:p w14:paraId="0B986759">
      <w:pPr>
        <w:keepNext w:val="0"/>
        <w:keepLines w:val="0"/>
        <w:pageBreakBefore w:val="0"/>
        <w:widowControl/>
        <w:kinsoku/>
        <w:wordWrap/>
        <w:overflowPunct/>
        <w:topLinePunct w:val="0"/>
        <w:autoSpaceDE/>
        <w:autoSpaceDN/>
        <w:bidi w:val="0"/>
        <w:adjustRightInd/>
        <w:spacing w:line="480" w:lineRule="exact"/>
        <w:ind w:left="0" w:firstLine="480"/>
        <w:jc w:val="left"/>
        <w:rPr>
          <w:rFonts w:hint="eastAsia" w:ascii="宋体" w:hAnsi="宋体" w:cs="宋体"/>
          <w:color w:val="0000FF"/>
          <w:kern w:val="0"/>
          <w:sz w:val="24"/>
          <w:szCs w:val="24"/>
          <w:highlight w:val="none"/>
          <w:lang w:val="en-US" w:eastAsia="zh-CN"/>
        </w:rPr>
      </w:pPr>
      <w:r>
        <w:rPr>
          <w:rFonts w:hint="eastAsia" w:ascii="宋体" w:hAnsi="宋体" w:cs="宋体"/>
          <w:b/>
          <w:bCs/>
          <w:color w:val="000000" w:themeColor="text1"/>
          <w:kern w:val="0"/>
          <w:sz w:val="24"/>
          <w:szCs w:val="24"/>
          <w:highlight w:val="none"/>
          <w14:textFill>
            <w14:solidFill>
              <w14:schemeClr w14:val="tx1"/>
            </w14:solidFill>
          </w14:textFill>
        </w:rPr>
        <w:t>特别提示：</w:t>
      </w:r>
      <w:r>
        <w:rPr>
          <w:rFonts w:hint="eastAsia" w:ascii="宋体" w:hAnsi="宋体" w:cs="宋体"/>
          <w:b w:val="0"/>
          <w:bCs w:val="0"/>
          <w:color w:val="0000FF"/>
          <w:kern w:val="0"/>
          <w:sz w:val="24"/>
          <w:szCs w:val="24"/>
          <w:highlight w:val="none"/>
          <w:lang w:val="en-US" w:eastAsia="zh-CN"/>
        </w:rPr>
        <w:t>1.</w:t>
      </w:r>
      <w:r>
        <w:rPr>
          <w:rFonts w:hint="eastAsia" w:ascii="宋体" w:hAnsi="宋体" w:cs="宋体"/>
          <w:color w:val="0000FF"/>
          <w:kern w:val="0"/>
          <w:sz w:val="24"/>
          <w:szCs w:val="24"/>
          <w:highlight w:val="none"/>
          <w:lang w:val="en-US" w:eastAsia="zh-CN"/>
        </w:rPr>
        <w:t>竞价人的投标报价为包干价，包括但不限于招标代理费、现场踏勘费、保险费、税费、打印费、纸张费等费用。2.竞价人应充分考虑人工、政策调整及其他不可预见的一切因素，风险费用应自行考虑计入投标报价，竞价人未考虑风险因素造成的损失由竞价人自行负责，成交价不做任何调整。</w:t>
      </w:r>
    </w:p>
    <w:p w14:paraId="73A76942">
      <w:pPr>
        <w:keepNext w:val="0"/>
        <w:keepLines w:val="0"/>
        <w:pageBreakBefore w:val="0"/>
        <w:kinsoku/>
        <w:wordWrap/>
        <w:overflowPunct/>
        <w:topLinePunct w:val="0"/>
        <w:autoSpaceDE/>
        <w:autoSpaceDN/>
        <w:bidi w:val="0"/>
        <w:adjustRightInd/>
        <w:spacing w:line="480" w:lineRule="exact"/>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217CA86A">
      <w:pPr>
        <w:keepNext w:val="0"/>
        <w:keepLines w:val="0"/>
        <w:pageBreakBefore w:val="0"/>
        <w:widowControl/>
        <w:kinsoku/>
        <w:wordWrap/>
        <w:overflowPunct/>
        <w:topLinePunct w:val="0"/>
        <w:autoSpaceDE/>
        <w:autoSpaceDN/>
        <w:bidi w:val="0"/>
        <w:adjustRightInd/>
        <w:snapToGrid w:val="0"/>
        <w:spacing w:line="480" w:lineRule="exact"/>
        <w:ind w:left="14"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竞价人必须遵守中华人民共和国法律、法规，能够提供本竞价文件所述服务的境内具有独立法人资格的企业均可成为合格的竞价人（失信被执行人除外）；</w:t>
      </w:r>
    </w:p>
    <w:p w14:paraId="372CE07E">
      <w:pPr>
        <w:keepNext w:val="0"/>
        <w:keepLines w:val="0"/>
        <w:pageBreakBefore w:val="0"/>
        <w:widowControl/>
        <w:kinsoku/>
        <w:wordWrap/>
        <w:overflowPunct/>
        <w:topLinePunct w:val="0"/>
        <w:autoSpaceDE/>
        <w:autoSpaceDN/>
        <w:bidi w:val="0"/>
        <w:adjustRightInd/>
        <w:snapToGrid w:val="0"/>
        <w:spacing w:line="480" w:lineRule="exact"/>
        <w:ind w:left="14"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.竞价人未在“国家企业信用信息公示系统”网站（www.gsxt.gov.cn）中列入严重违法失信企业名单，未在“信用中国”网站（www.creditchina.gov.cn）列入严重失信（附以上网站的查询截图）；</w:t>
      </w:r>
    </w:p>
    <w:p w14:paraId="1467901C">
      <w:pPr>
        <w:keepNext w:val="0"/>
        <w:keepLines w:val="0"/>
        <w:pageBreakBefore w:val="0"/>
        <w:widowControl/>
        <w:kinsoku/>
        <w:wordWrap/>
        <w:overflowPunct/>
        <w:topLinePunct w:val="0"/>
        <w:autoSpaceDE/>
        <w:autoSpaceDN/>
        <w:bidi w:val="0"/>
        <w:adjustRightInd/>
        <w:snapToGrid w:val="0"/>
        <w:spacing w:line="480" w:lineRule="exact"/>
        <w:ind w:left="14"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.竞价者必须具有履行合同所必需的能力；</w:t>
      </w:r>
    </w:p>
    <w:p w14:paraId="713E1247">
      <w:pPr>
        <w:keepNext w:val="0"/>
        <w:keepLines w:val="0"/>
        <w:pageBreakBefore w:val="0"/>
        <w:widowControl/>
        <w:kinsoku/>
        <w:wordWrap/>
        <w:overflowPunct/>
        <w:topLinePunct w:val="0"/>
        <w:autoSpaceDE/>
        <w:autoSpaceDN/>
        <w:bidi w:val="0"/>
        <w:adjustRightInd/>
        <w:snapToGrid w:val="0"/>
        <w:spacing w:line="480" w:lineRule="exact"/>
        <w:ind w:left="14"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.竞价人必须是委托人邀请的供应商（《竞价邀请书》将以邮件形式发送至受邀供应商邮箱）。</w:t>
      </w:r>
    </w:p>
    <w:p w14:paraId="404D5D52">
      <w:pPr>
        <w:keepNext w:val="0"/>
        <w:keepLines w:val="0"/>
        <w:pageBreakBefore w:val="0"/>
        <w:widowControl/>
        <w:kinsoku/>
        <w:wordWrap/>
        <w:overflowPunct/>
        <w:topLinePunct w:val="0"/>
        <w:autoSpaceDE/>
        <w:autoSpaceDN/>
        <w:bidi w:val="0"/>
        <w:adjustRightInd/>
        <w:snapToGrid w:val="0"/>
        <w:spacing w:line="480" w:lineRule="exact"/>
        <w:ind w:left="14"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xml:space="preserve">.单位负责人为同一人或者存在直接控股、管理关系的不同供应商，不得参加同一合同项下的采购活动。  </w:t>
      </w:r>
    </w:p>
    <w:p w14:paraId="14651BD3">
      <w:pPr>
        <w:keepNext w:val="0"/>
        <w:keepLines w:val="0"/>
        <w:pageBreakBefore w:val="0"/>
        <w:widowControl/>
        <w:kinsoku/>
        <w:wordWrap/>
        <w:overflowPunct/>
        <w:topLinePunct w:val="0"/>
        <w:autoSpaceDE/>
        <w:autoSpaceDN/>
        <w:bidi w:val="0"/>
        <w:adjustRightInd/>
        <w:snapToGrid w:val="0"/>
        <w:spacing w:line="480" w:lineRule="exact"/>
        <w:ind w:left="14"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竞价资格（及限制性条件）认定由竞价人自行审查,因此产生委托人不予签订合同及其它一切后果由竞价人自行负责。竞价人提供虚假材料或资质不符合条件的，视为恶意竞价，保证金不予退回，按违约处理，委托人可另行选取服务供应商。</w:t>
      </w:r>
    </w:p>
    <w:p w14:paraId="359540A9">
      <w:pPr>
        <w:keepNext w:val="0"/>
        <w:keepLines w:val="0"/>
        <w:pageBreakBefore w:val="0"/>
        <w:widowControl/>
        <w:kinsoku/>
        <w:wordWrap/>
        <w:overflowPunct/>
        <w:topLinePunct w:val="0"/>
        <w:autoSpaceDE/>
        <w:autoSpaceDN/>
        <w:bidi w:val="0"/>
        <w:adjustRightInd/>
        <w:snapToGrid w:val="0"/>
        <w:spacing w:line="480" w:lineRule="exact"/>
        <w:ind w:left="14"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11E884BC">
      <w:pPr>
        <w:keepNext w:val="0"/>
        <w:keepLines w:val="0"/>
        <w:pageBreakBefore w:val="0"/>
        <w:widowControl/>
        <w:kinsoku/>
        <w:wordWrap/>
        <w:overflowPunct/>
        <w:topLinePunct w:val="0"/>
        <w:autoSpaceDE/>
        <w:autoSpaceDN/>
        <w:bidi w:val="0"/>
        <w:adjustRightInd/>
        <w:snapToGrid w:val="0"/>
        <w:spacing w:line="480" w:lineRule="exact"/>
        <w:ind w:left="14"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0000FF"/>
          <w:kern w:val="2"/>
          <w:sz w:val="24"/>
          <w:szCs w:val="24"/>
          <w:highlight w:val="none"/>
          <w:lang w:val="en-US" w:eastAsia="zh-CN" w:bidi="ar-SA"/>
        </w:rPr>
        <w:t>2000</w:t>
      </w:r>
      <w:r>
        <w:rPr>
          <w:rFonts w:hint="eastAsia" w:asciiTheme="minorEastAsia" w:hAnsiTheme="minorEastAsia" w:eastAsiaTheme="minorEastAsia" w:cstheme="minorEastAsia"/>
          <w:color w:val="auto"/>
          <w:kern w:val="2"/>
          <w:sz w:val="24"/>
          <w:szCs w:val="24"/>
          <w:highlight w:val="none"/>
          <w:lang w:val="en-US" w:eastAsia="zh-CN" w:bidi="ar-SA"/>
        </w:rPr>
        <w:t>元</w:t>
      </w:r>
      <w:r>
        <w:rPr>
          <w:rFonts w:hint="eastAsia" w:asciiTheme="minorEastAsia" w:hAnsiTheme="minorEastAsia" w:eastAsiaTheme="minorEastAsia" w:cstheme="minorEastAsia"/>
          <w:color w:val="auto"/>
          <w:sz w:val="24"/>
          <w:szCs w:val="24"/>
          <w:highlight w:val="none"/>
          <w:shd w:val="clear"/>
        </w:rPr>
        <w:t>，必须于</w:t>
      </w:r>
      <w:r>
        <w:rPr>
          <w:rFonts w:hint="eastAsia" w:asciiTheme="minorEastAsia" w:hAnsiTheme="minorEastAsia" w:eastAsiaTheme="minorEastAsia" w:cstheme="minorEastAsia"/>
          <w:color w:val="0000FF"/>
          <w:kern w:val="2"/>
          <w:sz w:val="24"/>
          <w:szCs w:val="24"/>
          <w:highlight w:val="none"/>
          <w:lang w:val="en-US" w:eastAsia="zh-CN" w:bidi="ar-SA"/>
        </w:rPr>
        <w:t>2025年9月24日</w:t>
      </w:r>
      <w:r>
        <w:rPr>
          <w:rFonts w:hint="eastAsia" w:asciiTheme="minorEastAsia" w:hAnsiTheme="minorEastAsia" w:eastAsiaTheme="minorEastAsia" w:cstheme="minorEastAsia"/>
          <w:color w:val="auto"/>
          <w:sz w:val="24"/>
          <w:szCs w:val="24"/>
          <w:highlight w:val="none"/>
          <w:shd w:val="clear"/>
        </w:rPr>
        <w:t>17时前汇到本公司指定账户（户名：连城县国有资产产权交易服务有限公司，开户行：农业银行连城县支行，账号：1377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highlight w:val="none"/>
          <w:shd w:val="clear"/>
          <w:lang w:eastAsia="zh-CN"/>
        </w:rPr>
        <w:t>竞价人</w:t>
      </w:r>
      <w:r>
        <w:rPr>
          <w:rFonts w:hint="eastAsia" w:asciiTheme="minorEastAsia" w:hAnsiTheme="minorEastAsia" w:eastAsiaTheme="minorEastAsia" w:cstheme="minorEastAsia"/>
          <w:color w:val="auto"/>
          <w:sz w:val="24"/>
          <w:szCs w:val="24"/>
          <w:highlight w:val="none"/>
          <w:shd w:val="clear"/>
        </w:rPr>
        <w:t>与缴交竞价保证金的名称要一致。竞价保证金缴至以上账户时，交款单中“款项来源”或“用途”一栏内须填写“****人的竞价保证金”。</w:t>
      </w:r>
    </w:p>
    <w:p w14:paraId="37712247">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eastAsia="zh-CN"/>
        </w:rPr>
        <w:t>服务合同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103401B2">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3.成交人的竞价保证金可以直接抵作交易服务费，如有剩余，在成交人与委托人签订《</w:t>
      </w:r>
      <w:r>
        <w:rPr>
          <w:rFonts w:hint="eastAsia" w:asciiTheme="minorEastAsia" w:hAnsiTheme="minorEastAsia" w:eastAsiaTheme="minorEastAsia" w:cstheme="minorEastAsia"/>
          <w:color w:val="auto"/>
          <w:sz w:val="24"/>
          <w:szCs w:val="24"/>
          <w:highlight w:val="none"/>
          <w:shd w:val="clear"/>
          <w:lang w:eastAsia="zh-CN"/>
        </w:rPr>
        <w:t>服务合同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30BBFCD8">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738E7360">
      <w:pPr>
        <w:keepNext w:val="0"/>
        <w:keepLines w:val="0"/>
        <w:pageBreakBefore w:val="0"/>
        <w:widowControl/>
        <w:shd w:val="clear"/>
        <w:kinsoku/>
        <w:wordWrap/>
        <w:overflowPunct/>
        <w:topLinePunct w:val="0"/>
        <w:autoSpaceDE/>
        <w:autoSpaceDN/>
        <w:bidi w:val="0"/>
        <w:adjustRightInd/>
        <w:snapToGrid/>
        <w:spacing w:before="0" w:line="48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77A3441D">
      <w:pPr>
        <w:keepNext w:val="0"/>
        <w:keepLines w:val="0"/>
        <w:pageBreakBefore w:val="0"/>
        <w:widowControl/>
        <w:shd w:val="clear"/>
        <w:kinsoku/>
        <w:wordWrap/>
        <w:overflowPunct/>
        <w:topLinePunct w:val="0"/>
        <w:autoSpaceDE/>
        <w:autoSpaceDN/>
        <w:bidi w:val="0"/>
        <w:adjustRightInd/>
        <w:snapToGrid/>
        <w:spacing w:before="0" w:line="48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w:t>
      </w:r>
      <w:r>
        <w:rPr>
          <w:rFonts w:hint="eastAsia" w:asciiTheme="minorEastAsia" w:hAnsiTheme="minorEastAsia" w:eastAsiaTheme="minorEastAsia" w:cstheme="minorEastAsia"/>
          <w:color w:val="auto"/>
          <w:kern w:val="2"/>
          <w:sz w:val="24"/>
          <w:szCs w:val="24"/>
          <w:highlight w:val="none"/>
          <w:shd w:val="clear"/>
          <w:lang w:val="en-US" w:eastAsia="zh-CN"/>
        </w:rPr>
        <w:t>报名材料（</w:t>
      </w:r>
      <w:r>
        <w:rPr>
          <w:rFonts w:hint="eastAsia" w:asciiTheme="minorEastAsia" w:hAnsiTheme="minorEastAsia" w:eastAsiaTheme="minorEastAsia" w:cstheme="minorEastAsia"/>
          <w:color w:val="auto"/>
          <w:kern w:val="2"/>
          <w:sz w:val="24"/>
          <w:szCs w:val="24"/>
          <w:highlight w:val="none"/>
          <w:shd w:val="clear"/>
        </w:rPr>
        <w:t>材料复印件须加盖公章</w:t>
      </w:r>
      <w:r>
        <w:rPr>
          <w:rFonts w:hint="eastAsia" w:asciiTheme="minorEastAsia" w:hAnsiTheme="minorEastAsia" w:eastAsiaTheme="minorEastAsia" w:cstheme="minorEastAsia"/>
          <w:color w:val="auto"/>
          <w:kern w:val="2"/>
          <w:sz w:val="24"/>
          <w:szCs w:val="24"/>
          <w:highlight w:val="none"/>
          <w:shd w:val="clear"/>
          <w:lang w:val="en-US" w:eastAsia="zh-CN"/>
        </w:rPr>
        <w:t>）</w:t>
      </w:r>
      <w:r>
        <w:rPr>
          <w:rFonts w:hint="eastAsia" w:asciiTheme="minorEastAsia" w:hAnsiTheme="minorEastAsia" w:eastAsiaTheme="minorEastAsia" w:cstheme="minorEastAsia"/>
          <w:color w:val="auto"/>
          <w:kern w:val="2"/>
          <w:sz w:val="24"/>
          <w:szCs w:val="24"/>
          <w:highlight w:val="none"/>
          <w:shd w:val="clear"/>
        </w:rPr>
        <w:t>：</w:t>
      </w:r>
    </w:p>
    <w:p w14:paraId="7FFD391D">
      <w:pPr>
        <w:keepNext w:val="0"/>
        <w:keepLines w:val="0"/>
        <w:pageBreakBefore w:val="0"/>
        <w:widowControl/>
        <w:shd w:val="clear"/>
        <w:kinsoku/>
        <w:wordWrap/>
        <w:overflowPunct/>
        <w:topLinePunct w:val="0"/>
        <w:autoSpaceDE/>
        <w:autoSpaceDN/>
        <w:bidi w:val="0"/>
        <w:adjustRightInd/>
        <w:snapToGrid/>
        <w:spacing w:before="0" w:line="480" w:lineRule="exact"/>
        <w:ind w:firstLine="482" w:firstLineChars="200"/>
        <w:rPr>
          <w:rFonts w:hint="eastAsia" w:asciiTheme="minorEastAsia" w:hAnsiTheme="minorEastAsia" w:eastAsiaTheme="minorEastAsia" w:cstheme="minorEastAsia"/>
          <w:b/>
          <w:bCs/>
          <w:color w:val="auto"/>
          <w:kern w:val="2"/>
          <w:sz w:val="24"/>
          <w:szCs w:val="24"/>
          <w:highlight w:val="none"/>
          <w:shd w:val="clear"/>
          <w:lang w:eastAsia="zh-CN"/>
        </w:rPr>
      </w:pPr>
      <w:r>
        <w:rPr>
          <w:rFonts w:hint="eastAsia" w:asciiTheme="minorEastAsia" w:hAnsiTheme="minorEastAsia" w:eastAsiaTheme="minorEastAsia" w:cstheme="minorEastAsia"/>
          <w:b/>
          <w:bCs/>
          <w:color w:val="auto"/>
          <w:kern w:val="2"/>
          <w:sz w:val="24"/>
          <w:szCs w:val="24"/>
          <w:highlight w:val="none"/>
          <w:shd w:val="clear"/>
          <w:lang w:eastAsia="zh-CN"/>
        </w:rPr>
        <w:t>（1）营业执照副本、法定代表人身份证复印件；</w:t>
      </w:r>
    </w:p>
    <w:p w14:paraId="27A0026F">
      <w:pPr>
        <w:keepNext w:val="0"/>
        <w:keepLines w:val="0"/>
        <w:pageBreakBefore w:val="0"/>
        <w:widowControl/>
        <w:shd w:val="clear"/>
        <w:kinsoku/>
        <w:wordWrap/>
        <w:overflowPunct/>
        <w:topLinePunct w:val="0"/>
        <w:autoSpaceDE/>
        <w:autoSpaceDN/>
        <w:bidi w:val="0"/>
        <w:adjustRightInd/>
        <w:snapToGrid/>
        <w:spacing w:before="0" w:line="480" w:lineRule="exact"/>
        <w:ind w:firstLine="482" w:firstLineChars="200"/>
        <w:rPr>
          <w:rFonts w:hint="eastAsia" w:asciiTheme="minorEastAsia" w:hAnsiTheme="minorEastAsia" w:eastAsiaTheme="minorEastAsia" w:cstheme="minorEastAsia"/>
          <w:b/>
          <w:bCs/>
          <w:color w:val="auto"/>
          <w:kern w:val="2"/>
          <w:sz w:val="24"/>
          <w:szCs w:val="24"/>
          <w:highlight w:val="none"/>
          <w:shd w:val="clear"/>
          <w:lang w:eastAsia="zh-CN"/>
        </w:rPr>
      </w:pP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2</w:t>
      </w:r>
      <w:r>
        <w:rPr>
          <w:rFonts w:hint="eastAsia" w:asciiTheme="minorEastAsia" w:hAnsiTheme="minorEastAsia" w:eastAsiaTheme="minorEastAsia" w:cstheme="minorEastAsia"/>
          <w:b/>
          <w:bCs/>
          <w:color w:val="auto"/>
          <w:kern w:val="2"/>
          <w:sz w:val="24"/>
          <w:szCs w:val="24"/>
          <w:highlight w:val="none"/>
          <w:shd w:val="clear"/>
          <w:lang w:eastAsia="zh-CN"/>
        </w:rPr>
        <w:t>）未在“国家企业信用信息公示系统”网站（www.gsxt.gov.cn）中列入严重违法失信企业名单，未在“信用中国”网站（www.creditchina.gov.cn）列入严重失信（附以上网站的查询截图）；</w:t>
      </w:r>
    </w:p>
    <w:p w14:paraId="5FD73BC0">
      <w:pPr>
        <w:keepNext w:val="0"/>
        <w:keepLines w:val="0"/>
        <w:pageBreakBefore w:val="0"/>
        <w:widowControl/>
        <w:shd w:val="clear"/>
        <w:kinsoku/>
        <w:wordWrap/>
        <w:overflowPunct/>
        <w:topLinePunct w:val="0"/>
        <w:autoSpaceDE/>
        <w:autoSpaceDN/>
        <w:bidi w:val="0"/>
        <w:adjustRightInd/>
        <w:snapToGrid/>
        <w:spacing w:before="0" w:line="480" w:lineRule="exact"/>
        <w:ind w:firstLine="482" w:firstLineChars="200"/>
        <w:rPr>
          <w:rFonts w:hint="eastAsia" w:asciiTheme="minorEastAsia" w:hAnsiTheme="minorEastAsia" w:eastAsiaTheme="minorEastAsia" w:cstheme="minorEastAsia"/>
          <w:b/>
          <w:bCs/>
          <w:color w:val="auto"/>
          <w:kern w:val="2"/>
          <w:sz w:val="24"/>
          <w:szCs w:val="24"/>
          <w:highlight w:val="none"/>
          <w:shd w:val="clear"/>
          <w:lang w:eastAsia="zh-CN"/>
        </w:rPr>
      </w:pP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3</w:t>
      </w:r>
      <w:r>
        <w:rPr>
          <w:rFonts w:hint="eastAsia" w:asciiTheme="minorEastAsia" w:hAnsiTheme="minorEastAsia" w:eastAsiaTheme="minorEastAsia" w:cstheme="minorEastAsia"/>
          <w:b/>
          <w:bCs/>
          <w:color w:val="auto"/>
          <w:kern w:val="2"/>
          <w:sz w:val="24"/>
          <w:szCs w:val="24"/>
          <w:highlight w:val="none"/>
          <w:shd w:val="clear"/>
          <w:lang w:eastAsia="zh-CN"/>
        </w:rPr>
        <w:t xml:space="preserve">）确认函（格式详见《竞价邀请书》）； </w:t>
      </w:r>
    </w:p>
    <w:p w14:paraId="68442864">
      <w:pPr>
        <w:keepNext w:val="0"/>
        <w:keepLines w:val="0"/>
        <w:pageBreakBefore w:val="0"/>
        <w:widowControl/>
        <w:shd w:val="clear"/>
        <w:kinsoku/>
        <w:wordWrap/>
        <w:overflowPunct/>
        <w:topLinePunct w:val="0"/>
        <w:autoSpaceDE/>
        <w:autoSpaceDN/>
        <w:bidi w:val="0"/>
        <w:adjustRightInd/>
        <w:snapToGrid/>
        <w:spacing w:before="0" w:line="480" w:lineRule="exact"/>
        <w:ind w:firstLine="482" w:firstLineChars="200"/>
        <w:rPr>
          <w:rFonts w:hint="eastAsia" w:asciiTheme="minorEastAsia" w:hAnsiTheme="minorEastAsia" w:eastAsiaTheme="minorEastAsia" w:cstheme="minorEastAsia"/>
          <w:b/>
          <w:bCs/>
          <w:color w:val="auto"/>
          <w:kern w:val="2"/>
          <w:sz w:val="24"/>
          <w:szCs w:val="24"/>
          <w:highlight w:val="none"/>
          <w:shd w:val="clear"/>
          <w:lang w:eastAsia="zh-CN"/>
        </w:rPr>
      </w:pP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4</w:t>
      </w:r>
      <w:r>
        <w:rPr>
          <w:rFonts w:hint="eastAsia" w:asciiTheme="minorEastAsia" w:hAnsiTheme="minorEastAsia" w:eastAsiaTheme="minorEastAsia" w:cstheme="minorEastAsia"/>
          <w:b/>
          <w:bCs/>
          <w:color w:val="auto"/>
          <w:kern w:val="2"/>
          <w:sz w:val="24"/>
          <w:szCs w:val="24"/>
          <w:highlight w:val="none"/>
          <w:shd w:val="clear"/>
          <w:lang w:eastAsia="zh-CN"/>
        </w:rPr>
        <w:t>）签订完整的《承诺书》（</w:t>
      </w:r>
      <w:r>
        <w:rPr>
          <w:rFonts w:hint="eastAsia" w:asciiTheme="minorEastAsia" w:hAnsiTheme="minorEastAsia" w:eastAsiaTheme="minorEastAsia" w:cstheme="minorEastAsia"/>
          <w:b/>
          <w:bCs/>
          <w:color w:val="auto"/>
          <w:kern w:val="2"/>
          <w:sz w:val="24"/>
          <w:szCs w:val="24"/>
          <w:highlight w:val="none"/>
          <w:shd w:val="clear"/>
          <w:lang w:val="en-US" w:eastAsia="zh-CN"/>
        </w:rPr>
        <w:t>附后</w:t>
      </w:r>
      <w:r>
        <w:rPr>
          <w:rFonts w:hint="eastAsia" w:asciiTheme="minorEastAsia" w:hAnsiTheme="minorEastAsia" w:eastAsiaTheme="minorEastAsia" w:cstheme="minorEastAsia"/>
          <w:b/>
          <w:bCs/>
          <w:color w:val="auto"/>
          <w:kern w:val="2"/>
          <w:sz w:val="24"/>
          <w:szCs w:val="24"/>
          <w:highlight w:val="none"/>
          <w:shd w:val="clear"/>
          <w:lang w:eastAsia="zh-CN"/>
        </w:rPr>
        <w:t>）。</w:t>
      </w:r>
    </w:p>
    <w:p w14:paraId="356314EC">
      <w:pPr>
        <w:keepNext w:val="0"/>
        <w:keepLines w:val="0"/>
        <w:pageBreakBefore w:val="0"/>
        <w:widowControl/>
        <w:shd w:val="clear"/>
        <w:kinsoku/>
        <w:wordWrap/>
        <w:overflowPunct/>
        <w:topLinePunct w:val="0"/>
        <w:autoSpaceDE/>
        <w:autoSpaceDN/>
        <w:bidi w:val="0"/>
        <w:adjustRightInd/>
        <w:snapToGrid/>
        <w:spacing w:before="0" w:line="480" w:lineRule="exact"/>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如法定代表人无法亲自到现场办理竞价手续的，应提供《授权委托书》原件和委托代理人身份证复印件。</w:t>
      </w:r>
    </w:p>
    <w:p w14:paraId="4D54735F">
      <w:pPr>
        <w:keepNext w:val="0"/>
        <w:keepLines w:val="0"/>
        <w:pageBreakBefore w:val="0"/>
        <w:widowControl/>
        <w:shd w:val="clear"/>
        <w:kinsoku/>
        <w:wordWrap/>
        <w:overflowPunct/>
        <w:topLinePunct w:val="0"/>
        <w:autoSpaceDE/>
        <w:autoSpaceDN/>
        <w:bidi w:val="0"/>
        <w:adjustRightInd/>
        <w:snapToGrid/>
        <w:spacing w:before="0" w:line="48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39CE98C2">
      <w:pPr>
        <w:keepNext w:val="0"/>
        <w:keepLines w:val="0"/>
        <w:pageBreakBefore w:val="0"/>
        <w:widowControl/>
        <w:shd w:val="clear"/>
        <w:kinsoku/>
        <w:wordWrap/>
        <w:overflowPunct/>
        <w:topLinePunct w:val="0"/>
        <w:autoSpaceDE/>
        <w:autoSpaceDN/>
        <w:bidi w:val="0"/>
        <w:adjustRightInd/>
        <w:snapToGrid/>
        <w:spacing w:before="0" w:line="480" w:lineRule="exact"/>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参加本次竞价会的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需在规定的时间前交纳竞价保证金并登录权益云交易平台办理竞价登记手续，同时将报名资料递交给我司，材料可以采用现场或邮件方式递交。</w:t>
      </w:r>
    </w:p>
    <w:p w14:paraId="28E687D9">
      <w:pPr>
        <w:keepNext w:val="0"/>
        <w:keepLines w:val="0"/>
        <w:pageBreakBefore w:val="0"/>
        <w:widowControl/>
        <w:shd w:val="clear"/>
        <w:kinsoku/>
        <w:wordWrap/>
        <w:overflowPunct/>
        <w:topLinePunct w:val="0"/>
        <w:autoSpaceDE/>
        <w:autoSpaceDN/>
        <w:bidi w:val="0"/>
        <w:adjustRightInd/>
        <w:snapToGrid/>
        <w:spacing w:before="0"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放弃本次竞价报名。</w:t>
      </w:r>
    </w:p>
    <w:p w14:paraId="6D2CE6A9">
      <w:pPr>
        <w:keepNext w:val="0"/>
        <w:keepLines w:val="0"/>
        <w:pageBreakBefore w:val="0"/>
        <w:widowControl/>
        <w:shd w:val="clear"/>
        <w:kinsoku/>
        <w:wordWrap/>
        <w:overflowPunct/>
        <w:topLinePunct w:val="0"/>
        <w:autoSpaceDE/>
        <w:autoSpaceDN/>
        <w:bidi w:val="0"/>
        <w:adjustRightInd/>
        <w:snapToGrid/>
        <w:spacing w:before="0" w:line="48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已经交保证金的，保证金即予无息退还，</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对此不得有异议，且本公司不对</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承担任何损失，此是</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参与本次竞价的先决条件。</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一旦报名成功，即视为同意本公司的前述免责内容。</w:t>
      </w:r>
    </w:p>
    <w:p w14:paraId="45EE8E3A">
      <w:pPr>
        <w:keepNext w:val="0"/>
        <w:keepLines w:val="0"/>
        <w:pageBreakBefore w:val="0"/>
        <w:widowControl/>
        <w:shd w:val="clear"/>
        <w:kinsoku/>
        <w:wordWrap/>
        <w:overflowPunct/>
        <w:topLinePunct w:val="0"/>
        <w:autoSpaceDE/>
        <w:autoSpaceDN/>
        <w:bidi w:val="0"/>
        <w:adjustRightInd/>
        <w:snapToGrid/>
        <w:spacing w:before="0" w:line="48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6FF86F00">
      <w:pPr>
        <w:keepNext w:val="0"/>
        <w:keepLines w:val="0"/>
        <w:pageBreakBefore w:val="0"/>
        <w:widowControl/>
        <w:kinsoku/>
        <w:wordWrap/>
        <w:overflowPunct/>
        <w:topLinePunct w:val="0"/>
        <w:autoSpaceDE/>
        <w:autoSpaceDN/>
        <w:bidi w:val="0"/>
        <w:adjustRightInd/>
        <w:spacing w:line="480" w:lineRule="exact"/>
        <w:ind w:left="0" w:firstLine="480" w:firstLineChars="200"/>
        <w:jc w:val="left"/>
        <w:textAlignment w:val="top"/>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000000"/>
          <w:sz w:val="24"/>
          <w:szCs w:val="24"/>
          <w:highlight w:val="none"/>
        </w:rPr>
        <w:t>本场竞价</w:t>
      </w:r>
      <w:r>
        <w:rPr>
          <w:rFonts w:hint="eastAsia" w:asciiTheme="minorEastAsia" w:hAnsiTheme="minorEastAsia" w:eastAsiaTheme="minorEastAsia" w:cstheme="minorEastAsia"/>
          <w:color w:val="000000"/>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highlight w:val="none"/>
        </w:rPr>
        <w:t>，竞价人不得有异议。</w:t>
      </w:r>
    </w:p>
    <w:p w14:paraId="3CF53F5D">
      <w:pPr>
        <w:keepNext w:val="0"/>
        <w:keepLines w:val="0"/>
        <w:pageBreakBefore w:val="0"/>
        <w:widowControl/>
        <w:shd w:val="clear"/>
        <w:kinsoku/>
        <w:wordWrap/>
        <w:overflowPunct/>
        <w:topLinePunct w:val="0"/>
        <w:autoSpaceDE/>
        <w:autoSpaceDN/>
        <w:bidi w:val="0"/>
        <w:adjustRightInd/>
        <w:snapToGrid/>
        <w:spacing w:before="0" w:line="48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2.</w:t>
      </w:r>
      <w:r>
        <w:rPr>
          <w:rFonts w:hint="eastAsia" w:asciiTheme="minorEastAsia" w:hAnsiTheme="minorEastAsia" w:eastAsiaTheme="minorEastAsia" w:cstheme="minorEastAsia"/>
          <w:color w:val="auto"/>
          <w:kern w:val="2"/>
          <w:sz w:val="24"/>
          <w:szCs w:val="24"/>
          <w:highlight w:val="none"/>
          <w:shd w:val="clear"/>
        </w:rPr>
        <w:t>意向</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应至权益云网站或微信公众号“权益云交易平台”注册用户名，并于报名截止时间前至本公司办理报名竞价手续，登录到权益云报价大厅申请参与本场竞价。</w:t>
      </w:r>
    </w:p>
    <w:p w14:paraId="71E95A52">
      <w:pPr>
        <w:keepNext w:val="0"/>
        <w:keepLines w:val="0"/>
        <w:pageBreakBefore w:val="0"/>
        <w:widowControl/>
        <w:shd w:val="clear"/>
        <w:kinsoku/>
        <w:wordWrap/>
        <w:overflowPunct/>
        <w:topLinePunct w:val="0"/>
        <w:autoSpaceDE/>
        <w:autoSpaceDN/>
        <w:bidi w:val="0"/>
        <w:adjustRightInd/>
        <w:snapToGrid/>
        <w:spacing w:before="0" w:line="480" w:lineRule="exact"/>
        <w:ind w:left="0" w:firstLine="480" w:firstLineChars="200"/>
        <w:jc w:val="left"/>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w:t>
      </w:r>
      <w:r>
        <w:rPr>
          <w:rFonts w:hint="eastAsia" w:ascii="新宋体" w:hAnsi="新宋体" w:eastAsia="新宋体" w:cs="新宋体"/>
          <w:color w:val="auto"/>
          <w:kern w:val="2"/>
          <w:sz w:val="24"/>
          <w:szCs w:val="24"/>
          <w:highlight w:val="none"/>
          <w:shd w:val="clear"/>
        </w:rPr>
        <w:t>本次竞价采用“权益云( www.unibid.cn/portal/pro/items.jsp?way=F )”或微信公众号“权益云交易平台”</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w:t>
      </w:r>
      <w:r>
        <w:rPr>
          <w:rFonts w:hint="eastAsia" w:asciiTheme="minorEastAsia" w:hAnsiTheme="minorEastAsia" w:eastAsiaTheme="minorEastAsia" w:cstheme="minorEastAsia"/>
          <w:color w:val="auto"/>
          <w:kern w:val="2"/>
          <w:sz w:val="24"/>
          <w:szCs w:val="24"/>
          <w:highlight w:val="none"/>
          <w:shd w:val="clear"/>
        </w:rPr>
        <w:t>，以“价格优先，时间优先”（即同等价格时，以报价时间优先）确定本次竞价标的的成交人。竞价人以</w:t>
      </w:r>
      <w:r>
        <w:rPr>
          <w:rFonts w:hint="eastAsia" w:asciiTheme="minorEastAsia" w:hAnsiTheme="minorEastAsia" w:eastAsiaTheme="minorEastAsia" w:cstheme="minorEastAsia"/>
          <w:color w:val="auto"/>
          <w:kern w:val="2"/>
          <w:sz w:val="24"/>
          <w:szCs w:val="24"/>
          <w:highlight w:val="none"/>
          <w:shd w:val="clear"/>
          <w:lang w:val="en-US" w:eastAsia="zh-CN"/>
        </w:rPr>
        <w:t>服务</w:t>
      </w:r>
      <w:r>
        <w:rPr>
          <w:rFonts w:hint="eastAsia" w:asciiTheme="minorEastAsia" w:hAnsiTheme="minorEastAsia" w:eastAsiaTheme="minorEastAsia" w:cstheme="minorEastAsia"/>
          <w:color w:val="auto"/>
          <w:kern w:val="2"/>
          <w:sz w:val="24"/>
          <w:szCs w:val="24"/>
          <w:highlight w:val="none"/>
          <w:shd w:val="clear"/>
        </w:rPr>
        <w:t>费用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4AEAD485">
      <w:pPr>
        <w:keepNext w:val="0"/>
        <w:keepLines w:val="0"/>
        <w:pageBreakBefore w:val="0"/>
        <w:widowControl/>
        <w:shd w:val="clear"/>
        <w:kinsoku/>
        <w:wordWrap/>
        <w:overflowPunct/>
        <w:topLinePunct w:val="0"/>
        <w:autoSpaceDE/>
        <w:autoSpaceDN/>
        <w:bidi w:val="0"/>
        <w:adjustRightInd/>
        <w:snapToGrid/>
        <w:spacing w:before="0" w:line="480" w:lineRule="exact"/>
        <w:ind w:left="0"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3.</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应以</w:t>
      </w:r>
      <w:r>
        <w:rPr>
          <w:rFonts w:hint="eastAsia" w:asciiTheme="minorEastAsia" w:hAnsiTheme="minorEastAsia" w:eastAsiaTheme="minorEastAsia" w:cstheme="minorEastAsia"/>
          <w:b/>
          <w:bCs/>
          <w:color w:val="auto"/>
          <w:kern w:val="2"/>
          <w:sz w:val="24"/>
          <w:szCs w:val="24"/>
          <w:highlight w:val="none"/>
          <w:shd w:val="clear"/>
          <w:lang w:val="en-US" w:eastAsia="zh-CN"/>
        </w:rPr>
        <w:t>服务费单价</w:t>
      </w:r>
      <w:r>
        <w:rPr>
          <w:rFonts w:hint="eastAsia" w:asciiTheme="minorEastAsia" w:hAnsiTheme="minorEastAsia" w:eastAsiaTheme="minorEastAsia" w:cstheme="minorEastAsia"/>
          <w:b/>
          <w:bCs/>
          <w:color w:val="auto"/>
          <w:kern w:val="2"/>
          <w:sz w:val="24"/>
          <w:szCs w:val="24"/>
          <w:highlight w:val="none"/>
          <w:shd w:val="clear"/>
        </w:rPr>
        <w:t>进行报价，竞价系统设置的价格</w:t>
      </w:r>
      <w:r>
        <w:rPr>
          <w:rFonts w:hint="eastAsia" w:asciiTheme="minorEastAsia" w:hAnsiTheme="minorEastAsia" w:eastAsiaTheme="minorEastAsia" w:cstheme="minorEastAsia"/>
          <w:b/>
          <w:bCs/>
          <w:color w:val="0000FF"/>
          <w:kern w:val="2"/>
          <w:sz w:val="24"/>
          <w:szCs w:val="24"/>
          <w:highlight w:val="none"/>
          <w:shd w:val="clear"/>
          <w:lang w:val="en-US" w:eastAsia="zh-CN"/>
        </w:rPr>
        <w:t>133000元</w:t>
      </w:r>
      <w:r>
        <w:rPr>
          <w:rFonts w:hint="eastAsia" w:asciiTheme="minorEastAsia" w:hAnsiTheme="minorEastAsia" w:eastAsiaTheme="minorEastAsia" w:cstheme="minorEastAsia"/>
          <w:b/>
          <w:bCs/>
          <w:color w:val="auto"/>
          <w:kern w:val="2"/>
          <w:sz w:val="24"/>
          <w:szCs w:val="24"/>
          <w:highlight w:val="none"/>
          <w:shd w:val="clear"/>
        </w:rPr>
        <w:t>表示</w:t>
      </w:r>
      <w:r>
        <w:rPr>
          <w:rFonts w:hint="eastAsia" w:asciiTheme="minorEastAsia" w:hAnsiTheme="minorEastAsia" w:eastAsiaTheme="minorEastAsia" w:cstheme="minorEastAsia"/>
          <w:b/>
          <w:bCs/>
          <w:color w:val="auto"/>
          <w:kern w:val="2"/>
          <w:sz w:val="24"/>
          <w:szCs w:val="24"/>
          <w:highlight w:val="none"/>
          <w:shd w:val="clear"/>
          <w:lang w:val="en-US" w:eastAsia="zh-CN"/>
        </w:rPr>
        <w:t>服务费最高限价</w:t>
      </w:r>
      <w:r>
        <w:rPr>
          <w:rFonts w:hint="eastAsia" w:asciiTheme="minorEastAsia" w:hAnsiTheme="minorEastAsia" w:eastAsiaTheme="minorEastAsia" w:cstheme="minorEastAsia"/>
          <w:b/>
          <w:bCs/>
          <w:color w:val="auto"/>
          <w:kern w:val="2"/>
          <w:sz w:val="24"/>
          <w:szCs w:val="24"/>
          <w:highlight w:val="none"/>
          <w:shd w:val="clear"/>
        </w:rPr>
        <w:t>为</w:t>
      </w:r>
      <w:r>
        <w:rPr>
          <w:rFonts w:hint="eastAsia" w:asciiTheme="minorEastAsia" w:hAnsiTheme="minorEastAsia" w:eastAsiaTheme="minorEastAsia" w:cstheme="minorEastAsia"/>
          <w:b/>
          <w:bCs/>
          <w:color w:val="auto"/>
          <w:kern w:val="2"/>
          <w:sz w:val="24"/>
          <w:szCs w:val="24"/>
          <w:highlight w:val="none"/>
          <w:shd w:val="clear"/>
          <w:lang w:val="en-US" w:eastAsia="zh-CN"/>
        </w:rPr>
        <w:t>人民币</w:t>
      </w:r>
      <w:r>
        <w:rPr>
          <w:rFonts w:hint="eastAsia" w:asciiTheme="minorEastAsia" w:hAnsiTheme="minorEastAsia" w:eastAsiaTheme="minorEastAsia" w:cstheme="minorEastAsia"/>
          <w:b/>
          <w:bCs/>
          <w:color w:val="0000FF"/>
          <w:kern w:val="2"/>
          <w:sz w:val="24"/>
          <w:szCs w:val="24"/>
          <w:highlight w:val="none"/>
          <w:shd w:val="clear"/>
          <w:lang w:val="en-US" w:eastAsia="zh-CN"/>
        </w:rPr>
        <w:t>133000元</w:t>
      </w:r>
      <w:r>
        <w:rPr>
          <w:rFonts w:hint="eastAsia" w:asciiTheme="minorEastAsia" w:hAnsiTheme="minorEastAsia" w:eastAsiaTheme="minorEastAsia" w:cstheme="minorEastAsia"/>
          <w:b/>
          <w:bCs/>
          <w:color w:val="auto"/>
          <w:kern w:val="2"/>
          <w:sz w:val="24"/>
          <w:szCs w:val="24"/>
          <w:highlight w:val="none"/>
          <w:shd w:val="clear"/>
        </w:rPr>
        <w:t>，填报</w:t>
      </w:r>
      <w:r>
        <w:rPr>
          <w:rFonts w:hint="eastAsia" w:asciiTheme="minorEastAsia" w:hAnsiTheme="minorEastAsia" w:eastAsiaTheme="minorEastAsia" w:cstheme="minorEastAsia"/>
          <w:b/>
          <w:bCs/>
          <w:color w:val="auto"/>
          <w:kern w:val="2"/>
          <w:sz w:val="24"/>
          <w:szCs w:val="24"/>
          <w:highlight w:val="none"/>
          <w:shd w:val="clear"/>
          <w:lang w:val="en-US" w:eastAsia="zh-CN"/>
        </w:rPr>
        <w:t>服务费单价最低的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作为本项目成交人</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在竞价系统填报</w:t>
      </w:r>
      <w:r>
        <w:rPr>
          <w:rFonts w:hint="eastAsia" w:asciiTheme="minorEastAsia" w:hAnsiTheme="minorEastAsia" w:eastAsiaTheme="minorEastAsia" w:cstheme="minorEastAsia"/>
          <w:b/>
          <w:bCs/>
          <w:color w:val="auto"/>
          <w:kern w:val="2"/>
          <w:sz w:val="24"/>
          <w:szCs w:val="24"/>
          <w:highlight w:val="none"/>
          <w:shd w:val="clear"/>
          <w:lang w:val="en-US" w:eastAsia="zh-CN"/>
        </w:rPr>
        <w:t>价格高</w:t>
      </w:r>
      <w:r>
        <w:rPr>
          <w:rFonts w:hint="eastAsia" w:asciiTheme="minorEastAsia" w:hAnsiTheme="minorEastAsia" w:eastAsiaTheme="minorEastAsia" w:cstheme="minorEastAsia"/>
          <w:b/>
          <w:bCs/>
          <w:color w:val="auto"/>
          <w:kern w:val="2"/>
          <w:sz w:val="24"/>
          <w:szCs w:val="24"/>
          <w:highlight w:val="none"/>
          <w:shd w:val="clear"/>
        </w:rPr>
        <w:t>于</w:t>
      </w:r>
      <w:r>
        <w:rPr>
          <w:rFonts w:hint="eastAsia" w:asciiTheme="minorEastAsia" w:hAnsiTheme="minorEastAsia" w:eastAsiaTheme="minorEastAsia" w:cstheme="minorEastAsia"/>
          <w:b/>
          <w:bCs/>
          <w:color w:val="0000FF"/>
          <w:kern w:val="2"/>
          <w:sz w:val="24"/>
          <w:szCs w:val="24"/>
          <w:highlight w:val="none"/>
          <w:shd w:val="clear"/>
          <w:lang w:val="en-US" w:eastAsia="zh-CN"/>
        </w:rPr>
        <w:t>133000元</w:t>
      </w:r>
      <w:r>
        <w:rPr>
          <w:rFonts w:hint="eastAsia" w:asciiTheme="minorEastAsia" w:hAnsiTheme="minorEastAsia" w:eastAsiaTheme="minorEastAsia" w:cstheme="minorEastAsia"/>
          <w:b/>
          <w:bCs/>
          <w:color w:val="auto"/>
          <w:kern w:val="2"/>
          <w:sz w:val="24"/>
          <w:szCs w:val="24"/>
          <w:highlight w:val="none"/>
          <w:shd w:val="clear"/>
        </w:rPr>
        <w:t>为或竞价人报价IP地址一致的均视为无效报价。若竞价系统显示无效报价竞价人为成交人的，我司有权按照《竞价须知》要求排除无效报价竞价人后，根据有效报价竞价人的排序重新确定成交人。</w:t>
      </w:r>
    </w:p>
    <w:p w14:paraId="026DEFE5">
      <w:pPr>
        <w:keepNext w:val="0"/>
        <w:keepLines w:val="0"/>
        <w:pageBreakBefore w:val="0"/>
        <w:widowControl/>
        <w:shd w:val="clear"/>
        <w:kinsoku/>
        <w:wordWrap/>
        <w:overflowPunct/>
        <w:topLinePunct w:val="0"/>
        <w:autoSpaceDE/>
        <w:autoSpaceDN/>
        <w:bidi w:val="0"/>
        <w:adjustRightInd/>
        <w:snapToGrid/>
        <w:spacing w:before="0" w:line="48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4.特别提示：标的经公开征集到合格</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应以不高于最高</w:t>
      </w:r>
      <w:r>
        <w:rPr>
          <w:rFonts w:hint="eastAsia" w:asciiTheme="minorEastAsia" w:hAnsiTheme="minorEastAsia" w:eastAsiaTheme="minorEastAsia" w:cstheme="minorEastAsia"/>
          <w:color w:val="auto"/>
          <w:kern w:val="2"/>
          <w:sz w:val="24"/>
          <w:szCs w:val="24"/>
          <w:highlight w:val="none"/>
          <w:shd w:val="clear"/>
          <w:lang w:val="en-US" w:eastAsia="zh-CN"/>
        </w:rPr>
        <w:t>控制单价</w:t>
      </w:r>
      <w:r>
        <w:rPr>
          <w:rFonts w:hint="eastAsia" w:asciiTheme="minorEastAsia" w:hAnsiTheme="minorEastAsia" w:eastAsiaTheme="minorEastAsia" w:cstheme="minorEastAsia"/>
          <w:color w:val="auto"/>
          <w:kern w:val="2"/>
          <w:sz w:val="24"/>
          <w:szCs w:val="24"/>
          <w:highlight w:val="none"/>
          <w:shd w:val="clear"/>
        </w:rPr>
        <w:t>进行报价，成交人应签署</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等相关文件，否则视同为违约。</w:t>
      </w:r>
    </w:p>
    <w:p w14:paraId="12A791CC">
      <w:pPr>
        <w:keepNext w:val="0"/>
        <w:keepLines w:val="0"/>
        <w:pageBreakBefore w:val="0"/>
        <w:widowControl/>
        <w:shd w:val="clear"/>
        <w:kinsoku/>
        <w:wordWrap/>
        <w:overflowPunct/>
        <w:topLinePunct w:val="0"/>
        <w:autoSpaceDE/>
        <w:autoSpaceDN/>
        <w:bidi w:val="0"/>
        <w:adjustRightInd/>
        <w:snapToGrid/>
        <w:spacing w:before="0" w:line="48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5.本公司有权就竞价时间做出调整，如有调整将在本公司网站进行公告。</w:t>
      </w:r>
    </w:p>
    <w:p w14:paraId="437713BA">
      <w:pPr>
        <w:keepNext w:val="0"/>
        <w:keepLines w:val="0"/>
        <w:pageBreakBefore w:val="0"/>
        <w:kinsoku/>
        <w:wordWrap/>
        <w:overflowPunct/>
        <w:topLinePunct w:val="0"/>
        <w:autoSpaceDE/>
        <w:autoSpaceDN/>
        <w:bidi w:val="0"/>
        <w:adjustRightInd/>
        <w:snapToGrid/>
        <w:spacing w:line="48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28653168">
      <w:pPr>
        <w:keepNext w:val="0"/>
        <w:keepLines w:val="0"/>
        <w:pageBreakBefore w:val="0"/>
        <w:kinsoku/>
        <w:wordWrap/>
        <w:overflowPunct/>
        <w:topLinePunct w:val="0"/>
        <w:autoSpaceDE/>
        <w:autoSpaceDN/>
        <w:bidi w:val="0"/>
        <w:adjustRightInd/>
        <w:spacing w:line="480" w:lineRule="exact"/>
        <w:ind w:left="0" w:firstLine="480" w:firstLineChars="200"/>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竞价成交后，</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本项目的</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交易</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服务费按成交价×1.5%计费向成交</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人</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收取，不足3000元的，按3000元计费。</w:t>
      </w:r>
      <w:r>
        <w:rPr>
          <w:rFonts w:hint="eastAsia" w:asciiTheme="minorEastAsia" w:hAnsiTheme="minorEastAsia" w:eastAsiaTheme="minorEastAsia" w:cstheme="minorEastAsia"/>
          <w:color w:val="000000"/>
          <w:sz w:val="24"/>
          <w:szCs w:val="24"/>
          <w:highlight w:val="none"/>
        </w:rPr>
        <w:t>交易服务费直接由本公司从成交人缴纳的竞价保证金中扣收，不足的，成交人</w:t>
      </w:r>
      <w:r>
        <w:rPr>
          <w:rFonts w:hint="eastAsia" w:asciiTheme="minorEastAsia" w:hAnsiTheme="minorEastAsia" w:eastAsiaTheme="minorEastAsia" w:cstheme="minorEastAsia"/>
          <w:b/>
          <w:bCs/>
          <w:color w:val="000000"/>
          <w:sz w:val="24"/>
          <w:szCs w:val="24"/>
          <w:highlight w:val="none"/>
          <w:shd w:val="clear" w:color="auto" w:fill="FFFFFF"/>
        </w:rPr>
        <w:t>必须在成交之日起2个工作日</w:t>
      </w:r>
      <w:r>
        <w:rPr>
          <w:rFonts w:hint="eastAsia" w:asciiTheme="minorEastAsia" w:hAnsiTheme="minorEastAsia" w:eastAsiaTheme="minorEastAsia" w:cstheme="minorEastAsia"/>
          <w:color w:val="000000"/>
          <w:sz w:val="24"/>
          <w:szCs w:val="24"/>
          <w:highlight w:val="none"/>
        </w:rPr>
        <w:t>内补齐。交易服务费未按期付清的，视成交人根本违约，竞价保证金不予退回。</w:t>
      </w:r>
    </w:p>
    <w:p w14:paraId="3F2826D8">
      <w:pPr>
        <w:keepNext w:val="0"/>
        <w:keepLines w:val="0"/>
        <w:pageBreakBefore w:val="0"/>
        <w:widowControl/>
        <w:shd w:val="clear"/>
        <w:kinsoku/>
        <w:wordWrap/>
        <w:overflowPunct/>
        <w:topLinePunct w:val="0"/>
        <w:autoSpaceDE/>
        <w:autoSpaceDN/>
        <w:bidi w:val="0"/>
        <w:adjustRightInd/>
        <w:snapToGrid/>
        <w:spacing w:before="0" w:line="48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lang w:val="en-US" w:eastAsia="zh-CN"/>
        </w:rPr>
        <w:t>八</w:t>
      </w:r>
      <w:r>
        <w:rPr>
          <w:rFonts w:hint="eastAsia" w:asciiTheme="minorEastAsia" w:hAnsiTheme="minorEastAsia" w:eastAsiaTheme="minorEastAsia" w:cstheme="minorEastAsia"/>
          <w:b/>
          <w:bCs/>
          <w:color w:val="auto"/>
          <w:kern w:val="2"/>
          <w:sz w:val="24"/>
          <w:szCs w:val="24"/>
          <w:highlight w:val="none"/>
          <w:shd w:val="clear"/>
        </w:rPr>
        <w:t>、税费承担</w:t>
      </w:r>
    </w:p>
    <w:p w14:paraId="5CE0D7F7">
      <w:pPr>
        <w:keepNext w:val="0"/>
        <w:keepLines w:val="0"/>
        <w:pageBreakBefore w:val="0"/>
        <w:widowControl/>
        <w:shd w:val="clear"/>
        <w:kinsoku/>
        <w:wordWrap/>
        <w:overflowPunct/>
        <w:topLinePunct w:val="0"/>
        <w:autoSpaceDE/>
        <w:autoSpaceDN/>
        <w:bidi w:val="0"/>
        <w:adjustRightInd/>
        <w:snapToGrid/>
        <w:spacing w:before="0" w:line="48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自行承担参加竞价会有关的全部费用（包括但不限于差旅费、邮寄费、资料费等）。</w:t>
      </w:r>
    </w:p>
    <w:p w14:paraId="6DB2EDE6">
      <w:pPr>
        <w:keepNext w:val="0"/>
        <w:keepLines w:val="0"/>
        <w:pageBreakBefore w:val="0"/>
        <w:widowControl/>
        <w:shd w:val="clear"/>
        <w:kinsoku/>
        <w:wordWrap/>
        <w:overflowPunct/>
        <w:topLinePunct w:val="0"/>
        <w:autoSpaceDE/>
        <w:autoSpaceDN/>
        <w:bidi w:val="0"/>
        <w:adjustRightInd/>
        <w:snapToGrid/>
        <w:spacing w:before="0" w:line="48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lang w:val="en-US" w:eastAsia="zh-CN"/>
        </w:rPr>
        <w:t>九</w:t>
      </w:r>
      <w:r>
        <w:rPr>
          <w:rFonts w:hint="eastAsia" w:asciiTheme="minorEastAsia" w:hAnsiTheme="minorEastAsia" w:eastAsiaTheme="minorEastAsia" w:cstheme="minorEastAsia"/>
          <w:b/>
          <w:bCs/>
          <w:color w:val="auto"/>
          <w:kern w:val="2"/>
          <w:sz w:val="24"/>
          <w:szCs w:val="24"/>
          <w:highlight w:val="none"/>
          <w:shd w:val="clear"/>
        </w:rPr>
        <w:t>、违约责任</w:t>
      </w:r>
    </w:p>
    <w:p w14:paraId="15F29A97">
      <w:pPr>
        <w:keepNext w:val="0"/>
        <w:keepLines w:val="0"/>
        <w:pageBreakBefore w:val="0"/>
        <w:widowControl/>
        <w:shd w:val="clear"/>
        <w:kinsoku/>
        <w:wordWrap/>
        <w:overflowPunct/>
        <w:topLinePunct w:val="0"/>
        <w:autoSpaceDE/>
        <w:autoSpaceDN/>
        <w:bidi w:val="0"/>
        <w:adjustRightInd/>
        <w:snapToGrid/>
        <w:spacing w:before="0" w:line="48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，或逾期未缴纳交易服务费，本公司按违约处理，保证金不予退回，同时《竞价结果通知书》自动失效，并视情对竞价标的再次竞价或处理，本公司将保留向该成交人提起赔偿诉讼的权利。</w:t>
      </w:r>
    </w:p>
    <w:p w14:paraId="1A775F6C">
      <w:pPr>
        <w:keepNext w:val="0"/>
        <w:keepLines w:val="0"/>
        <w:pageBreakBefore w:val="0"/>
        <w:widowControl/>
        <w:shd w:val="clear"/>
        <w:kinsoku/>
        <w:wordWrap/>
        <w:overflowPunct/>
        <w:topLinePunct w:val="0"/>
        <w:autoSpaceDE/>
        <w:autoSpaceDN/>
        <w:bidi w:val="0"/>
        <w:adjustRightInd/>
        <w:snapToGrid/>
        <w:spacing w:before="0" w:line="48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十、注意事项</w:t>
      </w:r>
    </w:p>
    <w:p w14:paraId="6A64D8CE">
      <w:pPr>
        <w:keepNext w:val="0"/>
        <w:keepLines w:val="0"/>
        <w:pageBreakBefore w:val="0"/>
        <w:widowControl/>
        <w:shd w:val="clear"/>
        <w:kinsoku/>
        <w:wordWrap/>
        <w:overflowPunct/>
        <w:topLinePunct w:val="0"/>
        <w:autoSpaceDE/>
        <w:autoSpaceDN/>
        <w:bidi w:val="0"/>
        <w:adjustRightInd/>
        <w:snapToGrid/>
        <w:spacing w:before="0" w:line="48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2E46BD23">
      <w:pPr>
        <w:keepNext w:val="0"/>
        <w:keepLines w:val="0"/>
        <w:pageBreakBefore w:val="0"/>
        <w:widowControl/>
        <w:shd w:val="clear"/>
        <w:kinsoku/>
        <w:wordWrap/>
        <w:overflowPunct/>
        <w:topLinePunct w:val="0"/>
        <w:autoSpaceDE/>
        <w:autoSpaceDN/>
        <w:bidi w:val="0"/>
        <w:adjustRightInd/>
        <w:snapToGrid/>
        <w:spacing w:before="0" w:line="48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63B18502">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6C196957">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6FD42394">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14"/>
        <w:tblW w:w="9071" w:type="dxa"/>
        <w:jc w:val="center"/>
        <w:shd w:val="clear" w:color="auto" w:fill="FFFFFF"/>
        <w:tblLayout w:type="fixed"/>
        <w:tblCellMar>
          <w:top w:w="0" w:type="dxa"/>
          <w:left w:w="0" w:type="dxa"/>
          <w:bottom w:w="0" w:type="dxa"/>
          <w:right w:w="0" w:type="dxa"/>
        </w:tblCellMar>
      </w:tblPr>
      <w:tblGrid>
        <w:gridCol w:w="9071"/>
      </w:tblGrid>
      <w:tr w14:paraId="46484131">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6AF6AE1F">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7B392F64">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权益云交易平台</w:t>
            </w:r>
            <w:r>
              <w:rPr>
                <w:rFonts w:hint="eastAsia" w:asciiTheme="minorEastAsia" w:hAnsiTheme="minorEastAsia" w:eastAsiaTheme="minorEastAsia" w:cstheme="minorEastAsia"/>
                <w:b/>
                <w:bCs/>
                <w:color w:val="auto"/>
                <w:sz w:val="24"/>
                <w:szCs w:val="24"/>
                <w:highlight w:val="none"/>
              </w:rPr>
              <w:t>（网址：https://www.unibid.cn/）</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2D3C0981">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6CEBC2FE">
      <w:pPr>
        <w:widowControl/>
        <w:shd w:val="clear"/>
        <w:snapToGrid/>
        <w:spacing w:before="0" w:line="240" w:lineRule="auto"/>
        <w:ind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drawing>
          <wp:anchor distT="0" distB="0" distL="114300" distR="114300" simplePos="0" relativeHeight="251659264" behindDoc="0" locked="0" layoutInCell="1" allowOverlap="1">
            <wp:simplePos x="0" y="0"/>
            <wp:positionH relativeFrom="column">
              <wp:posOffset>27305</wp:posOffset>
            </wp:positionH>
            <wp:positionV relativeFrom="paragraph">
              <wp:posOffset>73025</wp:posOffset>
            </wp:positionV>
            <wp:extent cx="906145" cy="906145"/>
            <wp:effectExtent l="0" t="0" r="8255" b="825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06145" cy="906145"/>
                    </a:xfrm>
                    <a:prstGeom prst="rect">
                      <a:avLst/>
                    </a:prstGeom>
                  </pic:spPr>
                </pic:pic>
              </a:graphicData>
            </a:graphic>
          </wp:anchor>
        </w:drawing>
      </w: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76ECC8B5">
      <w:pPr>
        <w:widowControl/>
        <w:shd w:val="clear"/>
        <w:snapToGrid/>
        <w:spacing w:before="0" w:line="240" w:lineRule="auto"/>
        <w:ind w:firstLine="0" w:firstLineChars="0"/>
        <w:jc w:val="center"/>
        <w:rPr>
          <w:rFonts w:hint="eastAsia" w:asciiTheme="minorEastAsia" w:hAnsiTheme="minorEastAsia" w:eastAsiaTheme="minorEastAsia" w:cstheme="minorEastAsia"/>
          <w:color w:val="auto"/>
          <w:sz w:val="24"/>
          <w:szCs w:val="24"/>
          <w:highlight w:val="none"/>
          <w:lang w:val="en-US" w:eastAsia="zh-CN"/>
        </w:rPr>
      </w:pPr>
    </w:p>
    <w:p w14:paraId="5A065475">
      <w:pPr>
        <w:widowControl/>
        <w:shd w:val="clear"/>
        <w:snapToGrid/>
        <w:spacing w:before="0" w:line="240" w:lineRule="auto"/>
        <w:ind w:firstLine="0" w:firstLineChars="0"/>
        <w:jc w:val="righ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11963664">
      <w:pPr>
        <w:widowControl/>
        <w:shd w:val="clear"/>
        <w:wordWrap/>
        <w:snapToGrid/>
        <w:spacing w:before="0" w:line="240" w:lineRule="auto"/>
        <w:ind w:firstLine="480" w:firstLineChars="200"/>
        <w:jc w:val="center"/>
        <w:rPr>
          <w:rFonts w:hint="default" w:asciiTheme="minorEastAsia" w:hAnsiTheme="minorEastAsia" w:eastAsiaTheme="minorEastAsia" w:cstheme="minorEastAsia"/>
          <w:color w:val="0000FF"/>
          <w:kern w:val="2"/>
          <w:sz w:val="24"/>
          <w:szCs w:val="24"/>
          <w:highlight w:val="none"/>
          <w:shd w:val="clear"/>
          <w:lang w:val="en-US" w:eastAsia="zh-CN"/>
        </w:rPr>
      </w:pPr>
      <w:r>
        <w:rPr>
          <w:rFonts w:hint="eastAsia" w:asciiTheme="minorEastAsia" w:hAnsiTheme="minorEastAsia" w:eastAsiaTheme="minorEastAsia" w:cstheme="minorEastAsia"/>
          <w:color w:val="0000FF"/>
          <w:kern w:val="2"/>
          <w:sz w:val="24"/>
          <w:szCs w:val="24"/>
          <w:highlight w:val="none"/>
          <w:shd w:val="clear"/>
          <w:lang w:val="en-US" w:eastAsia="zh-CN"/>
        </w:rPr>
        <w:t xml:space="preserve">                           2025年9月19日</w:t>
      </w:r>
    </w:p>
    <w:p w14:paraId="01BC6C05">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37E9D713">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承 诺 书</w:t>
      </w:r>
    </w:p>
    <w:p w14:paraId="2CB59A5E">
      <w:pPr>
        <w:spacing w:line="360" w:lineRule="auto"/>
        <w:ind w:firstLine="5040" w:firstLineChars="2100"/>
        <w:jc w:val="left"/>
        <w:rPr>
          <w:rFonts w:hint="eastAsia" w:asciiTheme="minorEastAsia" w:hAnsiTheme="minorEastAsia" w:eastAsiaTheme="minorEastAsia" w:cstheme="minorEastAsia"/>
          <w:color w:val="auto"/>
          <w:sz w:val="24"/>
          <w:szCs w:val="24"/>
          <w:highlight w:val="none"/>
        </w:rPr>
      </w:pPr>
    </w:p>
    <w:p w14:paraId="26905934">
      <w:pPr>
        <w:spacing w:beforeLines="50"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0DFCE217">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highlight w:val="none"/>
          <w:u w:val="single"/>
        </w:rPr>
        <w:t xml:space="preserve"> </w:t>
      </w:r>
      <w:r>
        <w:rPr>
          <w:rFonts w:hint="eastAsia" w:asciiTheme="minorEastAsia" w:hAnsiTheme="minorEastAsia" w:eastAsiaTheme="minorEastAsia" w:cstheme="minorEastAsia"/>
          <w:color w:val="0000FF"/>
          <w:sz w:val="24"/>
          <w:szCs w:val="24"/>
          <w:highlight w:val="none"/>
          <w:u w:val="single"/>
          <w:lang w:val="en-US" w:eastAsia="zh-CN"/>
        </w:rPr>
        <w:t>2025</w:t>
      </w:r>
      <w:r>
        <w:rPr>
          <w:rFonts w:hint="eastAsia" w:asciiTheme="minorEastAsia" w:hAnsiTheme="minorEastAsia" w:eastAsiaTheme="minorEastAsia" w:cstheme="minorEastAsia"/>
          <w:color w:val="0000FF"/>
          <w:sz w:val="24"/>
          <w:szCs w:val="24"/>
          <w:highlight w:val="none"/>
          <w:u w:val="single"/>
        </w:rPr>
        <w:t>年</w:t>
      </w:r>
      <w:r>
        <w:rPr>
          <w:rFonts w:hint="eastAsia" w:asciiTheme="minorEastAsia" w:hAnsiTheme="minorEastAsia" w:eastAsiaTheme="minorEastAsia" w:cstheme="minorEastAsia"/>
          <w:color w:val="0000FF"/>
          <w:sz w:val="24"/>
          <w:szCs w:val="24"/>
          <w:highlight w:val="none"/>
          <w:u w:val="single"/>
          <w:lang w:val="en-US" w:eastAsia="zh-CN"/>
        </w:rPr>
        <w:t>9月25日</w:t>
      </w:r>
      <w:r>
        <w:rPr>
          <w:rFonts w:hint="eastAsia" w:asciiTheme="minorEastAsia" w:hAnsiTheme="minorEastAsia" w:eastAsiaTheme="minorEastAsia" w:cstheme="minorEastAsia"/>
          <w:color w:val="auto"/>
          <w:sz w:val="24"/>
          <w:szCs w:val="24"/>
          <w:highlight w:val="none"/>
        </w:rPr>
        <w:t>上午举行的 “权益云</w:t>
      </w:r>
      <w:r>
        <w:rPr>
          <w:rFonts w:hint="eastAsia" w:asciiTheme="minorEastAsia" w:hAnsiTheme="minorEastAsia" w:eastAsiaTheme="minorEastAsia" w:cstheme="minorEastAsia"/>
          <w:color w:val="0000FF"/>
          <w:sz w:val="24"/>
          <w:szCs w:val="24"/>
          <w:highlight w:val="none"/>
          <w:lang w:val="en-US" w:eastAsia="zh-CN"/>
        </w:rPr>
        <w:t>反</w:t>
      </w:r>
      <w:r>
        <w:rPr>
          <w:rFonts w:hint="eastAsia" w:asciiTheme="minorEastAsia" w:hAnsiTheme="minorEastAsia" w:eastAsiaTheme="minorEastAsia" w:cstheme="minorEastAsia"/>
          <w:color w:val="0000FF"/>
          <w:sz w:val="24"/>
          <w:szCs w:val="24"/>
          <w:highlight w:val="none"/>
        </w:rPr>
        <w:t>向一次</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0000FF"/>
          <w:sz w:val="24"/>
          <w:szCs w:val="24"/>
          <w:highlight w:val="none"/>
          <w:u w:val="single"/>
          <w:lang w:val="en-US" w:eastAsia="zh-CN"/>
        </w:rPr>
        <w:t>集团组织管理与岗位体系优化建设项目</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0000FF"/>
          <w:sz w:val="24"/>
          <w:szCs w:val="24"/>
          <w:highlight w:val="none"/>
          <w:u w:val="single"/>
          <w:lang w:eastAsia="zh-CN"/>
        </w:rPr>
        <w:t xml:space="preserve">LCCQJJ20250925-1 </w:t>
      </w:r>
      <w:r>
        <w:rPr>
          <w:rFonts w:hint="eastAsia" w:asciiTheme="minorEastAsia" w:hAnsiTheme="minorEastAsia" w:eastAsiaTheme="minorEastAsia" w:cstheme="minorEastAsia"/>
          <w:color w:val="auto"/>
          <w:sz w:val="24"/>
          <w:szCs w:val="24"/>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5926725D">
      <w:pPr>
        <w:spacing w:line="440" w:lineRule="exact"/>
        <w:rPr>
          <w:rFonts w:hint="eastAsia" w:asciiTheme="minorEastAsia" w:hAnsiTheme="minorEastAsia" w:eastAsiaTheme="minorEastAsia" w:cstheme="minorEastAsia"/>
          <w:color w:val="auto"/>
          <w:sz w:val="24"/>
          <w:szCs w:val="24"/>
          <w:highlight w:val="none"/>
        </w:rPr>
      </w:pPr>
    </w:p>
    <w:p w14:paraId="6D4FDB02">
      <w:pPr>
        <w:spacing w:line="440" w:lineRule="exact"/>
        <w:rPr>
          <w:rFonts w:hint="eastAsia" w:asciiTheme="minorEastAsia" w:hAnsiTheme="minorEastAsia" w:eastAsiaTheme="minorEastAsia" w:cstheme="minorEastAsia"/>
          <w:color w:val="auto"/>
          <w:sz w:val="24"/>
          <w:szCs w:val="24"/>
          <w:highlight w:val="none"/>
        </w:rPr>
      </w:pPr>
    </w:p>
    <w:p w14:paraId="11DC662F">
      <w:pPr>
        <w:spacing w:line="440" w:lineRule="exact"/>
        <w:rPr>
          <w:rFonts w:hint="eastAsia" w:asciiTheme="minorEastAsia" w:hAnsiTheme="minorEastAsia" w:eastAsiaTheme="minorEastAsia" w:cstheme="minorEastAsia"/>
          <w:color w:val="auto"/>
          <w:sz w:val="24"/>
          <w:szCs w:val="24"/>
          <w:highlight w:val="none"/>
        </w:rPr>
      </w:pPr>
    </w:p>
    <w:p w14:paraId="3CC670C3">
      <w:pPr>
        <w:spacing w:line="440" w:lineRule="exact"/>
        <w:rPr>
          <w:rFonts w:hint="eastAsia" w:asciiTheme="minorEastAsia" w:hAnsiTheme="minorEastAsia" w:eastAsiaTheme="minorEastAsia" w:cstheme="minorEastAsia"/>
          <w:color w:val="auto"/>
          <w:sz w:val="24"/>
          <w:szCs w:val="24"/>
          <w:highlight w:val="none"/>
        </w:rPr>
      </w:pPr>
    </w:p>
    <w:p w14:paraId="03C0B495">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12373BAB">
      <w:pPr>
        <w:spacing w:line="440" w:lineRule="exact"/>
        <w:rPr>
          <w:rFonts w:hint="eastAsia" w:asciiTheme="minorEastAsia" w:hAnsiTheme="minorEastAsia" w:eastAsiaTheme="minorEastAsia" w:cstheme="minorEastAsia"/>
          <w:color w:val="auto"/>
          <w:sz w:val="24"/>
          <w:szCs w:val="24"/>
          <w:highlight w:val="none"/>
        </w:rPr>
      </w:pPr>
    </w:p>
    <w:p w14:paraId="5856B68D">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法定代表人或授权代理人（签章）： </w:t>
      </w:r>
    </w:p>
    <w:p w14:paraId="0D2A80A2">
      <w:pPr>
        <w:spacing w:line="440" w:lineRule="exact"/>
        <w:rPr>
          <w:rFonts w:hint="eastAsia" w:asciiTheme="minorEastAsia" w:hAnsiTheme="minorEastAsia" w:eastAsiaTheme="minorEastAsia" w:cstheme="minorEastAsia"/>
          <w:color w:val="auto"/>
          <w:sz w:val="24"/>
          <w:szCs w:val="24"/>
          <w:highlight w:val="none"/>
        </w:rPr>
      </w:pPr>
    </w:p>
    <w:p w14:paraId="49628ED1">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452D7C93">
      <w:pPr>
        <w:spacing w:line="440" w:lineRule="exact"/>
        <w:rPr>
          <w:rFonts w:hint="eastAsia" w:asciiTheme="minorEastAsia" w:hAnsiTheme="minorEastAsia" w:eastAsiaTheme="minorEastAsia" w:cstheme="minorEastAsia"/>
          <w:color w:val="auto"/>
          <w:sz w:val="24"/>
          <w:szCs w:val="24"/>
          <w:highlight w:val="none"/>
        </w:rPr>
      </w:pPr>
    </w:p>
    <w:p w14:paraId="3AB89749">
      <w:pPr>
        <w:spacing w:line="440" w:lineRule="exact"/>
        <w:ind w:firstLine="0" w:firstLineChars="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3D9B885C">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70B8538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Style w:val="17"/>
          <w:rFonts w:hint="eastAsia" w:ascii="方正小标宋简体" w:hAnsi="方正小标宋简体" w:eastAsia="方正小标宋简体" w:cs="方正小标宋简体"/>
          <w:b w:val="0"/>
          <w:bCs w:val="0"/>
          <w:color w:val="000000"/>
          <w:kern w:val="0"/>
          <w:sz w:val="44"/>
          <w:szCs w:val="44"/>
          <w:lang w:eastAsia="zh-CN"/>
        </w:rPr>
        <w:t>集团组织管理与岗位体系优化建设项目</w:t>
      </w:r>
    </w:p>
    <w:p w14:paraId="1422D304">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061F998E">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color w:val="000000"/>
          <w:kern w:val="0"/>
          <w:sz w:val="32"/>
          <w:szCs w:val="32"/>
          <w:lang w:val="en-US" w:eastAsia="zh-CN" w:bidi="ar"/>
        </w:rPr>
        <w:t>服务</w:t>
      </w:r>
      <w:r>
        <w:rPr>
          <w:rFonts w:hint="default" w:ascii="Times New Roman" w:hAnsi="Times New Roman" w:eastAsia="仿宋_GB2312" w:cs="Times New Roman"/>
          <w:b/>
          <w:bCs/>
          <w:color w:val="000000"/>
          <w:kern w:val="0"/>
          <w:sz w:val="32"/>
          <w:szCs w:val="32"/>
          <w:lang w:val="en-US" w:eastAsia="zh-CN" w:bidi="ar"/>
        </w:rPr>
        <w:t>内容及要求</w:t>
      </w:r>
    </w:p>
    <w:p w14:paraId="008E83BC">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 xml:space="preserve">一、项目范围 </w:t>
      </w:r>
    </w:p>
    <w:p w14:paraId="0940C532">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1.核心工作内容：</w:t>
      </w:r>
      <w:r>
        <w:rPr>
          <w:rFonts w:hint="default" w:ascii="Times New Roman" w:hAnsi="Times New Roman" w:eastAsia="仿宋_GB2312" w:cs="Times New Roman"/>
          <w:color w:val="000000"/>
          <w:kern w:val="0"/>
          <w:sz w:val="32"/>
          <w:szCs w:val="32"/>
          <w:lang w:val="en-US" w:eastAsia="zh-CN" w:bidi="ar"/>
        </w:rPr>
        <w:t>集团一体化的组织结构优化设计，各部门/子公司、科室的职能梳理与规范、岗位设置与规范等。</w:t>
      </w:r>
    </w:p>
    <w:p w14:paraId="0364CFA2">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2.覆盖主体：</w:t>
      </w:r>
      <w:r>
        <w:rPr>
          <w:rFonts w:hint="default" w:ascii="Times New Roman" w:hAnsi="Times New Roman" w:eastAsia="仿宋_GB2312" w:cs="Times New Roman"/>
          <w:color w:val="000000"/>
          <w:kern w:val="0"/>
          <w:sz w:val="32"/>
          <w:szCs w:val="32"/>
          <w:lang w:val="en-US" w:eastAsia="zh-CN" w:bidi="ar"/>
        </w:rPr>
        <w:t>集团本部现有9个部门与下属4家有业务运作的子公司及岗位（不含临时、返聘或项目式等灵活用工，下同）；整合重组后划入集团的2家有业务运作的公司及其子公司与岗位。</w:t>
      </w:r>
    </w:p>
    <w:p w14:paraId="7F94D0EE">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 xml:space="preserve">二、项目目标 </w:t>
      </w:r>
    </w:p>
    <w:p w14:paraId="0195B400">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优化集团现有组织管理模式，提升内部管理的公平性与规范化水平，支撑集团高效运营 </w:t>
      </w:r>
    </w:p>
    <w:p w14:paraId="09D727E2">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三、项目内容</w:t>
      </w:r>
    </w:p>
    <w:p w14:paraId="76BFF06F">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1.项目前期准备、启动与初步调研</w:t>
      </w:r>
    </w:p>
    <w:p w14:paraId="1D00B678">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完成项目启动策划与初步调研方案制定，收集并分析上级政策文件、集团及子公司现有组织架构、岗位设置及人力资源基础管理相关资料。开展集团及子公司现有中高层管理人员一对一访谈、各部门及子公司基层员工代表小组访谈，组织现有标杆子公司现场走访。召开项目启动会，完成业务盘点、调研信息整理与初步分析，形成《项目实施总体计划》《文件资料收集清单》《调研访谈记录》等成果。</w:t>
      </w:r>
    </w:p>
    <w:p w14:paraId="73E244E1">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2.集团组织优化与职能梳理</w:t>
      </w:r>
    </w:p>
    <w:p w14:paraId="4A8C3068">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color w:val="000000"/>
          <w:kern w:val="0"/>
          <w:sz w:val="32"/>
          <w:szCs w:val="32"/>
          <w:highlight w:val="none"/>
          <w:u w:val="none"/>
          <w:lang w:val="en-US" w:eastAsia="zh-CN" w:bidi="ar"/>
        </w:rPr>
      </w:pPr>
      <w:r>
        <w:rPr>
          <w:rFonts w:hint="eastAsia" w:ascii="Times New Roman" w:hAnsi="Times New Roman" w:eastAsia="仿宋_GB2312" w:cs="Times New Roman"/>
          <w:color w:val="000000"/>
          <w:kern w:val="0"/>
          <w:sz w:val="32"/>
          <w:szCs w:val="32"/>
          <w:lang w:val="en-US" w:eastAsia="zh-CN" w:bidi="ar"/>
        </w:rPr>
        <w:t>盘点集团现有业务运作情况，明确整合重组后集团的业务定位及近期业务规划。厘清集团管控模式，确定集团本部与子公司的定位；以集团整体视角，运用“职能虚拟化、子公司部门化”创新思路，设计集团一体化现代企业组织模式及优化组织结构。完成集团本部部门职能、子公司部门化后职能及潜在科室职能的梳理、优化与完善。形成《集团现有</w:t>
      </w:r>
      <w:r>
        <w:rPr>
          <w:rFonts w:hint="eastAsia" w:ascii="Times New Roman" w:hAnsi="Times New Roman" w:eastAsia="仿宋_GB2312" w:cs="Times New Roman"/>
          <w:color w:val="000000"/>
          <w:kern w:val="0"/>
          <w:sz w:val="32"/>
          <w:szCs w:val="32"/>
          <w:highlight w:val="none"/>
          <w:u w:val="none"/>
          <w:lang w:val="en-US" w:eastAsia="zh-CN" w:bidi="ar"/>
        </w:rPr>
        <w:t xml:space="preserve">部门及子公司组织与职能现状调查与优化建议表》《集团组织结构图》（优化稿）。 </w:t>
      </w:r>
    </w:p>
    <w:p w14:paraId="783977D6">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3.部门及子公司职能规范</w:t>
      </w:r>
    </w:p>
    <w:p w14:paraId="05B55DB1">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 xml:space="preserve">开展集团本部部门及子公司职能说明书编写培训，提供职能说明书编写标杆检审与技术指导。形成《部门职能说明书编写技术》课件、《集团本部部门及子公司（管理部）与潜在科室职能说明书》汇编。 </w:t>
      </w:r>
    </w:p>
    <w:p w14:paraId="2C2FD074">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4.岗位细化、统一与规范</w:t>
      </w:r>
    </w:p>
    <w:p w14:paraId="4C050EB7">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color w:val="000000"/>
          <w:kern w:val="0"/>
          <w:sz w:val="32"/>
          <w:szCs w:val="32"/>
          <w:highlight w:val="none"/>
          <w:u w:val="none"/>
          <w:lang w:val="en-US" w:eastAsia="zh-CN" w:bidi="ar"/>
        </w:rPr>
      </w:pPr>
      <w:r>
        <w:rPr>
          <w:rFonts w:hint="eastAsia" w:ascii="Times New Roman" w:hAnsi="Times New Roman" w:eastAsia="仿宋_GB2312" w:cs="Times New Roman"/>
          <w:color w:val="000000"/>
          <w:kern w:val="0"/>
          <w:sz w:val="32"/>
          <w:szCs w:val="32"/>
          <w:lang w:val="en-US" w:eastAsia="zh-CN" w:bidi="ar"/>
        </w:rPr>
        <w:t>完成集团本部部门及子公司岗位的细化优化、职责梳理</w:t>
      </w:r>
      <w:r>
        <w:rPr>
          <w:rFonts w:hint="eastAsia" w:ascii="Times New Roman" w:hAnsi="Times New Roman" w:eastAsia="仿宋_GB2312" w:cs="Times New Roman"/>
          <w:color w:val="000000"/>
          <w:kern w:val="0"/>
          <w:sz w:val="32"/>
          <w:szCs w:val="32"/>
          <w:highlight w:val="none"/>
          <w:u w:val="none"/>
          <w:lang w:val="en-US" w:eastAsia="zh-CN" w:bidi="ar"/>
        </w:rPr>
        <w:t>与编制优化，提供标杆检审与技术指导，完成岗位说明书编写培训，提供标杆性检审与技术指导。形成《部门及子公司岗位三定介绍》课件、《集团本部部门及子公司与潜在科室岗位设置与编制建议一览表》《集团本部部门/子公司岗位说明书》汇编等成果。</w:t>
      </w:r>
    </w:p>
    <w:p w14:paraId="2F2362D0">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仿宋_GB2312" w:cs="Times New Roman"/>
          <w:b/>
          <w:bCs/>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lang w:val="en-US" w:eastAsia="zh-CN" w:bidi="ar"/>
        </w:rPr>
        <w:t>四、</w:t>
      </w:r>
      <w:r>
        <w:rPr>
          <w:rFonts w:hint="default" w:ascii="Times New Roman" w:hAnsi="Times New Roman" w:eastAsia="仿宋_GB2312" w:cs="Times New Roman"/>
          <w:b/>
          <w:bCs/>
          <w:color w:val="000000"/>
          <w:kern w:val="0"/>
          <w:sz w:val="32"/>
          <w:szCs w:val="32"/>
          <w:lang w:val="en-US" w:eastAsia="zh-CN" w:bidi="ar"/>
        </w:rPr>
        <w:t>服务方式</w:t>
      </w:r>
    </w:p>
    <w:p w14:paraId="1648FB23">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经双方商定，视模块优化设计技术难度，由中标单位组</w:t>
      </w:r>
      <w:r>
        <w:rPr>
          <w:rFonts w:hint="default" w:ascii="Times New Roman" w:hAnsi="Times New Roman" w:eastAsia="仿宋_GB2312" w:cs="Times New Roman"/>
          <w:kern w:val="0"/>
          <w:sz w:val="32"/>
          <w:szCs w:val="32"/>
          <w:u w:val="none"/>
        </w:rPr>
        <w:t>建顾问组派员进驻到企业，与</w:t>
      </w:r>
      <w:r>
        <w:rPr>
          <w:rFonts w:hint="default" w:ascii="Times New Roman" w:hAnsi="Times New Roman" w:eastAsia="仿宋_GB2312" w:cs="Times New Roman"/>
          <w:sz w:val="32"/>
          <w:szCs w:val="32"/>
          <w:u w:val="none"/>
        </w:rPr>
        <w:t>福建连城豸龙旅游集团有限公司</w:t>
      </w:r>
      <w:r>
        <w:rPr>
          <w:rFonts w:hint="default" w:ascii="Times New Roman" w:hAnsi="Times New Roman" w:eastAsia="仿宋_GB2312" w:cs="Times New Roman"/>
          <w:kern w:val="0"/>
          <w:sz w:val="32"/>
          <w:szCs w:val="32"/>
          <w:u w:val="none"/>
        </w:rPr>
        <w:t>组成联合项目组，经调研诊断、方案分析与优化设计、研</w:t>
      </w:r>
      <w:r>
        <w:rPr>
          <w:rFonts w:hint="default" w:ascii="Times New Roman" w:hAnsi="Times New Roman" w:eastAsia="仿宋_GB2312" w:cs="Times New Roman"/>
          <w:kern w:val="0"/>
          <w:sz w:val="32"/>
          <w:szCs w:val="32"/>
        </w:rPr>
        <w:t>讨等，采用管理咨询式与培训教练式相结合的辅导方式共同完成项目成果。其中，集团组织结构优化设计与职能梳理部分采用管理咨询式，即项目成果由乙方主导完成；职能规范、岗位设置与规范部分采用培训教练式，即项目成果在乙方的培训与标杆技术性点评指导下由甲方主导完成。</w:t>
      </w:r>
    </w:p>
    <w:p w14:paraId="3EF9863E">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 xml:space="preserve">五、人员要求 </w:t>
      </w:r>
    </w:p>
    <w:p w14:paraId="75165BB4">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color w:val="000000"/>
          <w:kern w:val="0"/>
          <w:sz w:val="32"/>
          <w:szCs w:val="32"/>
          <w:u w:val="single"/>
          <w:lang w:val="en-US" w:eastAsia="zh-CN" w:bidi="ar"/>
        </w:rPr>
        <w:t>1.本项目要求投标人组成不少于</w:t>
      </w:r>
      <w:r>
        <w:rPr>
          <w:rFonts w:hint="eastAsia" w:ascii="Times New Roman" w:hAnsi="Times New Roman" w:eastAsia="仿宋_GB2312" w:cs="Times New Roman"/>
          <w:color w:val="000000"/>
          <w:kern w:val="0"/>
          <w:sz w:val="32"/>
          <w:szCs w:val="32"/>
          <w:u w:val="single"/>
          <w:lang w:val="en-US" w:eastAsia="zh-CN" w:bidi="ar"/>
        </w:rPr>
        <w:t>1-2</w:t>
      </w:r>
      <w:r>
        <w:rPr>
          <w:rFonts w:hint="default" w:ascii="Times New Roman" w:hAnsi="Times New Roman" w:eastAsia="仿宋_GB2312" w:cs="Times New Roman"/>
          <w:color w:val="000000"/>
          <w:kern w:val="0"/>
          <w:sz w:val="32"/>
          <w:szCs w:val="32"/>
          <w:u w:val="single"/>
          <w:lang w:val="en-US" w:eastAsia="zh-CN" w:bidi="ar"/>
        </w:rPr>
        <w:t xml:space="preserve">人组成顾问师团队，根据项目进度需要进行顾问组合理调配工作。 </w:t>
      </w:r>
    </w:p>
    <w:p w14:paraId="47F1C9FA">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color w:val="000000"/>
          <w:kern w:val="0"/>
          <w:sz w:val="32"/>
          <w:szCs w:val="32"/>
          <w:u w:val="single"/>
          <w:lang w:val="en-US" w:eastAsia="zh-CN" w:bidi="ar"/>
        </w:rPr>
        <w:t>2.投标时应指定一名项目经理总体负责本项目，项目经理应具有类似项目经验，须提供该人员的有效身份证明、学历证明、相关资质证书（国际注册管理咨询师证或企业一级人力资源管理师证书）及过往业绩证明（至少一份）。</w:t>
      </w:r>
    </w:p>
    <w:p w14:paraId="27C0EE3A">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color w:val="000000"/>
          <w:kern w:val="0"/>
          <w:sz w:val="32"/>
          <w:szCs w:val="32"/>
          <w:u w:val="single"/>
          <w:lang w:val="en-US" w:eastAsia="zh-CN" w:bidi="ar"/>
        </w:rPr>
      </w:pPr>
      <w:r>
        <w:rPr>
          <w:rFonts w:hint="default" w:ascii="Times New Roman" w:hAnsi="Times New Roman" w:eastAsia="仿宋_GB2312" w:cs="Times New Roman"/>
          <w:color w:val="000000"/>
          <w:kern w:val="0"/>
          <w:sz w:val="32"/>
          <w:szCs w:val="32"/>
          <w:u w:val="single"/>
          <w:lang w:val="en-US" w:eastAsia="zh-CN" w:bidi="ar"/>
        </w:rPr>
        <w:t>3.顾问师团队的咨询人员均应具有丰富的项目咨询经验，中标后应提供</w:t>
      </w:r>
      <w:r>
        <w:rPr>
          <w:rFonts w:hint="eastAsia" w:ascii="Times New Roman" w:hAnsi="Times New Roman" w:eastAsia="仿宋_GB2312" w:cs="Times New Roman"/>
          <w:color w:val="000000"/>
          <w:kern w:val="0"/>
          <w:sz w:val="32"/>
          <w:szCs w:val="32"/>
          <w:u w:val="single"/>
          <w:lang w:val="en-US" w:eastAsia="zh-CN" w:bidi="ar"/>
        </w:rPr>
        <w:t>咨询人员</w:t>
      </w:r>
      <w:r>
        <w:rPr>
          <w:rFonts w:hint="default" w:ascii="Times New Roman" w:hAnsi="Times New Roman" w:eastAsia="仿宋_GB2312" w:cs="Times New Roman"/>
          <w:color w:val="000000"/>
          <w:kern w:val="0"/>
          <w:sz w:val="32"/>
          <w:szCs w:val="32"/>
          <w:u w:val="single"/>
          <w:lang w:val="en-US" w:eastAsia="zh-CN" w:bidi="ar"/>
        </w:rPr>
        <w:t>的有效身份证明、学历证明、相关资质证书（国际注册管理咨询师证或企业人力资源管理师证书）及过往业绩证明（至少一份）。</w:t>
      </w:r>
    </w:p>
    <w:p w14:paraId="3BDD0914">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4.项目人员要求相对稳定，原则上不作调整，因特殊原因需要调整的，中标人必须提前1个星期书面通知采购人并经采购人书面同意。 </w:t>
      </w:r>
    </w:p>
    <w:p w14:paraId="3B87945C">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5.如因履职不到位等工作原因，采购人有权要求更换相关项目人员，中标人应在接到采购人书面通知之日起1个月内，将人员更换到位。</w:t>
      </w:r>
    </w:p>
    <w:p w14:paraId="0A610E92">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6.严格履行保密义务。</w:t>
      </w:r>
    </w:p>
    <w:p w14:paraId="083C1854">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 xml:space="preserve">六、成果资料要求 </w:t>
      </w:r>
    </w:p>
    <w:p w14:paraId="1F40D1FD">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成果资料要求提交：《集团项目组职责》《项目实施总体计划》《集团现有部门-子公司组织与职能现状调查与优化建议表》《集团组织结构图》优化稿、《部门职能说明书编写技术》课件、《集团本部部门/子公司(管理部)与可能存在的科室职能说明书》汇编、《部门/子公司岗位三定介绍》课件、《集团本部部门/子公司与可能存在的科室岗位设置与编制建议一览表》</w:t>
      </w:r>
    </w:p>
    <w:p w14:paraId="5511A55E">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2.项目成果以文本及电子文档形式提交，其中正式稿一份，电子文档一份</w:t>
      </w:r>
    </w:p>
    <w:p w14:paraId="1D649401">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七、项目辅导期</w:t>
      </w:r>
    </w:p>
    <w:p w14:paraId="0976FE0C">
      <w:pPr>
        <w:pStyle w:val="4"/>
        <w:keepNext w:val="0"/>
        <w:keepLines w:val="0"/>
        <w:pageBreakBefore w:val="0"/>
        <w:widowControl/>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val="en-US" w:eastAsia="zh-CN" w:bidi="ar"/>
        </w:rPr>
        <w:t>在本合同项目标的完成后，提供一个季度的成果转换实施辅导期，该期间乙方负责指导甲方推行本次人力资源咨询项目的相关方案，并指导解决执行中遇到的具体问题。</w:t>
      </w:r>
    </w:p>
    <w:p w14:paraId="3F1B1BDB">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指导实施期结束后，乙方秉承“一次合作，终身服务”的服务原则，针对在本项目的运行过程中及其他相关人力资源管理工作当中发现的问题，为甲方提供电话、邮件、QQ、微信等方式的免费远程辅导。</w:t>
      </w:r>
    </w:p>
    <w:p w14:paraId="5097D63A">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eastAsia" w:ascii="Times New Roman" w:hAnsi="Times New Roman" w:eastAsia="仿宋_GB2312" w:cs="Times New Roman"/>
          <w:b/>
          <w:bCs/>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lang w:val="en-US" w:eastAsia="zh-CN" w:bidi="ar"/>
        </w:rPr>
        <w:t>八、项目所涉模块及项目成果</w:t>
      </w:r>
    </w:p>
    <w:tbl>
      <w:tblPr>
        <w:tblStyle w:val="15"/>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972"/>
        <w:gridCol w:w="3457"/>
        <w:gridCol w:w="2428"/>
        <w:gridCol w:w="1686"/>
      </w:tblGrid>
      <w:tr w14:paraId="11B2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622" w:type="dxa"/>
            <w:noWrap w:val="0"/>
            <w:vAlign w:val="center"/>
          </w:tcPr>
          <w:p w14:paraId="441E9D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序号</w:t>
            </w:r>
          </w:p>
        </w:tc>
        <w:tc>
          <w:tcPr>
            <w:tcW w:w="972" w:type="dxa"/>
            <w:noWrap w:val="0"/>
            <w:vAlign w:val="center"/>
          </w:tcPr>
          <w:p w14:paraId="450659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模块</w:t>
            </w:r>
          </w:p>
        </w:tc>
        <w:tc>
          <w:tcPr>
            <w:tcW w:w="3457" w:type="dxa"/>
            <w:noWrap w:val="0"/>
            <w:vAlign w:val="center"/>
          </w:tcPr>
          <w:p w14:paraId="64C3B7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工作内容</w:t>
            </w:r>
          </w:p>
        </w:tc>
        <w:tc>
          <w:tcPr>
            <w:tcW w:w="2428" w:type="dxa"/>
            <w:noWrap w:val="0"/>
            <w:vAlign w:val="center"/>
          </w:tcPr>
          <w:p w14:paraId="704ABE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项目主要成果</w:t>
            </w:r>
          </w:p>
        </w:tc>
        <w:tc>
          <w:tcPr>
            <w:tcW w:w="1686" w:type="dxa"/>
            <w:noWrap w:val="0"/>
            <w:vAlign w:val="center"/>
          </w:tcPr>
          <w:p w14:paraId="12FB25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顾问辅导</w:t>
            </w:r>
            <w:r>
              <w:rPr>
                <w:rFonts w:hint="eastAsia" w:ascii="Times New Roman" w:hAnsi="Times New Roman" w:eastAsia="仿宋_GB2312" w:cs="Times New Roman"/>
                <w:b w:val="0"/>
                <w:bCs w:val="0"/>
                <w:color w:val="000000"/>
                <w:kern w:val="0"/>
                <w:sz w:val="24"/>
                <w:szCs w:val="24"/>
                <w:vertAlign w:val="baseline"/>
                <w:lang w:val="en-US" w:eastAsia="zh-CN" w:bidi="ar"/>
              </w:rPr>
              <w:t>形式及</w:t>
            </w:r>
            <w:r>
              <w:rPr>
                <w:rFonts w:hint="default" w:ascii="Times New Roman" w:hAnsi="Times New Roman" w:eastAsia="仿宋_GB2312" w:cs="Times New Roman"/>
                <w:b w:val="0"/>
                <w:bCs w:val="0"/>
                <w:color w:val="000000"/>
                <w:kern w:val="0"/>
                <w:sz w:val="24"/>
                <w:szCs w:val="24"/>
                <w:vertAlign w:val="baseline"/>
                <w:lang w:val="en-US" w:eastAsia="zh-CN" w:bidi="ar"/>
              </w:rPr>
              <w:t>投入时间</w:t>
            </w:r>
          </w:p>
        </w:tc>
      </w:tr>
      <w:tr w14:paraId="3AAE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622" w:type="dxa"/>
            <w:noWrap w:val="0"/>
            <w:vAlign w:val="center"/>
          </w:tcPr>
          <w:p w14:paraId="737363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1</w:t>
            </w:r>
          </w:p>
        </w:tc>
        <w:tc>
          <w:tcPr>
            <w:tcW w:w="972" w:type="dxa"/>
            <w:noWrap w:val="0"/>
            <w:vAlign w:val="center"/>
          </w:tcPr>
          <w:p w14:paraId="76E1CD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项目前期准备、项目启动与简单调研</w:t>
            </w:r>
          </w:p>
        </w:tc>
        <w:tc>
          <w:tcPr>
            <w:tcW w:w="3457" w:type="dxa"/>
            <w:noWrap w:val="0"/>
            <w:vAlign w:val="center"/>
          </w:tcPr>
          <w:p w14:paraId="6D77E833">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项目启动与简单调研策划</w:t>
            </w:r>
          </w:p>
          <w:p w14:paraId="08C3111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2)上级政策，集团-子公司现有组织、岗位及其他 HR 基础管理方面文件资料收集与分析</w:t>
            </w:r>
          </w:p>
          <w:p w14:paraId="0F81D9F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3)集团-子公司现有中高层管理人员一对一访谈</w:t>
            </w:r>
          </w:p>
          <w:p w14:paraId="77114ED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4)各部门-子公司现有基层员工代表小组访谈</w:t>
            </w:r>
          </w:p>
          <w:p w14:paraId="3E303A0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5)现有标杆子公司现场走访</w:t>
            </w:r>
          </w:p>
          <w:p w14:paraId="3CDE6D7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6)召开项目启动会</w:t>
            </w:r>
          </w:p>
          <w:p w14:paraId="04F265C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7)业务盘点、调研信息整理与调研简要分析</w:t>
            </w:r>
          </w:p>
        </w:tc>
        <w:tc>
          <w:tcPr>
            <w:tcW w:w="2428" w:type="dxa"/>
            <w:noWrap w:val="0"/>
            <w:vAlign w:val="center"/>
          </w:tcPr>
          <w:p w14:paraId="63D8C6A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1)《成立联合项目组》</w:t>
            </w:r>
          </w:p>
          <w:p w14:paraId="2BDCD08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2 )《集团项目组职责》</w:t>
            </w:r>
          </w:p>
          <w:p w14:paraId="7607771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3)《项目实施总体计划》</w:t>
            </w:r>
          </w:p>
          <w:p w14:paraId="7056923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4)《文件资料收集清单》</w:t>
            </w:r>
          </w:p>
          <w:p w14:paraId="220AA55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5)《调研访谈计划》《</w:t>
            </w:r>
            <w:r>
              <w:rPr>
                <w:rFonts w:hint="eastAsia" w:ascii="Times New Roman" w:hAnsi="Times New Roman" w:eastAsia="仿宋_GB2312" w:cs="Times New Roman"/>
                <w:b w:val="0"/>
                <w:bCs w:val="0"/>
                <w:color w:val="000000"/>
                <w:kern w:val="0"/>
                <w:sz w:val="24"/>
                <w:szCs w:val="24"/>
                <w:vertAlign w:val="baseline"/>
                <w:lang w:val="en-US" w:eastAsia="zh-CN" w:bidi="ar"/>
              </w:rPr>
              <w:t>调研</w:t>
            </w:r>
            <w:r>
              <w:rPr>
                <w:rFonts w:hint="default" w:ascii="Times New Roman" w:hAnsi="Times New Roman" w:eastAsia="仿宋_GB2312" w:cs="Times New Roman"/>
                <w:b w:val="0"/>
                <w:bCs w:val="0"/>
                <w:color w:val="000000"/>
                <w:kern w:val="0"/>
                <w:sz w:val="24"/>
                <w:szCs w:val="24"/>
                <w:vertAlign w:val="baseline"/>
                <w:lang w:val="en-US" w:eastAsia="zh-CN" w:bidi="ar"/>
              </w:rPr>
              <w:t>访谈提纲》</w:t>
            </w:r>
          </w:p>
          <w:p w14:paraId="17D16A4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6)《启动会》课件</w:t>
            </w:r>
          </w:p>
        </w:tc>
        <w:tc>
          <w:tcPr>
            <w:tcW w:w="1686" w:type="dxa"/>
            <w:noWrap w:val="0"/>
            <w:vAlign w:val="center"/>
          </w:tcPr>
          <w:p w14:paraId="442158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000000"/>
                <w:kern w:val="0"/>
                <w:sz w:val="24"/>
                <w:szCs w:val="24"/>
                <w:vertAlign w:val="baseline"/>
                <w:lang w:val="en-US" w:eastAsia="zh-CN" w:bidi="ar"/>
              </w:rPr>
            </w:pPr>
            <w:r>
              <w:rPr>
                <w:rFonts w:hint="eastAsia" w:ascii="Times New Roman" w:hAnsi="Times New Roman" w:eastAsia="仿宋_GB2312" w:cs="Times New Roman"/>
                <w:b w:val="0"/>
                <w:bCs w:val="0"/>
                <w:color w:val="000000"/>
                <w:kern w:val="0"/>
                <w:sz w:val="24"/>
                <w:szCs w:val="24"/>
                <w:vertAlign w:val="baseline"/>
                <w:lang w:val="en-US" w:eastAsia="zh-CN" w:bidi="ar"/>
              </w:rPr>
              <w:t>管理咨询式</w:t>
            </w:r>
          </w:p>
          <w:p w14:paraId="7DA42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val="0"/>
                <w:bCs w:val="0"/>
                <w:color w:val="000000"/>
                <w:kern w:val="0"/>
                <w:sz w:val="24"/>
                <w:szCs w:val="24"/>
                <w:vertAlign w:val="baseline"/>
                <w:lang w:val="en-US" w:eastAsia="zh-CN" w:bidi="ar"/>
              </w:rPr>
            </w:pPr>
            <w:r>
              <w:rPr>
                <w:rFonts w:hint="eastAsia" w:ascii="Times New Roman" w:hAnsi="Times New Roman" w:eastAsia="仿宋_GB2312" w:cs="Times New Roman"/>
                <w:b w:val="0"/>
                <w:bCs w:val="0"/>
                <w:color w:val="000000"/>
                <w:kern w:val="0"/>
                <w:sz w:val="24"/>
                <w:szCs w:val="24"/>
                <w:vertAlign w:val="baseline"/>
                <w:lang w:val="en-US" w:eastAsia="zh-CN" w:bidi="ar"/>
              </w:rPr>
              <w:t>—</w:t>
            </w:r>
          </w:p>
          <w:p w14:paraId="3A75AD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eastAsia" w:ascii="Times New Roman" w:hAnsi="Times New Roman" w:eastAsia="仿宋_GB2312" w:cs="Times New Roman"/>
                <w:b w:val="0"/>
                <w:bCs w:val="0"/>
                <w:color w:val="000000"/>
                <w:kern w:val="0"/>
                <w:sz w:val="24"/>
                <w:szCs w:val="24"/>
                <w:vertAlign w:val="baseline"/>
                <w:lang w:val="en-US" w:eastAsia="zh-CN" w:bidi="ar"/>
              </w:rPr>
              <w:t>1 周</w:t>
            </w:r>
          </w:p>
        </w:tc>
      </w:tr>
      <w:tr w14:paraId="0016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trPr>
        <w:tc>
          <w:tcPr>
            <w:tcW w:w="622" w:type="dxa"/>
            <w:noWrap w:val="0"/>
            <w:vAlign w:val="center"/>
          </w:tcPr>
          <w:p w14:paraId="6DF2E9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2</w:t>
            </w:r>
          </w:p>
        </w:tc>
        <w:tc>
          <w:tcPr>
            <w:tcW w:w="972" w:type="dxa"/>
            <w:noWrap w:val="0"/>
            <w:vAlign w:val="center"/>
          </w:tcPr>
          <w:p w14:paraId="07D4C8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集团组织优化与职能梳理</w:t>
            </w:r>
          </w:p>
        </w:tc>
        <w:tc>
          <w:tcPr>
            <w:tcW w:w="3457" w:type="dxa"/>
            <w:noWrap w:val="0"/>
            <w:vAlign w:val="center"/>
          </w:tcPr>
          <w:p w14:paraId="2FE34805">
            <w:pPr>
              <w:keepNext w:val="0"/>
              <w:keepLines w:val="0"/>
              <w:pageBreakBefore w:val="0"/>
              <w:widowControl w:val="0"/>
              <w:numPr>
                <w:ilvl w:val="0"/>
                <w:numId w:val="2"/>
              </w:numPr>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开展集团现有业务运作盘点，明确集团整合重组后维持业务的定位、近期业务计划:</w:t>
            </w:r>
          </w:p>
          <w:p w14:paraId="7692857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2)厘清集团的管控模式、明确集团本部定位与子公司定位，以集团为整体、利用“职能虚拟化、子公司部门化”的创新性技术，开展集团一体化的现代企业组织模式与组织结构优化设计</w:t>
            </w:r>
          </w:p>
          <w:p w14:paraId="26E8E1C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3)集团本部部门职能梳理、优化与完善</w:t>
            </w:r>
          </w:p>
          <w:p w14:paraId="04F7480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4)子公司部门化后职能与可能存在的科室职能梳理、优化与完善</w:t>
            </w:r>
          </w:p>
        </w:tc>
        <w:tc>
          <w:tcPr>
            <w:tcW w:w="2428" w:type="dxa"/>
            <w:noWrap w:val="0"/>
            <w:vAlign w:val="center"/>
          </w:tcPr>
          <w:p w14:paraId="2DE017A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1)《集团现有部门-子公司组织与职能现状调查与优化建议表》</w:t>
            </w:r>
          </w:p>
          <w:p w14:paraId="26917FC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2)《集团组织结构图》优化稿</w:t>
            </w:r>
          </w:p>
        </w:tc>
        <w:tc>
          <w:tcPr>
            <w:tcW w:w="1686" w:type="dxa"/>
            <w:noWrap w:val="0"/>
            <w:vAlign w:val="center"/>
          </w:tcPr>
          <w:p w14:paraId="622CD7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管理咨询式</w:t>
            </w:r>
          </w:p>
          <w:p w14:paraId="78A3D4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w:t>
            </w:r>
          </w:p>
          <w:p w14:paraId="022F9B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2 周</w:t>
            </w:r>
          </w:p>
        </w:tc>
      </w:tr>
      <w:tr w14:paraId="3546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622" w:type="dxa"/>
            <w:noWrap w:val="0"/>
            <w:vAlign w:val="center"/>
          </w:tcPr>
          <w:p w14:paraId="323486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3</w:t>
            </w:r>
          </w:p>
        </w:tc>
        <w:tc>
          <w:tcPr>
            <w:tcW w:w="972" w:type="dxa"/>
            <w:noWrap w:val="0"/>
            <w:vAlign w:val="center"/>
          </w:tcPr>
          <w:p w14:paraId="486ECF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部门/子公司职能规范</w:t>
            </w:r>
          </w:p>
        </w:tc>
        <w:tc>
          <w:tcPr>
            <w:tcW w:w="3457" w:type="dxa"/>
            <w:noWrap w:val="0"/>
            <w:vAlign w:val="center"/>
          </w:tcPr>
          <w:p w14:paraId="72CE86A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1)集团本部部门/子公司职能说明书编写</w:t>
            </w:r>
          </w:p>
          <w:p w14:paraId="2B7D9ED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培训</w:t>
            </w:r>
          </w:p>
          <w:p w14:paraId="0109E8A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2)职能说明节编写标杆性检审与技术指导</w:t>
            </w:r>
          </w:p>
        </w:tc>
        <w:tc>
          <w:tcPr>
            <w:tcW w:w="2428" w:type="dxa"/>
            <w:noWrap w:val="0"/>
            <w:vAlign w:val="center"/>
          </w:tcPr>
          <w:p w14:paraId="32FC656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1)《部门职能说明书编写技术》 课件</w:t>
            </w:r>
          </w:p>
          <w:p w14:paraId="72365E7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2)《集团本部部门/子公司(管理部)与可能存在的科室职能说明书》汇编</w:t>
            </w:r>
          </w:p>
        </w:tc>
        <w:tc>
          <w:tcPr>
            <w:tcW w:w="1686" w:type="dxa"/>
            <w:noWrap w:val="0"/>
            <w:vAlign w:val="center"/>
          </w:tcPr>
          <w:p w14:paraId="793D1A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教练式，成果</w:t>
            </w:r>
          </w:p>
          <w:p w14:paraId="06E738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由项目组完</w:t>
            </w:r>
          </w:p>
          <w:p w14:paraId="1C1F9D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成—</w:t>
            </w:r>
          </w:p>
          <w:p w14:paraId="2E3F15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3 次（含培训）</w:t>
            </w:r>
          </w:p>
        </w:tc>
      </w:tr>
      <w:tr w14:paraId="7054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622" w:type="dxa"/>
            <w:noWrap w:val="0"/>
            <w:vAlign w:val="center"/>
          </w:tcPr>
          <w:p w14:paraId="277E4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4</w:t>
            </w:r>
          </w:p>
        </w:tc>
        <w:tc>
          <w:tcPr>
            <w:tcW w:w="972" w:type="dxa"/>
            <w:noWrap w:val="0"/>
            <w:vAlign w:val="center"/>
          </w:tcPr>
          <w:p w14:paraId="4CF151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岗位 细化、统化与规范</w:t>
            </w:r>
          </w:p>
        </w:tc>
        <w:tc>
          <w:tcPr>
            <w:tcW w:w="3457" w:type="dxa"/>
            <w:noWrap w:val="0"/>
            <w:vAlign w:val="center"/>
          </w:tcPr>
          <w:p w14:paraId="513D448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eastAsia" w:ascii="Times New Roman" w:hAnsi="Times New Roman" w:eastAsia="仿宋_GB2312" w:cs="Times New Roman"/>
                <w:b w:val="0"/>
                <w:bCs w:val="0"/>
                <w:color w:val="000000"/>
                <w:kern w:val="0"/>
                <w:sz w:val="24"/>
                <w:szCs w:val="24"/>
                <w:vertAlign w:val="baseline"/>
                <w:lang w:val="en-US" w:eastAsia="zh-CN" w:bidi="ar"/>
              </w:rPr>
              <w:t>1）</w:t>
            </w:r>
            <w:r>
              <w:rPr>
                <w:rFonts w:hint="default" w:ascii="Times New Roman" w:hAnsi="Times New Roman" w:eastAsia="仿宋_GB2312" w:cs="Times New Roman"/>
                <w:b w:val="0"/>
                <w:bCs w:val="0"/>
                <w:color w:val="000000"/>
                <w:kern w:val="0"/>
                <w:sz w:val="24"/>
                <w:szCs w:val="24"/>
                <w:vertAlign w:val="baseline"/>
                <w:lang w:val="en-US" w:eastAsia="zh-CN" w:bidi="ar"/>
              </w:rPr>
              <w:t>集团本部部门/子公司岗位细化优化、职责梳理与编制优化标杆性检审与技术指导</w:t>
            </w:r>
          </w:p>
          <w:p w14:paraId="7765110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2</w:t>
            </w:r>
            <w:r>
              <w:rPr>
                <w:rFonts w:hint="eastAsia" w:ascii="Times New Roman" w:hAnsi="Times New Roman" w:eastAsia="仿宋_GB2312" w:cs="Times New Roman"/>
                <w:b w:val="0"/>
                <w:bCs w:val="0"/>
                <w:color w:val="000000"/>
                <w:kern w:val="0"/>
                <w:sz w:val="24"/>
                <w:szCs w:val="24"/>
                <w:vertAlign w:val="baseline"/>
                <w:lang w:val="en-US" w:eastAsia="zh-CN" w:bidi="ar"/>
              </w:rPr>
              <w:t>）</w:t>
            </w:r>
            <w:r>
              <w:rPr>
                <w:rFonts w:hint="default" w:ascii="Times New Roman" w:hAnsi="Times New Roman" w:eastAsia="仿宋_GB2312" w:cs="Times New Roman"/>
                <w:b w:val="0"/>
                <w:bCs w:val="0"/>
                <w:color w:val="000000"/>
                <w:kern w:val="0"/>
                <w:sz w:val="24"/>
                <w:szCs w:val="24"/>
                <w:vertAlign w:val="baseline"/>
                <w:lang w:val="en-US" w:eastAsia="zh-CN" w:bidi="ar"/>
              </w:rPr>
              <w:t>岗位说明书编写培训</w:t>
            </w:r>
          </w:p>
          <w:p w14:paraId="1BDB490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3）岗位说明书编写标杆性检审与技术指导</w:t>
            </w:r>
          </w:p>
        </w:tc>
        <w:tc>
          <w:tcPr>
            <w:tcW w:w="2428" w:type="dxa"/>
            <w:noWrap w:val="0"/>
            <w:vAlign w:val="center"/>
          </w:tcPr>
          <w:p w14:paraId="7B13D43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1)《部门/子公司岗位三定介绍》课件</w:t>
            </w:r>
          </w:p>
          <w:p w14:paraId="4FDF537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2)《集团本部部门/子公司与可能存在的科室岗位设置与编制建议一览表》</w:t>
            </w:r>
          </w:p>
          <w:p w14:paraId="1055A81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3）《岗位说明书编写</w:t>
            </w:r>
          </w:p>
          <w:p w14:paraId="7D84559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技术》课件</w:t>
            </w:r>
          </w:p>
          <w:p w14:paraId="756919D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4）《集团本部部门/子</w:t>
            </w:r>
          </w:p>
          <w:p w14:paraId="5D30D0A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公司岗位说明书》汇编</w:t>
            </w:r>
          </w:p>
        </w:tc>
        <w:tc>
          <w:tcPr>
            <w:tcW w:w="1686" w:type="dxa"/>
            <w:noWrap w:val="0"/>
            <w:vAlign w:val="center"/>
          </w:tcPr>
          <w:p w14:paraId="6836DE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教练式，成果</w:t>
            </w:r>
          </w:p>
          <w:p w14:paraId="25BCBE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由项目组完</w:t>
            </w:r>
          </w:p>
          <w:p w14:paraId="76F1EF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成—</w:t>
            </w:r>
          </w:p>
          <w:p w14:paraId="164739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000000"/>
                <w:kern w:val="0"/>
                <w:sz w:val="24"/>
                <w:szCs w:val="24"/>
                <w:vertAlign w:val="baseline"/>
                <w:lang w:val="en-US" w:eastAsia="zh-CN" w:bidi="ar"/>
              </w:rPr>
            </w:pPr>
            <w:r>
              <w:rPr>
                <w:rFonts w:hint="default" w:ascii="Times New Roman" w:hAnsi="Times New Roman" w:eastAsia="仿宋_GB2312" w:cs="Times New Roman"/>
                <w:b w:val="0"/>
                <w:bCs w:val="0"/>
                <w:color w:val="000000"/>
                <w:kern w:val="0"/>
                <w:sz w:val="24"/>
                <w:szCs w:val="24"/>
                <w:vertAlign w:val="baseline"/>
                <w:lang w:val="en-US" w:eastAsia="zh-CN" w:bidi="ar"/>
              </w:rPr>
              <w:t>5 次（含培训）</w:t>
            </w:r>
          </w:p>
        </w:tc>
      </w:tr>
    </w:tbl>
    <w:p w14:paraId="736A57D0">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九、商务条件 </w:t>
      </w:r>
    </w:p>
    <w:p w14:paraId="1B02BB73">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1.交付地点：福建连城豸龙旅游集团有限公司。</w:t>
      </w:r>
    </w:p>
    <w:p w14:paraId="38C029B7">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 xml:space="preserve">2.交付时间：合同签订之日起8周内完成项目所有方案设计。中标人在进场后提交一份项目总体推进计划，经采购人确认后作为工作进度依据。 </w:t>
      </w:r>
    </w:p>
    <w:p w14:paraId="6EC51304">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 xml:space="preserve">3.本项目服务限价：人民币13.3万元。 </w:t>
      </w:r>
    </w:p>
    <w:p w14:paraId="11E635A2">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4.交付条件： 乙方主导完成的成果文件通过甲方项目组评审的视为验收合格。</w:t>
      </w:r>
    </w:p>
    <w:p w14:paraId="661EC53A">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5.支付方式</w:t>
      </w:r>
    </w:p>
    <w:tbl>
      <w:tblPr>
        <w:tblStyle w:val="14"/>
        <w:tblW w:w="95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1"/>
        <w:gridCol w:w="1391"/>
        <w:gridCol w:w="6903"/>
      </w:tblGrid>
      <w:tr w14:paraId="271B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tblHeader/>
          <w:tblCellSpacing w:w="0" w:type="dxa"/>
          <w:jc w:val="center"/>
        </w:trPr>
        <w:tc>
          <w:tcPr>
            <w:tcW w:w="1241" w:type="dxa"/>
            <w:noWrap w:val="0"/>
            <w:vAlign w:val="center"/>
          </w:tcPr>
          <w:p w14:paraId="675B4AE2">
            <w:pPr>
              <w:spacing w:line="360" w:lineRule="auto"/>
              <w:jc w:val="center"/>
              <w:rPr>
                <w:rFonts w:ascii="宋体" w:hAnsi="宋体" w:cs="宋体"/>
                <w:szCs w:val="21"/>
                <w:lang w:bidi="ar"/>
              </w:rPr>
            </w:pPr>
            <w:r>
              <w:rPr>
                <w:rFonts w:hint="eastAsia" w:ascii="宋体" w:hAnsi="宋体" w:cs="宋体"/>
                <w:szCs w:val="21"/>
                <w:lang w:bidi="ar"/>
              </w:rPr>
              <w:t>支付期次</w:t>
            </w:r>
          </w:p>
        </w:tc>
        <w:tc>
          <w:tcPr>
            <w:tcW w:w="1391" w:type="dxa"/>
            <w:noWrap w:val="0"/>
            <w:vAlign w:val="center"/>
          </w:tcPr>
          <w:p w14:paraId="75BEDE97">
            <w:pPr>
              <w:spacing w:line="360" w:lineRule="auto"/>
              <w:jc w:val="center"/>
              <w:rPr>
                <w:rFonts w:ascii="宋体" w:hAnsi="宋体" w:cs="宋体"/>
                <w:szCs w:val="21"/>
                <w:lang w:bidi="ar"/>
              </w:rPr>
            </w:pPr>
            <w:r>
              <w:rPr>
                <w:rFonts w:hint="eastAsia" w:ascii="宋体" w:hAnsi="宋体" w:cs="宋体"/>
                <w:szCs w:val="21"/>
                <w:lang w:bidi="ar"/>
              </w:rPr>
              <w:t>支付比例</w:t>
            </w:r>
            <w:r>
              <w:rPr>
                <w:rFonts w:ascii="宋体" w:hAnsi="宋体" w:cs="宋体"/>
                <w:szCs w:val="21"/>
                <w:lang w:bidi="ar"/>
              </w:rPr>
              <w:t>(%)</w:t>
            </w:r>
          </w:p>
        </w:tc>
        <w:tc>
          <w:tcPr>
            <w:tcW w:w="6903" w:type="dxa"/>
            <w:noWrap w:val="0"/>
            <w:vAlign w:val="center"/>
          </w:tcPr>
          <w:p w14:paraId="4CA22763">
            <w:pPr>
              <w:spacing w:line="360" w:lineRule="auto"/>
              <w:jc w:val="center"/>
              <w:rPr>
                <w:rFonts w:ascii="宋体" w:hAnsi="宋体" w:cs="宋体"/>
                <w:szCs w:val="21"/>
                <w:lang w:bidi="ar"/>
              </w:rPr>
            </w:pPr>
            <w:r>
              <w:rPr>
                <w:rFonts w:hint="eastAsia" w:ascii="宋体" w:hAnsi="宋体" w:cs="宋体"/>
                <w:szCs w:val="21"/>
                <w:lang w:bidi="ar"/>
              </w:rPr>
              <w:t>支付期次说明</w:t>
            </w:r>
          </w:p>
        </w:tc>
      </w:tr>
      <w:tr w14:paraId="3463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blCellSpacing w:w="0" w:type="dxa"/>
          <w:jc w:val="center"/>
        </w:trPr>
        <w:tc>
          <w:tcPr>
            <w:tcW w:w="1241" w:type="dxa"/>
            <w:noWrap w:val="0"/>
            <w:vAlign w:val="center"/>
          </w:tcPr>
          <w:p w14:paraId="4830357A">
            <w:pPr>
              <w:spacing w:line="360" w:lineRule="auto"/>
              <w:ind w:firstLine="420" w:firstLineChars="200"/>
              <w:jc w:val="left"/>
              <w:rPr>
                <w:rFonts w:ascii="宋体" w:hAnsi="宋体" w:cs="宋体"/>
                <w:szCs w:val="21"/>
              </w:rPr>
            </w:pPr>
            <w:r>
              <w:rPr>
                <w:rFonts w:ascii="宋体" w:hAnsi="宋体" w:cs="宋体"/>
                <w:szCs w:val="21"/>
              </w:rPr>
              <w:t>1</w:t>
            </w:r>
          </w:p>
        </w:tc>
        <w:tc>
          <w:tcPr>
            <w:tcW w:w="1391" w:type="dxa"/>
            <w:noWrap w:val="0"/>
            <w:vAlign w:val="center"/>
          </w:tcPr>
          <w:p w14:paraId="43A4B7A7">
            <w:pPr>
              <w:widowControl/>
              <w:shd w:val="clear" w:color="auto" w:fill="FFFFFF"/>
              <w:wordWrap w:val="0"/>
              <w:spacing w:line="360" w:lineRule="auto"/>
              <w:ind w:firstLine="440"/>
              <w:jc w:val="left"/>
              <w:rPr>
                <w:rFonts w:ascii="宋体" w:hAnsi="宋体" w:eastAsia="宋体" w:cs="宋体"/>
                <w:szCs w:val="21"/>
              </w:rPr>
            </w:pPr>
            <w:r>
              <w:rPr>
                <w:rFonts w:ascii="宋体" w:hAnsi="宋体" w:eastAsia="宋体" w:cs="宋体"/>
                <w:szCs w:val="21"/>
              </w:rPr>
              <w:t>30%</w:t>
            </w:r>
          </w:p>
        </w:tc>
        <w:tc>
          <w:tcPr>
            <w:tcW w:w="6903" w:type="dxa"/>
            <w:noWrap w:val="0"/>
            <w:vAlign w:val="top"/>
          </w:tcPr>
          <w:p w14:paraId="5C13C588">
            <w:pPr>
              <w:widowControl/>
              <w:shd w:val="clear" w:color="auto" w:fill="FFFFFF"/>
              <w:wordWrap w:val="0"/>
              <w:spacing w:line="360" w:lineRule="auto"/>
              <w:ind w:firstLine="440"/>
              <w:jc w:val="left"/>
              <w:rPr>
                <w:rFonts w:ascii="宋体" w:hAnsi="宋体" w:eastAsia="宋体" w:cs="宋体"/>
                <w:szCs w:val="21"/>
              </w:rPr>
            </w:pPr>
            <w:r>
              <w:rPr>
                <w:rFonts w:hint="eastAsia" w:ascii="宋体" w:hAnsi="宋体" w:eastAsia="宋体" w:cs="宋体"/>
                <w:szCs w:val="21"/>
                <w:lang w:bidi="ar"/>
              </w:rPr>
              <w:t>合同签订完成后，支付签约价款总额的</w:t>
            </w:r>
            <w:r>
              <w:rPr>
                <w:rFonts w:ascii="宋体" w:hAnsi="宋体" w:eastAsia="宋体" w:cs="宋体"/>
                <w:szCs w:val="21"/>
                <w:lang w:bidi="ar"/>
              </w:rPr>
              <w:t>30%作为项目首付款；（首次付款前乙方应开具合同金额30%的一般纳税人增值税专用发票）</w:t>
            </w:r>
          </w:p>
        </w:tc>
      </w:tr>
      <w:tr w14:paraId="547D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blCellSpacing w:w="0" w:type="dxa"/>
          <w:jc w:val="center"/>
        </w:trPr>
        <w:tc>
          <w:tcPr>
            <w:tcW w:w="1241" w:type="dxa"/>
            <w:noWrap w:val="0"/>
            <w:vAlign w:val="center"/>
          </w:tcPr>
          <w:p w14:paraId="5B5F16F8">
            <w:pPr>
              <w:spacing w:line="360" w:lineRule="auto"/>
              <w:ind w:firstLine="420" w:firstLineChars="200"/>
              <w:jc w:val="left"/>
              <w:rPr>
                <w:rFonts w:ascii="宋体" w:hAnsi="宋体" w:cs="宋体"/>
                <w:szCs w:val="21"/>
              </w:rPr>
            </w:pPr>
            <w:r>
              <w:rPr>
                <w:rFonts w:ascii="宋体" w:hAnsi="宋体" w:cs="宋体"/>
                <w:szCs w:val="21"/>
              </w:rPr>
              <w:t>2</w:t>
            </w:r>
          </w:p>
        </w:tc>
        <w:tc>
          <w:tcPr>
            <w:tcW w:w="1391" w:type="dxa"/>
            <w:noWrap w:val="0"/>
            <w:vAlign w:val="center"/>
          </w:tcPr>
          <w:p w14:paraId="02A4357F">
            <w:pPr>
              <w:widowControl/>
              <w:shd w:val="clear" w:color="auto" w:fill="FFFFFF"/>
              <w:wordWrap w:val="0"/>
              <w:spacing w:line="360" w:lineRule="auto"/>
              <w:ind w:firstLine="440"/>
              <w:jc w:val="left"/>
              <w:rPr>
                <w:rFonts w:ascii="宋体" w:hAnsi="宋体" w:eastAsia="宋体" w:cs="宋体"/>
                <w:szCs w:val="21"/>
              </w:rPr>
            </w:pPr>
            <w:r>
              <w:rPr>
                <w:rFonts w:ascii="宋体" w:hAnsi="宋体" w:eastAsia="宋体" w:cs="宋体"/>
                <w:szCs w:val="21"/>
              </w:rPr>
              <w:t>30%</w:t>
            </w:r>
          </w:p>
        </w:tc>
        <w:tc>
          <w:tcPr>
            <w:tcW w:w="6903" w:type="dxa"/>
            <w:noWrap w:val="0"/>
            <w:vAlign w:val="top"/>
          </w:tcPr>
          <w:p w14:paraId="495AB412">
            <w:pPr>
              <w:widowControl/>
              <w:ind w:firstLine="420" w:firstLineChars="200"/>
              <w:jc w:val="left"/>
              <w:rPr>
                <w:rFonts w:ascii="宋体" w:hAnsi="宋体" w:eastAsia="宋体" w:cs="宋体"/>
                <w:szCs w:val="21"/>
              </w:rPr>
            </w:pPr>
            <w:r>
              <w:rPr>
                <w:rFonts w:hint="eastAsia" w:ascii="宋体" w:hAnsi="宋体" w:eastAsia="宋体" w:cs="宋体"/>
                <w:szCs w:val="21"/>
                <w:lang w:bidi="ar"/>
              </w:rPr>
              <w:t>乙方完成</w:t>
            </w:r>
            <w:r>
              <w:rPr>
                <w:rFonts w:ascii="宋体" w:hAnsi="宋体" w:eastAsia="宋体" w:cs="宋体"/>
                <w:szCs w:val="21"/>
                <w:lang w:bidi="ar"/>
              </w:rPr>
              <w:t>项目</w:t>
            </w:r>
            <w:r>
              <w:rPr>
                <w:rFonts w:ascii="宋体" w:hAnsi="宋体" w:eastAsia="宋体" w:cs="宋体"/>
                <w:color w:val="0033CC"/>
                <w:szCs w:val="21"/>
                <w:lang w:bidi="ar"/>
              </w:rPr>
              <w:t>启动与</w:t>
            </w:r>
            <w:r>
              <w:rPr>
                <w:rFonts w:ascii="宋体" w:hAnsi="宋体" w:eastAsia="宋体" w:cs="宋体"/>
                <w:szCs w:val="21"/>
                <w:lang w:bidi="ar"/>
              </w:rPr>
              <w:t>调研</w:t>
            </w:r>
            <w:r>
              <w:rPr>
                <w:rFonts w:hint="eastAsia" w:ascii="宋体" w:hAnsi="宋体" w:eastAsia="宋体" w:cs="宋体"/>
                <w:color w:val="0033CC"/>
                <w:szCs w:val="21"/>
                <w:lang w:bidi="ar"/>
              </w:rPr>
              <w:t>诊断、及提交</w:t>
            </w:r>
            <w:r>
              <w:rPr>
                <w:rFonts w:ascii="宋体" w:hAnsi="宋体" w:eastAsia="宋体" w:cs="宋体"/>
                <w:szCs w:val="21"/>
                <w:lang w:bidi="ar"/>
              </w:rPr>
              <w:t>集团组织优化与职能梳理</w:t>
            </w:r>
            <w:r>
              <w:rPr>
                <w:rFonts w:hint="eastAsia" w:ascii="宋体" w:hAnsi="宋体" w:eastAsia="宋体" w:cs="宋体"/>
                <w:szCs w:val="21"/>
                <w:lang w:bidi="ar"/>
              </w:rPr>
              <w:t>模块项目成果</w:t>
            </w:r>
            <w:r>
              <w:rPr>
                <w:rFonts w:hint="eastAsia" w:ascii="宋体" w:hAnsi="宋体" w:eastAsia="宋体" w:cs="宋体"/>
                <w:color w:val="0033CC"/>
                <w:szCs w:val="21"/>
                <w:lang w:bidi="ar"/>
              </w:rPr>
              <w:t>（包含：《集团组织结构图》与职能梳理建议）</w:t>
            </w:r>
            <w:r>
              <w:rPr>
                <w:rFonts w:hint="eastAsia" w:ascii="宋体" w:hAnsi="宋体" w:eastAsia="宋体" w:cs="宋体"/>
                <w:szCs w:val="21"/>
              </w:rPr>
              <w:t>，经甲方项目组验收通过后采购人支付签约价款总额的</w:t>
            </w:r>
            <w:r>
              <w:rPr>
                <w:rFonts w:ascii="宋体" w:hAnsi="宋体" w:eastAsia="宋体" w:cs="宋体"/>
                <w:szCs w:val="21"/>
              </w:rPr>
              <w:t xml:space="preserve">30%。（二次付款前乙方应开具合同金额30%的一般纳税人增值税专用发票）； </w:t>
            </w:r>
          </w:p>
        </w:tc>
      </w:tr>
      <w:tr w14:paraId="1341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blCellSpacing w:w="0" w:type="dxa"/>
          <w:jc w:val="center"/>
        </w:trPr>
        <w:tc>
          <w:tcPr>
            <w:tcW w:w="1241" w:type="dxa"/>
            <w:noWrap w:val="0"/>
            <w:vAlign w:val="center"/>
          </w:tcPr>
          <w:p w14:paraId="3D0AD632">
            <w:pPr>
              <w:spacing w:line="360" w:lineRule="auto"/>
              <w:ind w:firstLine="420" w:firstLineChars="200"/>
              <w:jc w:val="left"/>
              <w:rPr>
                <w:rFonts w:ascii="宋体" w:hAnsi="宋体" w:cs="宋体"/>
                <w:szCs w:val="21"/>
              </w:rPr>
            </w:pPr>
            <w:r>
              <w:rPr>
                <w:rFonts w:ascii="宋体" w:hAnsi="宋体" w:cs="宋体"/>
                <w:szCs w:val="21"/>
              </w:rPr>
              <w:t>3</w:t>
            </w:r>
          </w:p>
        </w:tc>
        <w:tc>
          <w:tcPr>
            <w:tcW w:w="1391" w:type="dxa"/>
            <w:noWrap w:val="0"/>
            <w:vAlign w:val="center"/>
          </w:tcPr>
          <w:p w14:paraId="37D6DC5D">
            <w:pPr>
              <w:widowControl/>
              <w:shd w:val="clear" w:color="auto" w:fill="FFFFFF"/>
              <w:wordWrap w:val="0"/>
              <w:spacing w:line="360" w:lineRule="auto"/>
              <w:ind w:firstLine="440"/>
              <w:jc w:val="left"/>
              <w:rPr>
                <w:rFonts w:ascii="宋体" w:hAnsi="宋体" w:eastAsia="宋体" w:cs="宋体"/>
                <w:szCs w:val="21"/>
              </w:rPr>
            </w:pPr>
            <w:r>
              <w:rPr>
                <w:rFonts w:ascii="宋体" w:hAnsi="宋体" w:eastAsia="宋体" w:cs="宋体"/>
                <w:szCs w:val="21"/>
              </w:rPr>
              <w:t>20%</w:t>
            </w:r>
          </w:p>
        </w:tc>
        <w:tc>
          <w:tcPr>
            <w:tcW w:w="6903" w:type="dxa"/>
            <w:noWrap w:val="0"/>
            <w:vAlign w:val="top"/>
          </w:tcPr>
          <w:p w14:paraId="705A57D7">
            <w:pPr>
              <w:widowControl/>
              <w:ind w:firstLine="420" w:firstLineChars="200"/>
              <w:jc w:val="left"/>
              <w:rPr>
                <w:rFonts w:ascii="宋体" w:hAnsi="宋体" w:eastAsia="宋体" w:cs="宋体"/>
                <w:szCs w:val="21"/>
              </w:rPr>
            </w:pPr>
            <w:r>
              <w:rPr>
                <w:rFonts w:hint="eastAsia" w:ascii="宋体" w:hAnsi="宋体" w:eastAsia="宋体" w:cs="宋体"/>
                <w:szCs w:val="21"/>
              </w:rPr>
              <w:t>乙方完成</w:t>
            </w:r>
            <w:r>
              <w:rPr>
                <w:rFonts w:hint="eastAsia" w:ascii="宋体" w:hAnsi="宋体" w:eastAsia="宋体" w:cs="宋体"/>
                <w:color w:val="0033CC"/>
                <w:szCs w:val="21"/>
                <w:lang w:bidi="ar"/>
              </w:rPr>
              <w:t>对豸龙集团项目组</w:t>
            </w:r>
            <w:r>
              <w:rPr>
                <w:rFonts w:hint="eastAsia" w:ascii="宋体" w:hAnsi="宋体" w:eastAsia="宋体" w:cs="宋体"/>
                <w:szCs w:val="21"/>
                <w:lang w:bidi="ar"/>
              </w:rPr>
              <w:t>开展</w:t>
            </w:r>
            <w:r>
              <w:rPr>
                <w:rFonts w:ascii="宋体" w:hAnsi="宋体" w:eastAsia="宋体" w:cs="宋体"/>
                <w:szCs w:val="21"/>
                <w:lang w:bidi="ar"/>
              </w:rPr>
              <w:t>部门/子公司职能规范</w:t>
            </w:r>
            <w:r>
              <w:rPr>
                <w:rFonts w:hint="eastAsia" w:ascii="宋体" w:hAnsi="宋体" w:eastAsia="宋体" w:cs="宋体"/>
                <w:szCs w:val="21"/>
                <w:lang w:bidi="ar"/>
              </w:rPr>
              <w:t>模块</w:t>
            </w:r>
            <w:r>
              <w:rPr>
                <w:rFonts w:hint="eastAsia" w:ascii="宋体" w:hAnsi="宋体" w:eastAsia="宋体" w:cs="宋体"/>
                <w:color w:val="0033CC"/>
                <w:szCs w:val="21"/>
                <w:lang w:bidi="ar"/>
              </w:rPr>
              <w:t>编写、修订的</w:t>
            </w:r>
            <w:r>
              <w:rPr>
                <w:rFonts w:hint="eastAsia" w:ascii="宋体" w:hAnsi="宋体" w:eastAsia="宋体" w:cs="宋体"/>
                <w:szCs w:val="21"/>
                <w:lang w:bidi="ar"/>
              </w:rPr>
              <w:t>培训教练式辅导3次</w:t>
            </w:r>
            <w:r>
              <w:rPr>
                <w:rFonts w:hint="eastAsia" w:ascii="宋体" w:hAnsi="宋体" w:eastAsia="宋体" w:cs="宋体"/>
                <w:color w:val="0033CC"/>
                <w:szCs w:val="21"/>
                <w:lang w:bidi="ar"/>
              </w:rPr>
              <w:t>（含</w:t>
            </w:r>
            <w:r>
              <w:rPr>
                <w:rFonts w:ascii="宋体" w:hAnsi="宋体" w:eastAsia="宋体" w:cs="宋体"/>
                <w:color w:val="0033CC"/>
                <w:szCs w:val="21"/>
                <w:lang w:bidi="ar"/>
              </w:rPr>
              <w:t>1</w:t>
            </w:r>
            <w:r>
              <w:rPr>
                <w:rFonts w:hint="eastAsia" w:ascii="宋体" w:hAnsi="宋体" w:eastAsia="宋体" w:cs="宋体"/>
                <w:color w:val="0033CC"/>
                <w:szCs w:val="21"/>
                <w:lang w:bidi="ar"/>
              </w:rPr>
              <w:t>次培训）</w:t>
            </w:r>
            <w:r>
              <w:rPr>
                <w:rFonts w:hint="eastAsia" w:ascii="宋体" w:hAnsi="宋体" w:eastAsia="宋体" w:cs="宋体"/>
                <w:szCs w:val="21"/>
                <w:lang w:bidi="ar"/>
              </w:rPr>
              <w:t>，以培训记录为依据，</w:t>
            </w:r>
            <w:r>
              <w:rPr>
                <w:rFonts w:hint="eastAsia" w:ascii="宋体" w:hAnsi="宋体" w:eastAsia="宋体" w:cs="宋体"/>
                <w:szCs w:val="21"/>
              </w:rPr>
              <w:t>甲方支付签约价款总额的</w:t>
            </w:r>
            <w:r>
              <w:rPr>
                <w:rFonts w:ascii="宋体" w:hAnsi="宋体" w:eastAsia="宋体" w:cs="宋体"/>
                <w:szCs w:val="21"/>
              </w:rPr>
              <w:t>20%。（三次付款前乙方应开具合同金额20%的一般纳税人增值税专用发票）；</w:t>
            </w:r>
          </w:p>
        </w:tc>
      </w:tr>
      <w:tr w14:paraId="4709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blCellSpacing w:w="0" w:type="dxa"/>
          <w:jc w:val="center"/>
        </w:trPr>
        <w:tc>
          <w:tcPr>
            <w:tcW w:w="1241" w:type="dxa"/>
            <w:noWrap w:val="0"/>
            <w:vAlign w:val="center"/>
          </w:tcPr>
          <w:p w14:paraId="112F483D">
            <w:pPr>
              <w:spacing w:line="360" w:lineRule="auto"/>
              <w:ind w:firstLine="420" w:firstLineChars="200"/>
              <w:jc w:val="left"/>
              <w:rPr>
                <w:rFonts w:ascii="宋体" w:hAnsi="宋体" w:cs="宋体"/>
                <w:szCs w:val="21"/>
              </w:rPr>
            </w:pPr>
            <w:r>
              <w:rPr>
                <w:rFonts w:ascii="宋体" w:hAnsi="宋体" w:cs="宋体"/>
                <w:szCs w:val="21"/>
              </w:rPr>
              <w:t>4</w:t>
            </w:r>
          </w:p>
        </w:tc>
        <w:tc>
          <w:tcPr>
            <w:tcW w:w="1391" w:type="dxa"/>
            <w:noWrap w:val="0"/>
            <w:vAlign w:val="center"/>
          </w:tcPr>
          <w:p w14:paraId="1622F91F">
            <w:pPr>
              <w:widowControl/>
              <w:shd w:val="clear" w:color="auto" w:fill="FFFFFF"/>
              <w:wordWrap w:val="0"/>
              <w:spacing w:line="360" w:lineRule="auto"/>
              <w:ind w:firstLine="440"/>
              <w:jc w:val="left"/>
              <w:rPr>
                <w:rFonts w:ascii="宋体" w:hAnsi="宋体" w:eastAsia="宋体" w:cs="宋体"/>
                <w:szCs w:val="21"/>
              </w:rPr>
            </w:pPr>
            <w:r>
              <w:rPr>
                <w:rFonts w:ascii="宋体" w:hAnsi="宋体" w:eastAsia="宋体" w:cs="宋体"/>
                <w:szCs w:val="21"/>
              </w:rPr>
              <w:t>20%</w:t>
            </w:r>
          </w:p>
        </w:tc>
        <w:tc>
          <w:tcPr>
            <w:tcW w:w="6903" w:type="dxa"/>
            <w:noWrap w:val="0"/>
            <w:vAlign w:val="top"/>
          </w:tcPr>
          <w:p w14:paraId="0F84F641">
            <w:pPr>
              <w:widowControl/>
              <w:ind w:firstLine="420" w:firstLineChars="200"/>
              <w:jc w:val="left"/>
              <w:rPr>
                <w:rFonts w:ascii="宋体" w:hAnsi="宋体" w:eastAsia="宋体" w:cs="宋体"/>
                <w:szCs w:val="21"/>
              </w:rPr>
            </w:pPr>
            <w:r>
              <w:rPr>
                <w:rFonts w:hint="eastAsia" w:ascii="宋体" w:hAnsi="宋体" w:eastAsia="宋体" w:cs="宋体"/>
                <w:szCs w:val="21"/>
              </w:rPr>
              <w:t>乙方完成</w:t>
            </w:r>
            <w:r>
              <w:rPr>
                <w:rFonts w:hint="eastAsia" w:ascii="宋体" w:hAnsi="宋体" w:eastAsia="宋体" w:cs="宋体"/>
                <w:color w:val="0033CC"/>
                <w:szCs w:val="21"/>
              </w:rPr>
              <w:t>对豸龙集团项目组开展</w:t>
            </w:r>
            <w:r>
              <w:rPr>
                <w:rFonts w:hint="eastAsia" w:ascii="宋体" w:hAnsi="宋体" w:eastAsia="宋体" w:cs="宋体"/>
                <w:color w:val="0033CC"/>
                <w:szCs w:val="21"/>
                <w:lang w:bidi="ar"/>
              </w:rPr>
              <w:t>部门</w:t>
            </w:r>
            <w:r>
              <w:rPr>
                <w:rFonts w:ascii="宋体" w:hAnsi="宋体" w:eastAsia="宋体" w:cs="宋体"/>
                <w:color w:val="0033CC"/>
                <w:szCs w:val="21"/>
                <w:lang w:bidi="ar"/>
              </w:rPr>
              <w:t>/子公司</w:t>
            </w:r>
            <w:r>
              <w:rPr>
                <w:rFonts w:ascii="宋体" w:hAnsi="宋体" w:eastAsia="宋体" w:cs="宋体"/>
                <w:szCs w:val="21"/>
                <w:lang w:bidi="ar"/>
              </w:rPr>
              <w:t>岗位</w:t>
            </w:r>
            <w:r>
              <w:rPr>
                <w:rFonts w:hint="eastAsia" w:ascii="宋体" w:hAnsi="宋体" w:eastAsia="宋体" w:cs="宋体"/>
                <w:szCs w:val="21"/>
                <w:lang w:bidi="ar"/>
              </w:rPr>
              <w:t>设置</w:t>
            </w:r>
            <w:r>
              <w:rPr>
                <w:rFonts w:ascii="宋体" w:hAnsi="宋体" w:eastAsia="宋体" w:cs="宋体"/>
                <w:szCs w:val="21"/>
                <w:lang w:bidi="ar"/>
              </w:rPr>
              <w:t>与规范</w:t>
            </w:r>
            <w:r>
              <w:rPr>
                <w:rFonts w:hint="eastAsia" w:ascii="宋体" w:hAnsi="宋体" w:eastAsia="宋体" w:cs="宋体"/>
                <w:szCs w:val="21"/>
                <w:lang w:bidi="ar"/>
              </w:rPr>
              <w:t>模块</w:t>
            </w:r>
            <w:r>
              <w:rPr>
                <w:rFonts w:hint="eastAsia" w:ascii="宋体" w:hAnsi="宋体" w:eastAsia="宋体" w:cs="宋体"/>
                <w:color w:val="0033CC"/>
                <w:szCs w:val="21"/>
                <w:lang w:bidi="ar"/>
              </w:rPr>
              <w:t>梳理</w:t>
            </w:r>
            <w:r>
              <w:rPr>
                <w:rFonts w:ascii="宋体" w:hAnsi="宋体" w:eastAsia="宋体" w:cs="宋体"/>
                <w:color w:val="0033CC"/>
                <w:szCs w:val="21"/>
                <w:lang w:bidi="ar"/>
              </w:rPr>
              <w:t>/编写与修订的</w:t>
            </w:r>
            <w:r>
              <w:rPr>
                <w:rFonts w:hint="eastAsia" w:ascii="宋体" w:hAnsi="宋体" w:eastAsia="宋体" w:cs="宋体"/>
                <w:szCs w:val="21"/>
                <w:lang w:bidi="ar"/>
              </w:rPr>
              <w:t>培训教练式辅导</w:t>
            </w:r>
            <w:r>
              <w:rPr>
                <w:rFonts w:hint="eastAsia" w:ascii="宋体" w:hAnsi="宋体" w:eastAsia="宋体" w:cs="宋体"/>
                <w:color w:val="0033CC"/>
                <w:szCs w:val="21"/>
                <w:lang w:bidi="ar"/>
              </w:rPr>
              <w:t>5次（含</w:t>
            </w:r>
            <w:r>
              <w:rPr>
                <w:rFonts w:ascii="宋体" w:hAnsi="宋体" w:eastAsia="宋体" w:cs="宋体"/>
                <w:color w:val="0033CC"/>
                <w:szCs w:val="21"/>
                <w:lang w:bidi="ar"/>
              </w:rPr>
              <w:t>2次培训）</w:t>
            </w:r>
            <w:r>
              <w:rPr>
                <w:rFonts w:hint="eastAsia" w:ascii="宋体" w:hAnsi="宋体" w:eastAsia="宋体" w:cs="宋体"/>
                <w:szCs w:val="21"/>
                <w:lang w:bidi="ar"/>
              </w:rPr>
              <w:t>，以培训记录为依据</w:t>
            </w:r>
            <w:r>
              <w:rPr>
                <w:rFonts w:hint="eastAsia" w:ascii="宋体" w:hAnsi="宋体" w:eastAsia="宋体" w:cs="宋体"/>
                <w:szCs w:val="21"/>
              </w:rPr>
              <w:t>，甲方支付签约价款总额的</w:t>
            </w:r>
            <w:r>
              <w:rPr>
                <w:rFonts w:ascii="宋体" w:hAnsi="宋体" w:eastAsia="宋体" w:cs="宋体"/>
                <w:szCs w:val="21"/>
              </w:rPr>
              <w:t>20%。（四次付款前乙方应开具合同金额20%的一般纳税人增值税专用发票）。</w:t>
            </w:r>
          </w:p>
        </w:tc>
      </w:tr>
    </w:tbl>
    <w:p w14:paraId="2B858C17">
      <w:pPr>
        <w:spacing w:line="440" w:lineRule="exact"/>
        <w:ind w:firstLine="640" w:firstLineChars="200"/>
        <w:jc w:val="left"/>
        <w:rPr>
          <w:rFonts w:hint="eastAsia" w:asciiTheme="minorEastAsia" w:hAnsiTheme="minorEastAsia" w:eastAsiaTheme="minorEastAsia" w:cstheme="minorEastAsia"/>
          <w:color w:val="auto"/>
          <w:sz w:val="24"/>
          <w:szCs w:val="24"/>
          <w:highlight w:val="none"/>
        </w:rPr>
      </w:pPr>
      <w:r>
        <w:rPr>
          <w:rFonts w:hint="eastAsia" w:ascii="Times New Roman" w:hAnsi="Times New Roman" w:eastAsia="仿宋_GB2312" w:cs="Times New Roman"/>
          <w:color w:val="000000"/>
          <w:kern w:val="0"/>
          <w:sz w:val="32"/>
          <w:szCs w:val="32"/>
          <w:lang w:val="en-US" w:eastAsia="zh-CN" w:bidi="ar"/>
        </w:rPr>
        <w:t>6.其他要求：按合同约定执行。</w:t>
      </w:r>
    </w:p>
    <w:p w14:paraId="1572A3B8">
      <w:pPr>
        <w:pStyle w:val="21"/>
        <w:rPr>
          <w:highlight w:val="none"/>
        </w:rPr>
      </w:pPr>
    </w:p>
    <w:p w14:paraId="38E6ACF8">
      <w:pPr>
        <w:pStyle w:val="21"/>
        <w:rPr>
          <w:highlight w:val="none"/>
        </w:rPr>
      </w:pPr>
    </w:p>
    <w:p w14:paraId="61A4FB0A">
      <w:pPr>
        <w:pStyle w:val="21"/>
        <w:rPr>
          <w:highlight w:val="none"/>
        </w:rPr>
      </w:pPr>
    </w:p>
    <w:p w14:paraId="3382B057">
      <w:pPr>
        <w:pStyle w:val="21"/>
        <w:rPr>
          <w:highlight w:val="none"/>
        </w:rPr>
      </w:pPr>
    </w:p>
    <w:p w14:paraId="422847EB">
      <w:pPr>
        <w:pStyle w:val="21"/>
        <w:rPr>
          <w:highlight w:val="none"/>
        </w:rPr>
      </w:pPr>
    </w:p>
    <w:p w14:paraId="6BAB31C9">
      <w:pPr>
        <w:pStyle w:val="21"/>
        <w:rPr>
          <w:highlight w:val="none"/>
        </w:rPr>
      </w:pPr>
      <w:bookmarkStart w:id="0" w:name="_GoBack"/>
      <w:bookmarkEnd w:id="0"/>
    </w:p>
    <w:p w14:paraId="37F7EBAA">
      <w:pPr>
        <w:pStyle w:val="21"/>
        <w:ind w:left="0" w:leftChars="0" w:firstLine="0" w:firstLineChars="0"/>
        <w:rPr>
          <w:highlight w:val="none"/>
        </w:rPr>
      </w:pPr>
    </w:p>
    <w:p w14:paraId="06E19D29">
      <w:pPr>
        <w:pStyle w:val="21"/>
        <w:ind w:left="0" w:leftChars="0" w:firstLine="0" w:firstLineChars="0"/>
        <w:rPr>
          <w:highlight w:val="none"/>
        </w:rPr>
      </w:pPr>
    </w:p>
    <w:p w14:paraId="6D97B43F">
      <w:pPr>
        <w:pStyle w:val="21"/>
        <w:ind w:left="0" w:leftChars="0" w:firstLine="0" w:firstLineChars="0"/>
        <w:rPr>
          <w:highlight w:val="none"/>
        </w:rPr>
      </w:pPr>
    </w:p>
    <w:p w14:paraId="2229F868">
      <w:pPr>
        <w:pStyle w:val="21"/>
        <w:ind w:left="0" w:leftChars="0" w:firstLine="0" w:firstLineChars="0"/>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使用中文字体）">
    <w:altName w:val="宋体"/>
    <w:panose1 w:val="00000000000000000000"/>
    <w:charset w:val="86"/>
    <w:family w:val="roman"/>
    <w:pitch w:val="default"/>
    <w:sig w:usb0="00000000" w:usb1="00000000" w:usb2="00000010" w:usb3="00000000" w:csb0="00040001" w:csb1="00000000"/>
  </w:font>
  <w:font w:name="HiddenHorzOCl">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521B">
    <w:pPr>
      <w:spacing w:line="222" w:lineRule="auto"/>
      <w:ind w:left="3707"/>
      <w:rPr>
        <w:rFonts w:ascii="仿宋" w:hAnsi="仿宋" w:eastAsia="仿宋" w:cs="仿宋"/>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7E404">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694AF"/>
    <w:multiLevelType w:val="singleLevel"/>
    <w:tmpl w:val="877694AF"/>
    <w:lvl w:ilvl="0" w:tentative="0">
      <w:start w:val="1"/>
      <w:numFmt w:val="decimal"/>
      <w:lvlText w:val="%1)"/>
      <w:lvlJc w:val="left"/>
      <w:pPr>
        <w:tabs>
          <w:tab w:val="left" w:pos="312"/>
        </w:tabs>
      </w:pPr>
    </w:lvl>
  </w:abstractNum>
  <w:abstractNum w:abstractNumId="1">
    <w:nsid w:val="892E534E"/>
    <w:multiLevelType w:val="singleLevel"/>
    <w:tmpl w:val="892E534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 w:name="KSO_WPS_MARK_KEY" w:val="36b8acbf-cf64-4cd1-b9a6-4edb4ecc0d53"/>
  </w:docVars>
  <w:rsids>
    <w:rsidRoot w:val="1F986481"/>
    <w:rsid w:val="00B32474"/>
    <w:rsid w:val="013B3D27"/>
    <w:rsid w:val="02ED2AFD"/>
    <w:rsid w:val="03EC7C6C"/>
    <w:rsid w:val="05C83D73"/>
    <w:rsid w:val="05DA79C7"/>
    <w:rsid w:val="0607573C"/>
    <w:rsid w:val="076D3DE5"/>
    <w:rsid w:val="08E47F2A"/>
    <w:rsid w:val="0A2F0DBE"/>
    <w:rsid w:val="0AAE1D31"/>
    <w:rsid w:val="0ACB109C"/>
    <w:rsid w:val="0B03491F"/>
    <w:rsid w:val="0B424B21"/>
    <w:rsid w:val="0D29042F"/>
    <w:rsid w:val="0DB77A48"/>
    <w:rsid w:val="0DF43D70"/>
    <w:rsid w:val="0DFA7935"/>
    <w:rsid w:val="0E1053AA"/>
    <w:rsid w:val="0E7C4295"/>
    <w:rsid w:val="0E98231D"/>
    <w:rsid w:val="0EB76A89"/>
    <w:rsid w:val="0F1F2264"/>
    <w:rsid w:val="0FAE43E2"/>
    <w:rsid w:val="0FFA1E6E"/>
    <w:rsid w:val="10525387"/>
    <w:rsid w:val="110411F6"/>
    <w:rsid w:val="13761663"/>
    <w:rsid w:val="147321EF"/>
    <w:rsid w:val="150D1907"/>
    <w:rsid w:val="15992DDF"/>
    <w:rsid w:val="15A844D8"/>
    <w:rsid w:val="19793E03"/>
    <w:rsid w:val="19F60960"/>
    <w:rsid w:val="1B7D7B8B"/>
    <w:rsid w:val="1CCC4063"/>
    <w:rsid w:val="1E5907C8"/>
    <w:rsid w:val="1ED437CA"/>
    <w:rsid w:val="1F2E743E"/>
    <w:rsid w:val="1F986481"/>
    <w:rsid w:val="20592BE1"/>
    <w:rsid w:val="20623843"/>
    <w:rsid w:val="21A84D19"/>
    <w:rsid w:val="224C399D"/>
    <w:rsid w:val="22B12860"/>
    <w:rsid w:val="24941163"/>
    <w:rsid w:val="24FC6145"/>
    <w:rsid w:val="25762514"/>
    <w:rsid w:val="268564DD"/>
    <w:rsid w:val="26881B2A"/>
    <w:rsid w:val="27C2063D"/>
    <w:rsid w:val="27D6293C"/>
    <w:rsid w:val="286D4691"/>
    <w:rsid w:val="28924EE2"/>
    <w:rsid w:val="290520D8"/>
    <w:rsid w:val="29862BBA"/>
    <w:rsid w:val="2AEB24EE"/>
    <w:rsid w:val="2B4104F9"/>
    <w:rsid w:val="2C731588"/>
    <w:rsid w:val="2CB33DAF"/>
    <w:rsid w:val="2E731311"/>
    <w:rsid w:val="2EE60845"/>
    <w:rsid w:val="2F234AE5"/>
    <w:rsid w:val="30A25EDE"/>
    <w:rsid w:val="30D137C6"/>
    <w:rsid w:val="30D94893"/>
    <w:rsid w:val="32634685"/>
    <w:rsid w:val="32D048F6"/>
    <w:rsid w:val="33DD3477"/>
    <w:rsid w:val="378D1993"/>
    <w:rsid w:val="37ED5C91"/>
    <w:rsid w:val="3802063D"/>
    <w:rsid w:val="383438BF"/>
    <w:rsid w:val="383C054D"/>
    <w:rsid w:val="393873DF"/>
    <w:rsid w:val="3A1C59C5"/>
    <w:rsid w:val="3B9823B7"/>
    <w:rsid w:val="3BF7116C"/>
    <w:rsid w:val="3C681786"/>
    <w:rsid w:val="3D086804"/>
    <w:rsid w:val="3E18333B"/>
    <w:rsid w:val="3E530817"/>
    <w:rsid w:val="3E79027E"/>
    <w:rsid w:val="3EC04461"/>
    <w:rsid w:val="402F2537"/>
    <w:rsid w:val="40C37824"/>
    <w:rsid w:val="41C9151C"/>
    <w:rsid w:val="42522E3A"/>
    <w:rsid w:val="426E3E72"/>
    <w:rsid w:val="431B453D"/>
    <w:rsid w:val="445A645C"/>
    <w:rsid w:val="44E346A3"/>
    <w:rsid w:val="44E74455"/>
    <w:rsid w:val="47470370"/>
    <w:rsid w:val="48605C72"/>
    <w:rsid w:val="4AD130D3"/>
    <w:rsid w:val="4AE051E1"/>
    <w:rsid w:val="4B5005B9"/>
    <w:rsid w:val="4C56273B"/>
    <w:rsid w:val="4C667968"/>
    <w:rsid w:val="4CC2355E"/>
    <w:rsid w:val="4CCA6704"/>
    <w:rsid w:val="4DA370C6"/>
    <w:rsid w:val="4DFE61BB"/>
    <w:rsid w:val="4F930432"/>
    <w:rsid w:val="4FA22EF7"/>
    <w:rsid w:val="4FD5108C"/>
    <w:rsid w:val="50100316"/>
    <w:rsid w:val="516B68C8"/>
    <w:rsid w:val="540212FD"/>
    <w:rsid w:val="54C54091"/>
    <w:rsid w:val="552F6FDC"/>
    <w:rsid w:val="55DF0EB7"/>
    <w:rsid w:val="569169B2"/>
    <w:rsid w:val="57025C73"/>
    <w:rsid w:val="57E26A3C"/>
    <w:rsid w:val="5ABB4922"/>
    <w:rsid w:val="5B7848CB"/>
    <w:rsid w:val="5BC54731"/>
    <w:rsid w:val="5C2B3B30"/>
    <w:rsid w:val="5C4750C0"/>
    <w:rsid w:val="5C855BE8"/>
    <w:rsid w:val="5C8C6810"/>
    <w:rsid w:val="5C9F6CAA"/>
    <w:rsid w:val="5D081E82"/>
    <w:rsid w:val="5D1C319C"/>
    <w:rsid w:val="5DCE7C7E"/>
    <w:rsid w:val="5EF97636"/>
    <w:rsid w:val="5EFF1C82"/>
    <w:rsid w:val="5FF4555F"/>
    <w:rsid w:val="60917251"/>
    <w:rsid w:val="60B62814"/>
    <w:rsid w:val="62C02AE4"/>
    <w:rsid w:val="63AC21E4"/>
    <w:rsid w:val="64436AB5"/>
    <w:rsid w:val="64B672AC"/>
    <w:rsid w:val="6608621F"/>
    <w:rsid w:val="66B33BFC"/>
    <w:rsid w:val="6953498C"/>
    <w:rsid w:val="6B4A616F"/>
    <w:rsid w:val="6C024E76"/>
    <w:rsid w:val="6DA57E98"/>
    <w:rsid w:val="6E055BA4"/>
    <w:rsid w:val="6F543924"/>
    <w:rsid w:val="6FA348AB"/>
    <w:rsid w:val="6FE32C21"/>
    <w:rsid w:val="721E492A"/>
    <w:rsid w:val="72565EF0"/>
    <w:rsid w:val="73E62FB9"/>
    <w:rsid w:val="77557D89"/>
    <w:rsid w:val="78434E7D"/>
    <w:rsid w:val="78E26444"/>
    <w:rsid w:val="791D2015"/>
    <w:rsid w:val="793B1C09"/>
    <w:rsid w:val="799A6D1F"/>
    <w:rsid w:val="7AFB1A3F"/>
    <w:rsid w:val="7BB93B52"/>
    <w:rsid w:val="7BC11CF4"/>
    <w:rsid w:val="7C2A25D8"/>
    <w:rsid w:val="7CF30CDD"/>
    <w:rsid w:val="7D6C452F"/>
    <w:rsid w:val="7E0B1F99"/>
    <w:rsid w:val="7E483361"/>
    <w:rsid w:val="7EC6681C"/>
    <w:rsid w:val="7F08472B"/>
    <w:rsid w:val="7FCF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5"/>
    <w:qFormat/>
    <w:uiPriority w:val="0"/>
    <w:pPr>
      <w:spacing w:line="380" w:lineRule="exact"/>
    </w:pPr>
    <w:rPr>
      <w:sz w:val="24"/>
    </w:rPr>
  </w:style>
  <w:style w:type="paragraph" w:customStyle="1" w:styleId="5">
    <w:name w:val="一级条标题"/>
    <w:basedOn w:val="6"/>
    <w:next w:val="7"/>
    <w:qFormat/>
    <w:uiPriority w:val="0"/>
    <w:pPr>
      <w:widowControl w:val="0"/>
      <w:spacing w:line="240" w:lineRule="auto"/>
      <w:ind w:left="420"/>
      <w:outlineLvl w:val="2"/>
    </w:pPr>
  </w:style>
  <w:style w:type="paragraph" w:customStyle="1" w:styleId="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8">
    <w:name w:val="Body Text Indent"/>
    <w:basedOn w:val="1"/>
    <w:qFormat/>
    <w:uiPriority w:val="0"/>
    <w:pPr>
      <w:spacing w:after="120"/>
      <w:ind w:left="420" w:leftChars="200"/>
    </w:pPr>
  </w:style>
  <w:style w:type="paragraph" w:styleId="9">
    <w:name w:val="Plain Text"/>
    <w:basedOn w:val="1"/>
    <w:next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Indent 3"/>
    <w:basedOn w:val="1"/>
    <w:unhideWhenUsed/>
    <w:qFormat/>
    <w:uiPriority w:val="99"/>
    <w:pPr>
      <w:spacing w:after="120"/>
      <w:ind w:left="420" w:leftChars="200"/>
    </w:pPr>
    <w:rPr>
      <w:kern w:val="2"/>
      <w:sz w:val="16"/>
      <w:szCs w:val="16"/>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3">
    <w:name w:val="Body Text First Indent 2"/>
    <w:basedOn w:val="8"/>
    <w:qFormat/>
    <w:uiPriority w:val="0"/>
    <w:pPr>
      <w:ind w:firstLine="420"/>
    </w:pPr>
    <w:rPr>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paragraph" w:customStyle="1" w:styleId="18">
    <w:name w:val="样式 表格正文 + 两端对齐"/>
    <w:basedOn w:val="1"/>
    <w:next w:val="19"/>
    <w:qFormat/>
    <w:uiPriority w:val="0"/>
    <w:pPr>
      <w:spacing w:line="300" w:lineRule="auto"/>
    </w:pPr>
  </w:style>
  <w:style w:type="paragraph" w:customStyle="1" w:styleId="19">
    <w:name w:val="正文1"/>
    <w:basedOn w:val="1"/>
    <w:qFormat/>
    <w:uiPriority w:val="0"/>
    <w:pPr>
      <w:spacing w:line="480" w:lineRule="exact"/>
      <w:ind w:firstLine="567"/>
    </w:pPr>
    <w:rPr>
      <w:rFonts w:ascii="幼圆" w:eastAsia="幼圆"/>
      <w:sz w:val="28"/>
      <w:szCs w:val="20"/>
    </w:rPr>
  </w:style>
  <w:style w:type="paragraph" w:customStyle="1" w:styleId="20">
    <w:name w:val="Fließtext"/>
    <w:basedOn w:val="1"/>
    <w:qFormat/>
    <w:uiPriority w:val="0"/>
    <w:pPr>
      <w:overflowPunct w:val="0"/>
      <w:autoSpaceDE w:val="0"/>
      <w:autoSpaceDN w:val="0"/>
      <w:adjustRightInd w:val="0"/>
      <w:textAlignment w:val="baseline"/>
    </w:pPr>
    <w:rPr>
      <w:kern w:val="28"/>
      <w:szCs w:val="20"/>
    </w:rPr>
  </w:style>
  <w:style w:type="paragraph" w:customStyle="1" w:styleId="2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2">
    <w:name w:val="Other|1"/>
    <w:basedOn w:val="1"/>
    <w:qFormat/>
    <w:uiPriority w:val="0"/>
    <w:pPr>
      <w:spacing w:after="40" w:line="293" w:lineRule="auto"/>
    </w:pPr>
    <w:rPr>
      <w:rFonts w:ascii="宋体" w:hAnsi="宋体" w:cs="宋体"/>
      <w:sz w:val="22"/>
      <w:szCs w:val="22"/>
      <w:lang w:val="zh-TW" w:eastAsia="zh-TW" w:bidi="zh-TW"/>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Body text|1"/>
    <w:basedOn w:val="1"/>
    <w:qFormat/>
    <w:uiPriority w:val="0"/>
    <w:pPr>
      <w:widowControl w:val="0"/>
      <w:shd w:val="clear" w:color="auto" w:fill="auto"/>
      <w:spacing w:line="442" w:lineRule="auto"/>
      <w:ind w:firstLine="400"/>
    </w:pPr>
    <w:rPr>
      <w:rFonts w:ascii="宋体" w:hAnsi="宋体" w:eastAsia="宋体" w:cs="宋体"/>
      <w:sz w:val="22"/>
      <w:szCs w:val="22"/>
      <w:u w:val="none"/>
      <w:shd w:val="clear" w:color="auto" w:fill="auto"/>
      <w:lang w:val="zh-TW" w:eastAsia="zh-TW" w:bidi="zh-TW"/>
    </w:rPr>
  </w:style>
  <w:style w:type="paragraph" w:customStyle="1" w:styleId="25">
    <w:name w:val="样式3"/>
    <w:basedOn w:val="9"/>
    <w:qFormat/>
    <w:uiPriority w:val="0"/>
    <w:pPr>
      <w:spacing w:line="0" w:lineRule="atLeast"/>
      <w:outlineLvl w:val="0"/>
    </w:pPr>
    <w:rPr>
      <w:sz w:val="28"/>
    </w:rPr>
  </w:style>
  <w:style w:type="paragraph" w:customStyle="1" w:styleId="26">
    <w:name w:val="样式 标题 3 + (中文) 黑体 小四 非加粗 段前: 7.8 磅 段后: 0 磅 行距: 固定值 20 磅"/>
    <w:basedOn w:val="2"/>
    <w:qFormat/>
    <w:uiPriority w:val="0"/>
    <w:pPr>
      <w:spacing w:before="0" w:after="0" w:line="400" w:lineRule="exact"/>
    </w:pPr>
    <w:rPr>
      <w:rFonts w:ascii="Courier New" w:hAnsi="Courier New" w:eastAsia="（使用中文字体）" w:cs="HiddenHorzOCl"/>
      <w:b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8085</Words>
  <Characters>8514</Characters>
  <Lines>0</Lines>
  <Paragraphs>0</Paragraphs>
  <TotalTime>1</TotalTime>
  <ScaleCrop>false</ScaleCrop>
  <LinksUpToDate>false</LinksUpToDate>
  <CharactersWithSpaces>8622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2025-09-05T01:51:00Z</cp:lastPrinted>
  <dcterms:modified xsi:type="dcterms:W3CDTF">2025-09-19T08:19:12Z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A8F8A5ED30654C81920520A35216EA51_13</vt:lpwstr>
  </property>
  <property fmtid="{D5CDD505-2E9C-101B-9397-08002B2CF9AE}" pid="4" name="KSOTemplateDocerSaveRecord">
    <vt:lpwstr>eyJoZGlkIjoiMmY5M2NkNzgzMTNhYzNmYjU2NTc2OGQwMGFkNmU3N2MiLCJ1c2VySWQiOiIxNTc4Njk4MDQ3In0=</vt:lpwstr>
  </property>
</Properties>
</file>