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LCCQJJ20250924</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9月24日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9月18日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9月23日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w:t>
      </w:r>
      <w:bookmarkStart w:id="68" w:name="_GoBack"/>
      <w:bookmarkEnd w:id="68"/>
      <w:r>
        <w:rPr>
          <w:rFonts w:hint="eastAsia" w:asciiTheme="minorEastAsia" w:hAnsiTheme="minorEastAsia" w:eastAsiaTheme="minorEastAsia" w:cstheme="minorEastAsia"/>
          <w:color w:val="auto"/>
          <w:sz w:val="24"/>
          <w:szCs w:val="24"/>
          <w:shd w:val="clear"/>
        </w:rPr>
        <w:t>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连城县“十五五”地瓜产业发展规划与投资项目策划研究项目</w:t>
      </w:r>
      <w:r>
        <w:rPr>
          <w:rFonts w:hint="eastAsia" w:asciiTheme="minorEastAsia" w:hAnsiTheme="minorEastAsia" w:eastAsiaTheme="minorEastAsia" w:cstheme="minorEastAsia"/>
          <w:color w:val="0000FF"/>
          <w:sz w:val="24"/>
          <w:szCs w:val="24"/>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2.服务内容及要求</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bookmarkStart w:id="0" w:name="（三）成果交付"/>
      <w:bookmarkEnd w:id="0"/>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编制《连城县“十五五”地瓜产业发展规划》，重点内容包括：深入剖析连城县地瓜产业现状与宏观政策环境，科学研判外部发展机遇与挑战，进而明确“十五五”时期连城县地瓜产业发展的指导思想、基本原则、总体目标、重点任务以及重大工程，并最终制定确保规划落地实施的各项保障措施，为连城县地瓜产业未来五年的高质量发展提供全面、科学的行动纲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连城县“十五五”地瓜产业投资项目策划研究：在全面梳理连城县地瓜产业以往项目申报情况的基础上，基于中央预算内资金、地方政府专项债、特别国债资金以及福建省专项资金重点支持领域和投向的研究，结合连城县“十五五”地瓜产业发展主要任务，策划“十五五”重点实施项目；按照县发改部门每年对采购人的投资项目入库数量及时间等要求，连续5年编制项目可研（预可研）报告。</w:t>
      </w:r>
      <w:bookmarkStart w:id="1" w:name="auto_fouce_1"/>
    </w:p>
    <w:bookmarkEnd w:id="1"/>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bookmarkStart w:id="2" w:name="1、成果组成：《漳州蓝田经济开发区产业链招商策略项目》汇报评审版本和内部招商使用"/>
      <w:bookmarkEnd w:id="2"/>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3.工期要求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连城县“十五五”地瓜产业发展规划》合同签订后12个月内完成；《连城县“十五五”地瓜产业投资项目策划》合同签订后5年内完成，供应商每年收到采购人书面通知后，需在20个工作日内完成当年需要的项目策划成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4.服务标准和服务要求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（1）服务标准：本项目编制内容应符合最新的国家及部、省、市的有关法律、法规、规范、标准及文件的规定，严禁使用废止的规范条文。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（2）服务要求：按国家及部、省、市有关规范技术标准及委托人要求完成本项目所需的所有工作。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5.付款方式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本合同服务费采用分期方式支付，成交人需向委托人开具符合税务规定的增值税发票，具体支付比例如下</w:t>
      </w:r>
      <w:bookmarkStart w:id="3" w:name="1、本合同正式签订后7个工作日内，甲方向乙方支付合同金额的50%，即人民币（大写"/>
      <w:bookmarkEnd w:id="3"/>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p>
    <w:tbl>
      <w:tblPr>
        <w:tblStyle w:val="13"/>
        <w:tblW w:w="5000" w:type="pct"/>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1"/>
        <w:gridCol w:w="1428"/>
        <w:gridCol w:w="59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序号</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35</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合同正式签订后并提供合格发票之日起10个工作日内支付合同总金额的35%；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3"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15</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《连城县“十五五”地瓜产业发展规划》成果通过评审后并提供合格发票之日起10个工作日内支付合同总金额的15%；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连城县“十五五”地瓜产业投资项目策划研究》自2026年至2030年连续5年，成交人每年完成发改入库项目可行性研究报告且通过委托人书面确认后，成交人提供合格发票之日起10个工作日内，每年支付合同总金额10%，5年共支付合同总金额的50%。</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最高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控制价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310000元</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含税包干），费用限价为包干价，包括但不限于设备进出场费、竞价服务费、现场踏勘费、交通费、住宿费。餐饮费、税费等，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widowControl/>
        <w:snapToGrid w:val="0"/>
        <w:spacing w:line="360" w:lineRule="auto"/>
        <w:ind w:left="14" w:firstLine="480" w:firstLineChars="200"/>
        <w:rPr>
          <w:rFonts w:hint="eastAsia" w:asciiTheme="minorEastAsia" w:hAnsiTheme="minorEastAsia" w:eastAsiaTheme="minorEastAsia" w:cstheme="minorEastAsia"/>
          <w:b/>
          <w:bCs/>
          <w:color w:val="0000FF"/>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2.符合《中华人民共和国政府采购法》第二十二条的规定</w:t>
      </w:r>
      <w:r>
        <w:rPr>
          <w:rFonts w:hint="eastAsia" w:asciiTheme="minorEastAsia" w:hAnsiTheme="minorEastAsia" w:eastAsiaTheme="minorEastAsia" w:cstheme="minorEastAsia"/>
          <w:b/>
          <w:bCs/>
          <w:color w:val="0000FF"/>
          <w:sz w:val="24"/>
          <w:szCs w:val="24"/>
          <w:highlight w:val="none"/>
          <w:lang w:val="en-US" w:eastAsia="zh-CN"/>
        </w:rPr>
        <w:t>（竞价人须提供声明函，格式自拟）：</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2.1具有独立承担民事责任的能力；</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2.2具有良好的商业信誉和健全的财务会计制度；</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2.3具有履行合同所必需的专业技术能力；</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2.4有依法缴纳税收和社会保障资金的良好记录；</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2.5参加政府采购活动前三年内，在经营活动中没有重大违法记录；</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2.6法律、行政法规规定的其他条件。</w:t>
      </w:r>
    </w:p>
    <w:p>
      <w:pPr>
        <w:pStyle w:val="19"/>
        <w:spacing w:line="360" w:lineRule="auto"/>
        <w:ind w:firstLine="482" w:firstLineChars="200"/>
        <w:rPr>
          <w:rFonts w:hint="eastAsia" w:ascii="新宋体" w:hAnsi="新宋体" w:eastAsia="宋体" w:cs="新宋体"/>
          <w:b/>
          <w:bCs/>
          <w:kern w:val="2"/>
          <w:sz w:val="24"/>
          <w:szCs w:val="24"/>
          <w:highlight w:val="none"/>
          <w:u w:val="single"/>
          <w:lang w:eastAsia="zh-CN"/>
        </w:rPr>
      </w:pPr>
      <w:r>
        <w:rPr>
          <w:rFonts w:hint="eastAsia" w:asciiTheme="minorEastAsia" w:hAnsiTheme="minorEastAsia" w:eastAsiaTheme="minorEastAsia" w:cstheme="minorEastAsia"/>
          <w:b/>
          <w:bCs/>
          <w:color w:val="auto"/>
          <w:sz w:val="24"/>
          <w:szCs w:val="24"/>
          <w:highlight w:val="none"/>
          <w:shd w:val="clear"/>
          <w:lang w:val="en-US" w:eastAsia="zh-CN"/>
        </w:rPr>
        <w:t>3.</w:t>
      </w:r>
      <w:r>
        <w:rPr>
          <w:rFonts w:hint="eastAsia" w:ascii="宋体" w:hAnsi="宋体" w:cs="宋体"/>
          <w:b/>
          <w:bCs/>
          <w:sz w:val="24"/>
          <w:szCs w:val="24"/>
          <w:highlight w:val="none"/>
        </w:rPr>
        <w:t>竞价人必须是委托人邀请的供应商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竞价邀请书将以邮件形式发送至邀请供应商邮箱</w:t>
      </w:r>
      <w:r>
        <w:rPr>
          <w:rFonts w:hint="eastAsia" w:ascii="宋体" w:hAnsi="宋体" w:cs="宋体"/>
          <w:b/>
          <w:bCs/>
          <w:sz w:val="24"/>
          <w:szCs w:val="24"/>
          <w:highlight w:val="none"/>
          <w:lang w:eastAsia="zh-CN"/>
        </w:rPr>
        <w:t>）；</w:t>
      </w:r>
    </w:p>
    <w:p>
      <w:pPr>
        <w:spacing w:line="360" w:lineRule="auto"/>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本项目不允许挂靠和转包，不接受联合体投标；</w:t>
      </w:r>
    </w:p>
    <w:p>
      <w:pPr>
        <w:spacing w:line="360" w:lineRule="auto"/>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360" w:lineRule="auto"/>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360" w:lineRule="auto"/>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360" w:lineRule="auto"/>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6200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2025年9月23日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2"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声明函；</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确认函（格式详见</w:t>
      </w:r>
      <w:r>
        <w:rPr>
          <w:rFonts w:hint="eastAsia" w:ascii="宋体" w:hAnsi="宋体" w:cs="宋体"/>
          <w:b/>
          <w:bCs/>
          <w:sz w:val="24"/>
          <w:szCs w:val="24"/>
          <w:highlight w:val="none"/>
          <w:lang w:val="en-US" w:eastAsia="zh-CN"/>
        </w:rPr>
        <w:t>竞价邀请书</w:t>
      </w:r>
      <w:r>
        <w:rPr>
          <w:rFonts w:hint="eastAsia" w:asciiTheme="minorEastAsia" w:hAnsiTheme="minorEastAsia" w:eastAsiaTheme="minorEastAsia" w:cstheme="minorEastAsia"/>
          <w:b/>
          <w:bCs/>
          <w:color w:val="auto"/>
          <w:kern w:val="2"/>
          <w:sz w:val="24"/>
          <w:szCs w:val="24"/>
          <w:shd w:val="clear"/>
          <w:lang w:val="en-US" w:eastAsia="zh-CN"/>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w:t>
      </w:r>
      <w:r>
        <w:rPr>
          <w:rFonts w:hint="eastAsia" w:asciiTheme="minorEastAsia" w:hAnsiTheme="minorEastAsia" w:eastAsiaTheme="minorEastAsia" w:cstheme="minorEastAsia"/>
          <w:b/>
          <w:bCs/>
          <w:color w:val="auto"/>
          <w:kern w:val="2"/>
          <w:sz w:val="24"/>
          <w:szCs w:val="24"/>
          <w:shd w:val="clear"/>
          <w:lang w:val="en-US" w:eastAsia="zh-CN"/>
        </w:rPr>
        <w:t>lccqjyw20251@163.com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bidi="ar-SA"/>
        </w:rPr>
        <w:t>4.竞价人应以服务费总价进行报价，竞价系统设置的价格310000元表示最高控制价为人民币310000元，系统填报价格最低的竞价人作为本项目成交人。</w:t>
      </w:r>
      <w:r>
        <w:rPr>
          <w:rFonts w:hint="eastAsia" w:asciiTheme="minorEastAsia" w:hAnsiTheme="minorEastAsia" w:eastAsiaTheme="minorEastAsia" w:cstheme="minorEastAsia"/>
          <w:b/>
          <w:bCs/>
          <w:color w:val="0000FF"/>
          <w:kern w:val="2"/>
          <w:sz w:val="24"/>
          <w:szCs w:val="24"/>
          <w:shd w:val="clear"/>
          <w:lang w:val="en-US" w:eastAsia="zh-CN" w:bidi="ar-SA"/>
        </w:rPr>
        <w:t>若竞价人在竞价系统填报价格高于310000元或竞价人报价IP地址一致的均视为无效报价。若竞价系统显示无效报价竞价人为成交人的，我司有权按照《竞价须知》要求排除无效报价竞价人后，根据有效报价竞价人的排序重新确定成交人。</w:t>
      </w:r>
      <w:r>
        <w:rPr>
          <w:rFonts w:hint="eastAsia" w:asciiTheme="minorEastAsia" w:hAnsiTheme="minorEastAsia" w:eastAsiaTheme="minorEastAsia" w:cstheme="minorEastAsia"/>
          <w:color w:val="auto"/>
          <w:kern w:val="2"/>
          <w:sz w:val="24"/>
          <w:szCs w:val="24"/>
          <w:shd w:val="clear"/>
          <w:lang w:val="en-US" w:eastAsia="zh-CN" w:bidi="ar-SA"/>
        </w:rPr>
        <w:t xml:space="preserve">项目实施过程中的一切费用均包含在报价总价中，委托人不再另行支付。 </w:t>
      </w:r>
      <w:r>
        <w:rPr>
          <w:rFonts w:hint="eastAsia" w:asciiTheme="minorEastAsia" w:hAnsiTheme="minorEastAsia" w:eastAsiaTheme="minorEastAsia" w:cstheme="minorEastAsia"/>
          <w:color w:val="auto"/>
          <w:kern w:val="2"/>
          <w:sz w:val="24"/>
          <w:szCs w:val="24"/>
          <w:shd w:val="clear"/>
        </w:rPr>
        <w:t>4.特别提示：标的</w:t>
      </w:r>
      <w:r>
        <w:rPr>
          <w:rFonts w:hint="eastAsia" w:asciiTheme="minorEastAsia" w:hAnsiTheme="minorEastAsia" w:eastAsiaTheme="minorEastAsia" w:cstheme="minorEastAsia"/>
          <w:color w:val="auto"/>
          <w:kern w:val="2"/>
          <w:sz w:val="24"/>
          <w:szCs w:val="24"/>
          <w:shd w:val="clear"/>
          <w:lang w:val="en-US" w:eastAsia="zh-CN"/>
        </w:rPr>
        <w:t>的</w:t>
      </w:r>
      <w:r>
        <w:rPr>
          <w:rFonts w:hint="eastAsia" w:asciiTheme="minorEastAsia" w:hAnsiTheme="minorEastAsia" w:eastAsiaTheme="minorEastAsia" w:cstheme="minorEastAsia"/>
          <w:color w:val="auto"/>
          <w:kern w:val="2"/>
          <w:sz w:val="24"/>
          <w:szCs w:val="24"/>
          <w:shd w:val="clear"/>
        </w:rPr>
        <w:t>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12"/>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2025年9月18日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9月24日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连城县“十五五”地瓜产业发展规划与投资项目策划研究项目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LCCQJJ20250924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4"/>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6"/>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6"/>
          <w:rFonts w:hint="eastAsia" w:asciiTheme="minorEastAsia" w:hAnsiTheme="minorEastAsia" w:eastAsiaTheme="minorEastAsia" w:cstheme="minorEastAsia"/>
          <w:b/>
          <w:bCs/>
          <w:color w:val="auto"/>
          <w:sz w:val="24"/>
          <w:highlight w:val="none"/>
        </w:rPr>
        <w:t>2、签订合同时，</w:t>
      </w:r>
      <w:r>
        <w:rPr>
          <w:rStyle w:val="16"/>
          <w:rFonts w:hint="eastAsia" w:asciiTheme="minorEastAsia" w:hAnsiTheme="minorEastAsia" w:eastAsiaTheme="minorEastAsia" w:cstheme="minorEastAsia"/>
          <w:b/>
          <w:bCs/>
          <w:color w:val="auto"/>
          <w:sz w:val="24"/>
          <w:highlight w:val="none"/>
          <w:lang w:val="en-US" w:eastAsia="zh-CN"/>
        </w:rPr>
        <w:t>委托方</w:t>
      </w:r>
      <w:r>
        <w:rPr>
          <w:rStyle w:val="16"/>
          <w:rFonts w:hint="eastAsia" w:asciiTheme="minorEastAsia" w:hAnsiTheme="minorEastAsia" w:eastAsiaTheme="minorEastAsia" w:cstheme="minorEastAsia"/>
          <w:b/>
          <w:bCs/>
          <w:color w:val="auto"/>
          <w:sz w:val="24"/>
          <w:highlight w:val="none"/>
        </w:rPr>
        <w:t>与</w:t>
      </w:r>
      <w:r>
        <w:rPr>
          <w:rStyle w:val="16"/>
          <w:rFonts w:hint="eastAsia" w:asciiTheme="minorEastAsia" w:hAnsiTheme="minorEastAsia" w:eastAsiaTheme="minorEastAsia" w:cstheme="minorEastAsia"/>
          <w:b/>
          <w:bCs/>
          <w:color w:val="auto"/>
          <w:sz w:val="24"/>
          <w:highlight w:val="none"/>
          <w:lang w:val="en-US" w:eastAsia="zh-CN"/>
        </w:rPr>
        <w:t>成交人</w:t>
      </w:r>
      <w:r>
        <w:rPr>
          <w:rStyle w:val="16"/>
          <w:rFonts w:hint="eastAsia" w:asciiTheme="minorEastAsia" w:hAnsiTheme="minorEastAsia" w:eastAsiaTheme="minorEastAsia" w:cstheme="minorEastAsia"/>
          <w:b/>
          <w:bCs/>
          <w:color w:val="auto"/>
          <w:sz w:val="24"/>
          <w:highlight w:val="none"/>
        </w:rPr>
        <w:t>应结合</w:t>
      </w:r>
      <w:r>
        <w:rPr>
          <w:rStyle w:val="16"/>
          <w:rFonts w:hint="eastAsia" w:asciiTheme="minorEastAsia" w:hAnsiTheme="minorEastAsia" w:eastAsiaTheme="minorEastAsia" w:cstheme="minorEastAsia"/>
          <w:b/>
          <w:bCs/>
          <w:color w:val="auto"/>
          <w:sz w:val="24"/>
          <w:highlight w:val="none"/>
          <w:lang w:val="en-US" w:eastAsia="zh-CN"/>
        </w:rPr>
        <w:t>竞价文件相关</w:t>
      </w:r>
      <w:r>
        <w:rPr>
          <w:rStyle w:val="16"/>
          <w:rFonts w:hint="eastAsia" w:asciiTheme="minorEastAsia" w:hAnsiTheme="minorEastAsia" w:eastAsiaTheme="minorEastAsia" w:cstheme="minorEastAsia"/>
          <w:b/>
          <w:bCs/>
          <w:color w:val="auto"/>
          <w:sz w:val="24"/>
          <w:highlight w:val="none"/>
        </w:rPr>
        <w:t>规定填列相应内容。</w:t>
      </w:r>
      <w:r>
        <w:rPr>
          <w:rStyle w:val="16"/>
          <w:rFonts w:hint="eastAsia" w:asciiTheme="minorEastAsia" w:hAnsiTheme="minorEastAsia" w:eastAsiaTheme="minorEastAsia" w:cstheme="minorEastAsia"/>
          <w:b/>
          <w:bCs/>
          <w:color w:val="auto"/>
          <w:sz w:val="24"/>
          <w:highlight w:val="none"/>
          <w:lang w:val="en-US" w:eastAsia="zh-CN"/>
        </w:rPr>
        <w:t>竞价文件</w:t>
      </w:r>
      <w:r>
        <w:rPr>
          <w:rStyle w:val="16"/>
          <w:rFonts w:hint="eastAsia" w:asciiTheme="minorEastAsia" w:hAnsiTheme="minorEastAsia" w:eastAsiaTheme="minorEastAsia" w:cstheme="minorEastAsia"/>
          <w:b/>
          <w:bCs/>
          <w:color w:val="auto"/>
          <w:sz w:val="24"/>
          <w:highlight w:val="none"/>
        </w:rPr>
        <w:t>已有规定的，双方均不得变更或调整；</w:t>
      </w:r>
      <w:r>
        <w:rPr>
          <w:rStyle w:val="16"/>
          <w:rFonts w:hint="eastAsia" w:asciiTheme="minorEastAsia" w:hAnsiTheme="minorEastAsia" w:eastAsiaTheme="minorEastAsia" w:cstheme="minorEastAsia"/>
          <w:b/>
          <w:bCs/>
          <w:color w:val="auto"/>
          <w:sz w:val="24"/>
          <w:highlight w:val="none"/>
          <w:lang w:val="en-US" w:eastAsia="zh-CN"/>
        </w:rPr>
        <w:t>竞价文件</w:t>
      </w:r>
      <w:r>
        <w:rPr>
          <w:rStyle w:val="16"/>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6"/>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widowControl/>
        <w:ind w:firstLine="560"/>
      </w:pPr>
    </w:p>
    <w:p>
      <w:pPr>
        <w:widowControl/>
        <w:ind w:firstLine="560"/>
      </w:pPr>
    </w:p>
    <w:p>
      <w:pPr>
        <w:widowControl/>
        <w:ind w:firstLine="560"/>
      </w:pPr>
    </w:p>
    <w:p>
      <w:pPr>
        <w:widowControl/>
        <w:ind w:firstLine="560"/>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widowControl/>
        <w:ind w:firstLine="560"/>
        <w:rPr>
          <w:color w:val="000000" w:themeColor="text1"/>
          <w14:textFill>
            <w14:solidFill>
              <w14:schemeClr w14:val="tx1"/>
            </w14:solidFill>
          </w14:textFill>
        </w:rPr>
      </w:pPr>
    </w:p>
    <w:p>
      <w:pPr>
        <w:widowControl/>
        <w:ind w:firstLine="560"/>
        <w:rPr>
          <w:color w:val="000000" w:themeColor="text1"/>
          <w14:textFill>
            <w14:solidFill>
              <w14:schemeClr w14:val="tx1"/>
            </w14:solidFill>
          </w14:textFill>
        </w:rPr>
      </w:pPr>
    </w:p>
    <w:p>
      <w:pPr>
        <w:widowControl/>
        <w:ind w:firstLine="560"/>
        <w:rPr>
          <w:color w:val="000000" w:themeColor="text1"/>
          <w14:textFill>
            <w14:solidFill>
              <w14:schemeClr w14:val="tx1"/>
            </w14:solidFill>
          </w14:textFill>
        </w:rPr>
      </w:pPr>
    </w:p>
    <w:p>
      <w:pPr>
        <w:widowControl/>
        <w:ind w:firstLine="560"/>
        <w:rPr>
          <w:color w:val="000000" w:themeColor="text1"/>
          <w14:textFill>
            <w14:solidFill>
              <w14:schemeClr w14:val="tx1"/>
            </w14:solidFill>
          </w14:textFill>
        </w:rPr>
      </w:pPr>
    </w:p>
    <w:p>
      <w:pPr>
        <w:widowControl/>
        <w:spacing w:after="240" w:afterLines="100"/>
        <w:ind w:firstLine="0" w:firstLineChars="0"/>
        <w:jc w:val="center"/>
        <w:rPr>
          <w:rFonts w:hint="eastAsia" w:ascii="黑体" w:eastAsia="黑体"/>
          <w:color w:val="000000" w:themeColor="text1"/>
          <w:sz w:val="44"/>
          <w:szCs w:val="44"/>
          <w:lang w:eastAsia="zh-CN"/>
          <w14:textFill>
            <w14:solidFill>
              <w14:schemeClr w14:val="tx1"/>
            </w14:solidFill>
          </w14:textFill>
        </w:rPr>
      </w:pPr>
      <w:r>
        <w:rPr>
          <w:rFonts w:hint="eastAsia" w:ascii="黑体" w:eastAsia="黑体"/>
          <w:color w:val="000000" w:themeColor="text1"/>
          <w:sz w:val="44"/>
          <w:szCs w:val="44"/>
          <w14:textFill>
            <w14:solidFill>
              <w14:schemeClr w14:val="tx1"/>
            </w14:solidFill>
          </w14:textFill>
        </w:rPr>
        <w:t>连城县“十五五”地瓜产业发展规划</w:t>
      </w:r>
      <w:r>
        <w:rPr>
          <w:rFonts w:ascii="黑体" w:eastAsia="黑体"/>
          <w:color w:val="000000" w:themeColor="text1"/>
          <w:sz w:val="44"/>
          <w:szCs w:val="44"/>
          <w14:textFill>
            <w14:solidFill>
              <w14:schemeClr w14:val="tx1"/>
            </w14:solidFill>
          </w14:textFill>
        </w:rPr>
        <w:t>与投资项目策划</w:t>
      </w:r>
      <w:r>
        <w:rPr>
          <w:rFonts w:hint="eastAsia" w:ascii="黑体" w:eastAsia="黑体"/>
          <w:color w:val="000000" w:themeColor="text1"/>
          <w:sz w:val="44"/>
          <w:szCs w:val="44"/>
          <w:lang w:eastAsia="zh-CN"/>
          <w14:textFill>
            <w14:solidFill>
              <w14:schemeClr w14:val="tx1"/>
            </w14:solidFill>
          </w14:textFill>
        </w:rPr>
        <w:t>研究</w:t>
      </w:r>
    </w:p>
    <w:p>
      <w:pPr>
        <w:widowControl/>
        <w:spacing w:before="480" w:after="2400" w:afterLines="1000"/>
        <w:ind w:firstLine="0" w:firstLineChars="0"/>
        <w:jc w:val="center"/>
        <w:rPr>
          <w:rFonts w:ascii="黑体" w:eastAsia="黑体"/>
          <w:color w:val="000000" w:themeColor="text1"/>
          <w:spacing w:val="-70"/>
          <w:sz w:val="72"/>
          <w14:textFill>
            <w14:solidFill>
              <w14:schemeClr w14:val="tx1"/>
            </w14:solidFill>
          </w14:textFill>
        </w:rPr>
      </w:pPr>
      <w:r>
        <w:rPr>
          <w:rFonts w:hint="eastAsia" w:ascii="黑体" w:eastAsia="黑体"/>
          <w:color w:val="000000" w:themeColor="text1"/>
          <w:spacing w:val="-70"/>
          <w:sz w:val="72"/>
          <w14:textFill>
            <w14:solidFill>
              <w14:schemeClr w14:val="tx1"/>
            </w14:solidFill>
          </w14:textFill>
        </w:rPr>
        <w:t>服 务 合 同</w:t>
      </w:r>
    </w:p>
    <w:p>
      <w:pPr>
        <w:widowControl/>
        <w:spacing w:before="480" w:after="2400" w:afterLines="1000"/>
        <w:ind w:left="1508" w:right="2325" w:firstLine="420"/>
        <w:jc w:val="center"/>
        <w:rPr>
          <w:rFonts w:ascii="黑体" w:eastAsia="黑体"/>
          <w:color w:val="000000" w:themeColor="text1"/>
          <w:spacing w:val="-70"/>
          <w:szCs w:val="28"/>
          <w14:textFill>
            <w14:solidFill>
              <w14:schemeClr w14:val="tx1"/>
            </w14:solidFill>
          </w14:textFill>
        </w:rPr>
      </w:pPr>
    </w:p>
    <w:tbl>
      <w:tblPr>
        <w:tblStyle w:val="27"/>
        <w:tblW w:w="8075" w:type="dxa"/>
        <w:jc w:val="center"/>
        <w:tblLayout w:type="fixed"/>
        <w:tblCellMar>
          <w:top w:w="0" w:type="dxa"/>
          <w:left w:w="0" w:type="dxa"/>
          <w:bottom w:w="0" w:type="dxa"/>
          <w:right w:w="0" w:type="dxa"/>
        </w:tblCellMar>
      </w:tblPr>
      <w:tblGrid>
        <w:gridCol w:w="2778"/>
        <w:gridCol w:w="5297"/>
      </w:tblGrid>
      <w:tr>
        <w:tblPrEx>
          <w:tblCellMar>
            <w:top w:w="0" w:type="dxa"/>
            <w:left w:w="0" w:type="dxa"/>
            <w:bottom w:w="0" w:type="dxa"/>
            <w:right w:w="0" w:type="dxa"/>
          </w:tblCellMar>
        </w:tblPrEx>
        <w:trPr>
          <w:trHeight w:val="657" w:hRule="atLeast"/>
          <w:jc w:val="center"/>
        </w:trPr>
        <w:tc>
          <w:tcPr>
            <w:tcW w:w="2778" w:type="dxa"/>
            <w:vAlign w:val="center"/>
          </w:tcPr>
          <w:p>
            <w:pPr>
              <w:pStyle w:val="26"/>
              <w:widowControl/>
              <w:ind w:firstLine="562"/>
              <w:rPr>
                <w:b/>
                <w:color w:val="000000" w:themeColor="text1"/>
                <w14:textFill>
                  <w14:solidFill>
                    <w14:schemeClr w14:val="tx1"/>
                  </w14:solidFill>
                </w14:textFill>
              </w:rPr>
            </w:pPr>
            <w:r>
              <w:rPr>
                <w:b/>
                <w:color w:val="000000" w:themeColor="text1"/>
                <w14:textFill>
                  <w14:solidFill>
                    <w14:schemeClr w14:val="tx1"/>
                  </w14:solidFill>
                </w14:textFill>
              </w:rPr>
              <w:t>甲方（委托方</w:t>
            </w:r>
            <w:r>
              <w:rPr>
                <w:b/>
                <w:color w:val="000000" w:themeColor="text1"/>
                <w:spacing w:val="-142"/>
                <w14:textFill>
                  <w14:solidFill>
                    <w14:schemeClr w14:val="tx1"/>
                  </w14:solidFill>
                </w14:textFill>
              </w:rPr>
              <w:t>）：</w:t>
            </w:r>
          </w:p>
        </w:tc>
        <w:tc>
          <w:tcPr>
            <w:tcW w:w="5297" w:type="dxa"/>
            <w:vAlign w:val="center"/>
          </w:tcPr>
          <w:p>
            <w:pPr>
              <w:pStyle w:val="26"/>
              <w:widowControl/>
              <w:tabs>
                <w:tab w:val="left" w:pos="904"/>
                <w:tab w:val="left" w:pos="1492"/>
                <w:tab w:val="left" w:pos="2080"/>
                <w:tab w:val="left" w:pos="2666"/>
                <w:tab w:val="left" w:pos="3254"/>
                <w:tab w:val="left" w:pos="3842"/>
                <w:tab w:val="left" w:pos="4430"/>
                <w:tab w:val="left" w:pos="5015"/>
              </w:tabs>
              <w:ind w:firstLine="211" w:firstLineChars="100"/>
              <w:rPr>
                <w:b/>
                <w:color w:val="000000" w:themeColor="text1"/>
                <w14:textFill>
                  <w14:solidFill>
                    <w14:schemeClr w14:val="tx1"/>
                  </w14:solidFill>
                </w14:textFill>
              </w:rPr>
            </w:pPr>
            <w:r>
              <w:rPr>
                <w:rFonts w:hint="eastAsia"/>
                <w:b/>
                <w:color w:val="000000" w:themeColor="text1"/>
                <w:u w:val="single"/>
                <w14:textFill>
                  <w14:solidFill>
                    <w14:schemeClr w14:val="tx1"/>
                  </w14:solidFill>
                </w14:textFill>
              </w:rPr>
              <w:t>福建省连城农民创业园管理委员会</w:t>
            </w:r>
          </w:p>
        </w:tc>
      </w:tr>
      <w:tr>
        <w:tblPrEx>
          <w:tblCellMar>
            <w:top w:w="0" w:type="dxa"/>
            <w:left w:w="0" w:type="dxa"/>
            <w:bottom w:w="0" w:type="dxa"/>
            <w:right w:w="0" w:type="dxa"/>
          </w:tblCellMar>
        </w:tblPrEx>
        <w:trPr>
          <w:trHeight w:val="679" w:hRule="atLeast"/>
          <w:jc w:val="center"/>
        </w:trPr>
        <w:tc>
          <w:tcPr>
            <w:tcW w:w="2778" w:type="dxa"/>
            <w:vAlign w:val="center"/>
          </w:tcPr>
          <w:p>
            <w:pPr>
              <w:pStyle w:val="26"/>
              <w:widowControl/>
              <w:ind w:firstLine="553"/>
              <w:rPr>
                <w:b/>
                <w:color w:val="000000" w:themeColor="text1"/>
                <w14:textFill>
                  <w14:solidFill>
                    <w14:schemeClr w14:val="tx1"/>
                  </w14:solidFill>
                </w14:textFill>
              </w:rPr>
            </w:pPr>
            <w:r>
              <w:rPr>
                <w:b/>
                <w:color w:val="000000" w:themeColor="text1"/>
                <w:w w:val="99"/>
                <w14:textFill>
                  <w14:solidFill>
                    <w14:schemeClr w14:val="tx1"/>
                  </w14:solidFill>
                </w14:textFill>
              </w:rPr>
              <w:t>乙方</w:t>
            </w:r>
            <w:r>
              <w:rPr>
                <w:b/>
                <w:color w:val="000000" w:themeColor="text1"/>
                <w:spacing w:val="2"/>
                <w:w w:val="99"/>
                <w14:textFill>
                  <w14:solidFill>
                    <w14:schemeClr w14:val="tx1"/>
                  </w14:solidFill>
                </w14:textFill>
              </w:rPr>
              <w:t>（</w:t>
            </w:r>
            <w:r>
              <w:rPr>
                <w:b/>
                <w:color w:val="000000" w:themeColor="text1"/>
                <w:w w:val="99"/>
                <w14:textFill>
                  <w14:solidFill>
                    <w14:schemeClr w14:val="tx1"/>
                  </w14:solidFill>
                </w14:textFill>
              </w:rPr>
              <w:t>受托方</w:t>
            </w:r>
            <w:r>
              <w:rPr>
                <w:b/>
                <w:color w:val="000000" w:themeColor="text1"/>
                <w:spacing w:val="-142"/>
                <w:w w:val="99"/>
                <w14:textFill>
                  <w14:solidFill>
                    <w14:schemeClr w14:val="tx1"/>
                  </w14:solidFill>
                </w14:textFill>
              </w:rPr>
              <w:t>）</w:t>
            </w:r>
            <w:r>
              <w:rPr>
                <w:b/>
                <w:color w:val="000000" w:themeColor="text1"/>
                <w:w w:val="99"/>
                <w14:textFill>
                  <w14:solidFill>
                    <w14:schemeClr w14:val="tx1"/>
                  </w14:solidFill>
                </w14:textFill>
              </w:rPr>
              <w:t>：</w:t>
            </w:r>
          </w:p>
        </w:tc>
        <w:tc>
          <w:tcPr>
            <w:tcW w:w="5297" w:type="dxa"/>
            <w:vAlign w:val="center"/>
          </w:tcPr>
          <w:p>
            <w:pPr>
              <w:pStyle w:val="26"/>
              <w:widowControl/>
              <w:ind w:firstLine="0" w:firstLineChars="0"/>
              <w:jc w:val="both"/>
              <w:rPr>
                <w:rFonts w:hint="eastAsia" w:eastAsia="宋体"/>
                <w:b/>
                <w:color w:val="000000" w:themeColor="text1"/>
                <w:lang w:eastAsia="zh-CN"/>
                <w14:textFill>
                  <w14:solidFill>
                    <w14:schemeClr w14:val="tx1"/>
                  </w14:solidFill>
                </w14:textFill>
              </w:rPr>
            </w:pPr>
          </w:p>
        </w:tc>
      </w:tr>
    </w:tbl>
    <w:p>
      <w:pPr>
        <w:widowControl/>
        <w:spacing w:before="61"/>
        <w:ind w:left="1713" w:right="2224" w:firstLine="562"/>
        <w:jc w:val="center"/>
        <w:rPr>
          <w:b/>
          <w:color w:val="000000" w:themeColor="text1"/>
          <w14:textFill>
            <w14:solidFill>
              <w14:schemeClr w14:val="tx1"/>
            </w14:solidFill>
          </w14:textFill>
        </w:rPr>
      </w:pPr>
    </w:p>
    <w:p>
      <w:pPr>
        <w:widowControl/>
        <w:spacing w:before="61"/>
        <w:ind w:left="1713" w:right="2224" w:firstLine="562"/>
        <w:jc w:val="center"/>
        <w:rPr>
          <w:b/>
          <w:color w:val="000000" w:themeColor="text1"/>
          <w14:textFill>
            <w14:solidFill>
              <w14:schemeClr w14:val="tx1"/>
            </w14:solidFill>
          </w14:textFill>
        </w:rPr>
      </w:pPr>
      <w:r>
        <w:rPr>
          <w:b/>
          <w:color w:val="000000" w:themeColor="text1"/>
          <w14:textFill>
            <w14:solidFill>
              <w14:schemeClr w14:val="tx1"/>
            </w14:solidFill>
          </w14:textFill>
        </w:rPr>
        <w:t>二〇二</w:t>
      </w:r>
      <w:r>
        <w:rPr>
          <w:rFonts w:hint="eastAsia"/>
          <w:b/>
          <w:color w:val="000000" w:themeColor="text1"/>
          <w:lang w:val="en-US"/>
          <w14:textFill>
            <w14:solidFill>
              <w14:schemeClr w14:val="tx1"/>
            </w14:solidFill>
          </w14:textFill>
        </w:rPr>
        <w:t>五</w:t>
      </w:r>
      <w:r>
        <w:rPr>
          <w:b/>
          <w:color w:val="000000" w:themeColor="text1"/>
          <w14:textFill>
            <w14:solidFill>
              <w14:schemeClr w14:val="tx1"/>
            </w14:solidFill>
          </w14:textFill>
        </w:rPr>
        <w:t>年</w:t>
      </w:r>
      <w:r>
        <w:rPr>
          <w:rFonts w:hint="eastAsia"/>
          <w:b/>
          <w:color w:val="000000" w:themeColor="text1"/>
          <w:lang w:val="en-US" w:eastAsia="zh-CN"/>
          <w14:textFill>
            <w14:solidFill>
              <w14:schemeClr w14:val="tx1"/>
            </w14:solidFill>
          </w14:textFill>
        </w:rPr>
        <w:t xml:space="preserve">   </w:t>
      </w:r>
      <w:r>
        <w:rPr>
          <w:b/>
          <w:color w:val="000000" w:themeColor="text1"/>
          <w14:textFill>
            <w14:solidFill>
              <w14:schemeClr w14:val="tx1"/>
            </w14:solidFill>
          </w14:textFill>
        </w:rPr>
        <w:t>月</w:t>
      </w:r>
      <w:r>
        <w:rPr>
          <w:b/>
          <w:color w:val="000000" w:themeColor="text1"/>
          <w:w w:val="99"/>
          <w14:textFill>
            <w14:solidFill>
              <w14:schemeClr w14:val="tx1"/>
            </w14:solidFill>
          </w14:textFill>
        </w:rPr>
        <w:t xml:space="preserve"> </w:t>
      </w:r>
    </w:p>
    <w:p>
      <w:pPr>
        <w:widowControl/>
        <w:ind w:firstLine="560"/>
        <w:jc w:val="center"/>
        <w:rPr>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0" w:h="16850"/>
          <w:pgMar w:top="1134" w:right="1701" w:bottom="1134" w:left="1701" w:header="720" w:footer="720" w:gutter="0"/>
          <w:pgNumType w:fmt="decimal"/>
          <w:cols w:space="720" w:num="1"/>
        </w:sectPr>
      </w:pPr>
    </w:p>
    <w:p>
      <w:pPr>
        <w:keepNext w:val="0"/>
        <w:keepLines w:val="0"/>
        <w:pageBreakBefore w:val="0"/>
        <w:kinsoku/>
        <w:wordWrap/>
        <w:overflowPunct/>
        <w:topLinePunct w:val="0"/>
        <w:autoSpaceDE/>
        <w:autoSpaceDN/>
        <w:bidi w:val="0"/>
        <w:spacing w:line="360" w:lineRule="auto"/>
        <w:ind w:left="0" w:right="0" w:rightChars="0" w:firstLine="480" w:firstLineChars="200"/>
        <w:rPr>
          <w:rFonts w:hint="eastAsia" w:asciiTheme="minorEastAsia" w:hAnsiTheme="minorEastAsia" w:eastAsiaTheme="minorEastAsia" w:cstheme="minorEastAsia"/>
          <w:color w:val="auto"/>
          <w:sz w:val="24"/>
          <w:szCs w:val="24"/>
        </w:rPr>
      </w:pPr>
      <w:bookmarkStart w:id="4" w:name="根据《中华人民共和国民法典》的有关规定，漳州蓝田经济开发区（以下简称甲方）与深企"/>
      <w:bookmarkEnd w:id="4"/>
      <w:r>
        <w:rPr>
          <w:rFonts w:hint="eastAsia" w:asciiTheme="minorEastAsia" w:hAnsiTheme="minorEastAsia" w:eastAsiaTheme="minorEastAsia" w:cstheme="minorEastAsia"/>
          <w:color w:val="auto"/>
          <w:sz w:val="24"/>
          <w:szCs w:val="24"/>
        </w:rPr>
        <w:t>按照《中华人民共和国民法典》的规定，福建省连城农民创业园管理委员会（以下简称甲方）与</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sz w:val="24"/>
          <w:szCs w:val="24"/>
        </w:rPr>
        <w:t>（以下简称乙方）就《</w:t>
      </w:r>
      <w:r>
        <w:rPr>
          <w:rFonts w:hint="eastAsia" w:asciiTheme="minorEastAsia" w:hAnsiTheme="minorEastAsia" w:eastAsiaTheme="minorEastAsia" w:cstheme="minorEastAsia"/>
          <w:color w:val="auto"/>
          <w:sz w:val="24"/>
          <w:szCs w:val="24"/>
          <w:lang w:eastAsia="zh-CN"/>
        </w:rPr>
        <w:t>连城县“十五五”地瓜产业发展规划与投资项目策划研究项目</w:t>
      </w:r>
      <w:r>
        <w:rPr>
          <w:rFonts w:hint="eastAsia" w:asciiTheme="minorEastAsia" w:hAnsiTheme="minorEastAsia" w:eastAsiaTheme="minorEastAsia" w:cstheme="minorEastAsia"/>
          <w:color w:val="auto"/>
          <w:sz w:val="24"/>
          <w:szCs w:val="24"/>
        </w:rPr>
        <w:t>》协商一致，签订本合同。</w:t>
      </w:r>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b/>
          <w:bCs/>
          <w:color w:val="auto"/>
          <w:kern w:val="2"/>
          <w:sz w:val="24"/>
          <w:szCs w:val="24"/>
          <w:lang w:val="en-US" w:eastAsia="zh-CN" w:bidi="ar-SA"/>
        </w:rPr>
      </w:pPr>
      <w:bookmarkStart w:id="5" w:name="第一条__委托项目概况"/>
      <w:bookmarkEnd w:id="5"/>
      <w:r>
        <w:rPr>
          <w:rFonts w:hint="eastAsia" w:asciiTheme="minorEastAsia" w:hAnsiTheme="minorEastAsia" w:eastAsiaTheme="minorEastAsia" w:cstheme="minorEastAsia"/>
          <w:b/>
          <w:bCs/>
          <w:color w:val="auto"/>
          <w:kern w:val="2"/>
          <w:sz w:val="24"/>
          <w:szCs w:val="24"/>
          <w:lang w:val="en-US" w:eastAsia="zh-CN" w:bidi="ar-SA"/>
        </w:rPr>
        <w:t>第一条 委托项目概况</w:t>
      </w:r>
    </w:p>
    <w:p>
      <w:pPr>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6" w:name="（一）项目名称：漳州蓝田经济开发区产业链招商策略项目"/>
      <w:bookmarkEnd w:id="6"/>
      <w:r>
        <w:rPr>
          <w:rFonts w:hint="eastAsia" w:asciiTheme="minorEastAsia" w:hAnsiTheme="minorEastAsia" w:eastAsiaTheme="minorEastAsia" w:cstheme="minorEastAsia"/>
          <w:color w:val="auto"/>
          <w:kern w:val="2"/>
          <w:sz w:val="24"/>
          <w:szCs w:val="24"/>
          <w:lang w:val="en-US" w:eastAsia="zh-CN" w:bidi="ar-SA"/>
        </w:rPr>
        <w:t>（一）项目名称：连城县“十五五”地瓜产业发展规划</w:t>
      </w:r>
    </w:p>
    <w:p>
      <w:pPr>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7" w:name="（二）服务内容：通过研究分析漳州蓝田经济开发区产业发展的优劣势，重点围绕电子制造"/>
      <w:bookmarkEnd w:id="7"/>
      <w:r>
        <w:rPr>
          <w:rFonts w:hint="eastAsia" w:asciiTheme="minorEastAsia" w:hAnsiTheme="minorEastAsia" w:eastAsiaTheme="minorEastAsia" w:cstheme="minorEastAsia"/>
          <w:color w:val="auto"/>
          <w:kern w:val="2"/>
          <w:sz w:val="24"/>
          <w:szCs w:val="24"/>
          <w:lang w:val="en-US" w:eastAsia="zh-CN" w:bidi="ar-SA"/>
        </w:rPr>
        <w:t>（二）服务内容：</w:t>
      </w:r>
    </w:p>
    <w:p>
      <w:pPr>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8" w:name="_Hlk206171622"/>
      <w:r>
        <w:rPr>
          <w:rFonts w:hint="eastAsia" w:asciiTheme="minorEastAsia" w:hAnsiTheme="minorEastAsia" w:eastAsiaTheme="minorEastAsia" w:cstheme="minorEastAsia"/>
          <w:color w:val="auto"/>
          <w:kern w:val="2"/>
          <w:sz w:val="24"/>
          <w:szCs w:val="24"/>
          <w:lang w:val="en-US" w:eastAsia="zh-CN" w:bidi="ar-SA"/>
        </w:rPr>
        <w:t>1.编制《连城县“十五五”地瓜产业发展规划》，重点内容包括：深入剖析连城县地瓜产业现状与宏观政策环境，科学研判外部发展机遇与挑战，进而明确“十五五”时期连城县地瓜产业发展的指导思想、基本原则、总体目标、重点任务以及重大工程，并最终制定确保规划落地实施的各项保障措施，为连城县地瓜产业未来五年的高质量发展提供全面、科学的行动纲领。</w:t>
      </w:r>
    </w:p>
    <w:p>
      <w:pPr>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连城县“十五五”地瓜产业投资项目策划研究：在全面梳理连城县地瓜产业以往项目申报情况的基础上，基于中央预算内资金、地方政府专项债、特别国债资金以及福建省专项资金重点支持领域和投向的研究，结合连城县“十五五”地瓜产业发展主要任务，策划“十五五”重点实施项目；按照县发改部门每年对采购人的投资项目入库数量及时间等要求，连续5年编制项目可研（预可研）报告。</w:t>
      </w:r>
    </w:p>
    <w:bookmarkEnd w:id="8"/>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default" w:asciiTheme="minorEastAsia" w:hAnsiTheme="minorEastAsia" w:eastAsiaTheme="minorEastAsia" w:cstheme="minorEastAsia"/>
          <w:b/>
          <w:bCs/>
          <w:color w:val="auto"/>
          <w:kern w:val="2"/>
          <w:sz w:val="24"/>
          <w:szCs w:val="24"/>
          <w:lang w:val="en-US" w:eastAsia="zh-CN" w:bidi="ar-SA"/>
        </w:rPr>
      </w:pPr>
      <w:bookmarkStart w:id="9" w:name="第二条__工作进度安排及工作推进约定"/>
      <w:bookmarkEnd w:id="9"/>
      <w:r>
        <w:rPr>
          <w:rFonts w:hint="eastAsia" w:asciiTheme="minorEastAsia" w:hAnsiTheme="minorEastAsia" w:eastAsiaTheme="minorEastAsia" w:cstheme="minorEastAsia"/>
          <w:b/>
          <w:bCs/>
          <w:color w:val="auto"/>
          <w:kern w:val="2"/>
          <w:sz w:val="24"/>
          <w:szCs w:val="24"/>
          <w:lang w:val="en-US" w:eastAsia="zh-CN" w:bidi="ar-SA"/>
        </w:rPr>
        <w:t>第二条 工期要求</w:t>
      </w:r>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color w:val="auto"/>
          <w:kern w:val="2"/>
          <w:sz w:val="24"/>
          <w:szCs w:val="24"/>
          <w:lang w:val="en-US" w:eastAsia="zh-CN" w:bidi="ar-SA"/>
        </w:rPr>
      </w:pPr>
      <w:bookmarkStart w:id="10" w:name="第三条__合同金额与付款方式"/>
      <w:bookmarkEnd w:id="10"/>
      <w:r>
        <w:rPr>
          <w:rFonts w:hint="eastAsia" w:asciiTheme="minorEastAsia" w:hAnsiTheme="minorEastAsia" w:eastAsiaTheme="minorEastAsia" w:cstheme="minorEastAsia"/>
          <w:color w:val="auto"/>
          <w:kern w:val="2"/>
          <w:sz w:val="24"/>
          <w:szCs w:val="24"/>
          <w:lang w:val="en-US" w:eastAsia="zh-CN" w:bidi="ar-SA"/>
        </w:rPr>
        <w:t>《连城县“十五五”地瓜产业发展规划》合同签订后12个月内完成；《连城县“十五五”地瓜产业投资项目策划》合同签订后5年内完成，供应商每年收到采购人书面通知后，需在20个工作日内完成当年需要的项目策划成果。</w:t>
      </w:r>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第三条 合同金额与付款方式</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11" w:name="（一）合同金额"/>
      <w:bookmarkEnd w:id="11"/>
      <w:r>
        <w:rPr>
          <w:rFonts w:hint="eastAsia" w:asciiTheme="minorEastAsia" w:hAnsiTheme="minorEastAsia" w:eastAsiaTheme="minorEastAsia" w:cstheme="minorEastAsia"/>
          <w:color w:val="auto"/>
          <w:kern w:val="2"/>
          <w:sz w:val="24"/>
          <w:szCs w:val="24"/>
          <w:lang w:val="en-US" w:eastAsia="zh-CN" w:bidi="ar-SA"/>
        </w:rPr>
        <w:t>（一）合同总金额</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大写：人民币</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元整</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小写：￥</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元</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前述金额含乙方履行合同过程中产生的差旅费、食宿费等一切费用</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highlight w:val="none"/>
          <w:lang w:val="en-US" w:eastAsia="zh-CN" w:bidi="ar-SA"/>
        </w:rPr>
      </w:pPr>
      <w:bookmarkStart w:id="12" w:name="（二）付款方式"/>
      <w:bookmarkEnd w:id="12"/>
      <w:r>
        <w:rPr>
          <w:rFonts w:hint="eastAsia" w:asciiTheme="minorEastAsia" w:hAnsiTheme="minorEastAsia" w:eastAsiaTheme="minorEastAsia" w:cstheme="minorEastAsia"/>
          <w:color w:val="auto"/>
          <w:kern w:val="2"/>
          <w:sz w:val="24"/>
          <w:szCs w:val="24"/>
          <w:highlight w:val="none"/>
          <w:lang w:val="en-US" w:eastAsia="zh-CN" w:bidi="ar-SA"/>
        </w:rPr>
        <w:t>（二）付款方式</w:t>
      </w:r>
    </w:p>
    <w:p>
      <w:pPr>
        <w:pStyle w:val="7"/>
        <w:keepNext w:val="0"/>
        <w:keepLines w:val="0"/>
        <w:pageBreakBefore w:val="0"/>
        <w:kinsoku/>
        <w:wordWrap/>
        <w:overflowPunct/>
        <w:topLinePunct w:val="0"/>
        <w:autoSpaceDE/>
        <w:autoSpaceDN/>
        <w:bidi w:val="0"/>
        <w:spacing w:line="360" w:lineRule="auto"/>
        <w:ind w:left="0" w:right="0" w:rightChars="0" w:firstLine="556"/>
        <w:rPr>
          <w:rFonts w:hint="eastAsia" w:asciiTheme="minorEastAsia" w:hAnsiTheme="minorEastAsia" w:eastAsiaTheme="minorEastAsia" w:cstheme="minorEastAsia"/>
          <w:color w:val="auto"/>
          <w:kern w:val="2"/>
          <w:sz w:val="24"/>
          <w:szCs w:val="24"/>
          <w:lang w:val="en-US" w:eastAsia="zh-CN" w:bidi="ar-SA"/>
        </w:rPr>
      </w:pPr>
      <w:bookmarkStart w:id="13" w:name="本合同服务费采用分期方式支付，乙方需向甲方开具符合税务规定的增值税发票。"/>
      <w:bookmarkEnd w:id="13"/>
      <w:r>
        <w:rPr>
          <w:rFonts w:hint="eastAsia" w:asciiTheme="minorEastAsia" w:hAnsiTheme="minorEastAsia" w:eastAsiaTheme="minorEastAsia" w:cstheme="minorEastAsia"/>
          <w:color w:val="auto"/>
          <w:kern w:val="2"/>
          <w:sz w:val="24"/>
          <w:szCs w:val="24"/>
          <w:lang w:val="en-US" w:eastAsia="zh-CN" w:bidi="ar-SA"/>
        </w:rPr>
        <w:t>本合同服务费采用分期方式支付，乙方需向甲方开具符合税务规定的增值税发票。</w:t>
      </w:r>
    </w:p>
    <w:p>
      <w:pPr>
        <w:pStyle w:val="7"/>
        <w:keepNext w:val="0"/>
        <w:keepLines w:val="0"/>
        <w:pageBreakBefore w:val="0"/>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1.本合同正式签订后，乙方提供合格发票之日起10个工作日内支付合同总金额35%，甲方向乙方支付人民币（大写）</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元整 （小写：￥</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w:t>
      </w:r>
    </w:p>
    <w:p>
      <w:pPr>
        <w:pStyle w:val="7"/>
        <w:keepNext w:val="0"/>
        <w:keepLines w:val="0"/>
        <w:pageBreakBefore w:val="0"/>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14" w:name="2、乙方提交项目初稿后，甲方在7个工作日内支付合同金额的40%，即人民币（大写）"/>
      <w:bookmarkEnd w:id="14"/>
      <w:r>
        <w:rPr>
          <w:rFonts w:hint="eastAsia" w:asciiTheme="minorEastAsia" w:hAnsiTheme="minorEastAsia" w:eastAsiaTheme="minorEastAsia" w:cstheme="minorEastAsia"/>
          <w:color w:val="auto"/>
          <w:kern w:val="2"/>
          <w:sz w:val="24"/>
          <w:szCs w:val="24"/>
          <w:lang w:val="en-US" w:eastAsia="zh-CN" w:bidi="ar-SA"/>
        </w:rPr>
        <w:t>2.《连城县“十五五”地瓜产业发展规划》成果通过评审后，乙方提供合格发票之日起10个工作日内支付合同总金额15%，甲方向乙方支付人民币（大写）</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元整 （小写：￥</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w:t>
      </w:r>
    </w:p>
    <w:p>
      <w:pPr>
        <w:keepNext w:val="0"/>
        <w:keepLines w:val="0"/>
        <w:pageBreakBefore w:val="0"/>
        <w:kinsoku/>
        <w:wordWrap/>
        <w:overflowPunct/>
        <w:topLinePunct w:val="0"/>
        <w:autoSpaceDE/>
        <w:autoSpaceDN/>
        <w:bidi w:val="0"/>
        <w:spacing w:line="360" w:lineRule="auto"/>
        <w:ind w:left="0" w:right="0" w:rightChars="0" w:firstLine="560"/>
        <w:rPr>
          <w:rFonts w:hint="default" w:asciiTheme="minorEastAsia" w:hAnsiTheme="minorEastAsia" w:eastAsiaTheme="minorEastAsia" w:cstheme="minorEastAsia"/>
          <w:color w:val="auto"/>
          <w:kern w:val="2"/>
          <w:sz w:val="24"/>
          <w:szCs w:val="24"/>
          <w:lang w:val="en-US" w:eastAsia="zh-CN" w:bidi="ar-SA"/>
        </w:rPr>
      </w:pPr>
      <w:bookmarkStart w:id="15" w:name="auto_fouce_8"/>
      <w:r>
        <w:rPr>
          <w:rFonts w:hint="eastAsia" w:asciiTheme="minorEastAsia" w:hAnsiTheme="minorEastAsia" w:eastAsiaTheme="minorEastAsia" w:cstheme="minorEastAsia"/>
          <w:color w:val="auto"/>
          <w:kern w:val="2"/>
          <w:sz w:val="24"/>
          <w:szCs w:val="24"/>
          <w:lang w:val="en-US" w:eastAsia="zh-CN" w:bidi="ar-SA"/>
        </w:rPr>
        <w:t>3.《连城县“十五五”地瓜产业投资项目策划研究》自2026年至2030年连续5年，乙方每年完成发改入库项目可行性研究报告且通过甲方书面确认后，乙方提供合格发票之日起10个工作日内支付合同总金额10%，甲方向乙方支付人民币（大写）</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元整（小写：￥</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w:t>
      </w:r>
      <w:bookmarkEnd w:id="15"/>
      <w:bookmarkStart w:id="16" w:name="3、乙方提交项目终稿后，甲方在10个工作日内支付合同金额剩余的10%，即人民币（"/>
      <w:bookmarkEnd w:id="16"/>
      <w:bookmarkStart w:id="17" w:name="（三）乙方账户"/>
      <w:bookmarkEnd w:id="17"/>
      <w:r>
        <w:rPr>
          <w:rFonts w:hint="eastAsia" w:asciiTheme="minorEastAsia" w:hAnsiTheme="minorEastAsia" w:eastAsiaTheme="minorEastAsia" w:cstheme="minorEastAsia"/>
          <w:color w:val="auto"/>
          <w:kern w:val="2"/>
          <w:sz w:val="24"/>
          <w:szCs w:val="24"/>
          <w:lang w:val="en-US" w:eastAsia="zh-CN" w:bidi="ar-SA"/>
        </w:rPr>
        <w:t>5年共支付50%，（大写）</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元整（小写：￥</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.00）。</w:t>
      </w:r>
    </w:p>
    <w:p>
      <w:pPr>
        <w:keepNext w:val="0"/>
        <w:keepLines w:val="0"/>
        <w:pageBreakBefore w:val="0"/>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（三）乙方账户 </w:t>
      </w:r>
      <w:bookmarkStart w:id="18" w:name="开_户_名：深企投产业发展（深圳）股份有限公司"/>
      <w:bookmarkEnd w:id="18"/>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开 户 名：</w:t>
      </w:r>
      <w:bookmarkStart w:id="19" w:name="开户银行：招商银行股份有限公司深圳安联支行"/>
      <w:bookmarkEnd w:id="19"/>
      <w:r>
        <w:rPr>
          <w:rFonts w:hint="eastAsia" w:asciiTheme="minorEastAsia" w:hAnsiTheme="minorEastAsia" w:eastAsiaTheme="minorEastAsia" w:cstheme="minorEastAsia"/>
          <w:color w:val="auto"/>
          <w:kern w:val="2"/>
          <w:sz w:val="24"/>
          <w:szCs w:val="24"/>
          <w:u w:val="single"/>
          <w:lang w:val="en-US" w:eastAsia="zh-CN" w:bidi="ar-SA"/>
        </w:rPr>
        <w:t xml:space="preserve">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开户银行：</w:t>
      </w:r>
      <w:r>
        <w:rPr>
          <w:rFonts w:hint="eastAsia" w:asciiTheme="minorEastAsia" w:hAnsiTheme="minorEastAsia" w:eastAsiaTheme="minorEastAsia" w:cstheme="minorEastAsia"/>
          <w:color w:val="auto"/>
          <w:kern w:val="2"/>
          <w:sz w:val="24"/>
          <w:szCs w:val="24"/>
          <w:u w:val="single"/>
          <w:lang w:val="en-US" w:eastAsia="zh-CN" w:bidi="ar-SA"/>
        </w:rPr>
        <w:t xml:space="preserve">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银行帐号：</w:t>
      </w:r>
      <w:r>
        <w:rPr>
          <w:rFonts w:hint="eastAsia" w:asciiTheme="minorEastAsia" w:hAnsiTheme="minorEastAsia" w:eastAsiaTheme="minorEastAsia" w:cstheme="minorEastAsia"/>
          <w:color w:val="auto"/>
          <w:kern w:val="2"/>
          <w:sz w:val="24"/>
          <w:szCs w:val="24"/>
          <w:u w:val="single"/>
          <w:lang w:val="en-US" w:eastAsia="zh-CN" w:bidi="ar-SA"/>
        </w:rPr>
        <w:t xml:space="preserve">       </w:t>
      </w:r>
      <w:r>
        <w:rPr>
          <w:rFonts w:hint="eastAsia" w:asciiTheme="minorEastAsia" w:hAnsiTheme="minorEastAsia" w:eastAsiaTheme="minorEastAsia" w:cstheme="minorEastAsia"/>
          <w:color w:val="auto"/>
          <w:kern w:val="2"/>
          <w:sz w:val="24"/>
          <w:szCs w:val="24"/>
          <w:lang w:val="en-US" w:eastAsia="zh-CN" w:bidi="ar-SA"/>
        </w:rPr>
        <w:t xml:space="preserve"> </w:t>
      </w:r>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b/>
          <w:bCs/>
          <w:color w:val="auto"/>
          <w:kern w:val="2"/>
          <w:sz w:val="24"/>
          <w:szCs w:val="24"/>
          <w:lang w:val="en-US" w:eastAsia="zh-CN" w:bidi="ar-SA"/>
        </w:rPr>
      </w:pPr>
      <w:bookmarkStart w:id="20" w:name="第四条__双方权利和义务"/>
      <w:bookmarkEnd w:id="20"/>
      <w:r>
        <w:rPr>
          <w:rFonts w:hint="eastAsia" w:asciiTheme="minorEastAsia" w:hAnsiTheme="minorEastAsia" w:eastAsiaTheme="minorEastAsia" w:cstheme="minorEastAsia"/>
          <w:b/>
          <w:bCs/>
          <w:color w:val="auto"/>
          <w:kern w:val="2"/>
          <w:sz w:val="24"/>
          <w:szCs w:val="24"/>
          <w:lang w:val="en-US" w:eastAsia="zh-CN" w:bidi="ar-SA"/>
        </w:rPr>
        <w:t>第四条 双方权利和义务</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21" w:name="（一）甲方权利和义务"/>
      <w:bookmarkEnd w:id="21"/>
      <w:r>
        <w:rPr>
          <w:rFonts w:hint="eastAsia" w:asciiTheme="minorEastAsia" w:hAnsiTheme="minorEastAsia" w:eastAsiaTheme="minorEastAsia" w:cstheme="minorEastAsia"/>
          <w:color w:val="auto"/>
          <w:kern w:val="2"/>
          <w:sz w:val="24"/>
          <w:szCs w:val="24"/>
          <w:lang w:val="en-US" w:eastAsia="zh-CN" w:bidi="ar-SA"/>
        </w:rPr>
        <w:t xml:space="preserve">（一）甲方权利和义务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22" w:name="1、甲方应在合同约定的时间内提供本项目所需要的基础数据和资料，并协助乙方收集其他"/>
      <w:bookmarkEnd w:id="22"/>
      <w:r>
        <w:rPr>
          <w:rFonts w:hint="eastAsia" w:asciiTheme="minorEastAsia" w:hAnsiTheme="minorEastAsia" w:eastAsiaTheme="minorEastAsia" w:cstheme="minorEastAsia"/>
          <w:color w:val="auto"/>
          <w:kern w:val="2"/>
          <w:sz w:val="24"/>
          <w:szCs w:val="24"/>
          <w:lang w:val="en-US" w:eastAsia="zh-CN" w:bidi="ar-SA"/>
        </w:rPr>
        <w:t>1</w:t>
      </w:r>
      <w:bookmarkStart w:id="23" w:name="auto_fouce_9"/>
      <w:r>
        <w:rPr>
          <w:rFonts w:hint="eastAsia" w:asciiTheme="minorEastAsia" w:hAnsiTheme="minorEastAsia" w:eastAsiaTheme="minorEastAsia" w:cstheme="minorEastAsia"/>
          <w:color w:val="auto"/>
          <w:kern w:val="2"/>
          <w:sz w:val="24"/>
          <w:szCs w:val="24"/>
          <w:lang w:val="en-US" w:eastAsia="zh-CN" w:bidi="ar-SA"/>
        </w:rPr>
        <w:t>.甲方应在合同约定的时间内提供本项目所需要的基础数据和资料，并协助乙方收集其他有关资料。甲方提供的资料存在瑕疵或迟延提交的，乙方应于收到资料后2个工作日内书面提出异议，否则视为认可资料完整性。</w:t>
      </w:r>
      <w:bookmarkEnd w:id="23"/>
      <w:r>
        <w:rPr>
          <w:rFonts w:hint="eastAsia" w:asciiTheme="minorEastAsia" w:hAnsiTheme="minorEastAsia" w:eastAsiaTheme="minorEastAsia" w:cstheme="minorEastAsia"/>
          <w:color w:val="auto"/>
          <w:kern w:val="2"/>
          <w:sz w:val="24"/>
          <w:szCs w:val="24"/>
          <w:lang w:val="en-US" w:eastAsia="zh-CN" w:bidi="ar-SA"/>
        </w:rPr>
        <w:t xml:space="preserve">在合同期内，甲方进行与本项目有关的讨论、会议等汇总后的所有信息资料，应及时提供给乙方。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24" w:name="2、甲方应协助配合乙方开展实地调研工作，妥善安排好相关项目调研对象的衔接、调研事"/>
      <w:bookmarkEnd w:id="24"/>
      <w:r>
        <w:rPr>
          <w:rFonts w:hint="eastAsia" w:asciiTheme="minorEastAsia" w:hAnsiTheme="minorEastAsia" w:eastAsiaTheme="minorEastAsia" w:cstheme="minorEastAsia"/>
          <w:color w:val="auto"/>
          <w:kern w:val="2"/>
          <w:sz w:val="24"/>
          <w:szCs w:val="24"/>
          <w:lang w:val="en-US" w:eastAsia="zh-CN" w:bidi="ar-SA"/>
        </w:rPr>
        <w:t>2</w:t>
      </w:r>
      <w:bookmarkStart w:id="25" w:name="auto_fouce_10"/>
      <w:r>
        <w:rPr>
          <w:rFonts w:hint="eastAsia" w:asciiTheme="minorEastAsia" w:hAnsiTheme="minorEastAsia" w:eastAsiaTheme="minorEastAsia" w:cstheme="minorEastAsia"/>
          <w:color w:val="auto"/>
          <w:kern w:val="2"/>
          <w:sz w:val="24"/>
          <w:szCs w:val="24"/>
          <w:lang w:val="en-US" w:eastAsia="zh-CN" w:bidi="ar-SA"/>
        </w:rPr>
        <w:t>.甲方有权主导项目实施过程，包括资料提供、调研安排、成果修改、评审组织等，乙方须无条件配合。甲方合理要求乙方修改、补充、完善成果，乙方不得因此要求额外费用。</w:t>
      </w:r>
      <w:bookmarkEnd w:id="25"/>
      <w:r>
        <w:rPr>
          <w:rFonts w:hint="eastAsia" w:asciiTheme="minorEastAsia" w:hAnsiTheme="minorEastAsia" w:eastAsiaTheme="minorEastAsia" w:cstheme="minorEastAsia"/>
          <w:color w:val="auto"/>
          <w:kern w:val="2"/>
          <w:sz w:val="24"/>
          <w:szCs w:val="24"/>
          <w:lang w:val="en-US" w:eastAsia="zh-CN" w:bidi="ar-SA"/>
        </w:rPr>
        <w:t xml:space="preserve">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26" w:name="3、甲方对乙方所提交的阶段性成果，及时提出意见和建议，并在相应阶段组织项目的评审"/>
      <w:bookmarkEnd w:id="26"/>
      <w:r>
        <w:rPr>
          <w:rFonts w:hint="eastAsia" w:asciiTheme="minorEastAsia" w:hAnsiTheme="minorEastAsia" w:eastAsiaTheme="minorEastAsia" w:cstheme="minorEastAsia"/>
          <w:color w:val="auto"/>
          <w:kern w:val="2"/>
          <w:sz w:val="24"/>
          <w:szCs w:val="24"/>
          <w:lang w:val="en-US" w:eastAsia="zh-CN" w:bidi="ar-SA"/>
        </w:rPr>
        <w:t xml:space="preserve">3.甲方对乙方所提交的阶段性成果，及时提出意见和建议，并在相应阶段组织项目的评审验收。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27" w:name="4、甲方对乙方提供的信息、资料和文件承担保密责任及义务，未经乙方书面批准，不得向"/>
      <w:bookmarkEnd w:id="27"/>
      <w:bookmarkStart w:id="28" w:name="5、甲方按照约定及时向乙方支付本合同费用。"/>
      <w:bookmarkEnd w:id="28"/>
      <w:r>
        <w:rPr>
          <w:rFonts w:hint="eastAsia" w:asciiTheme="minorEastAsia" w:hAnsiTheme="minorEastAsia" w:eastAsiaTheme="minorEastAsia" w:cstheme="minorEastAsia"/>
          <w:color w:val="auto"/>
          <w:kern w:val="2"/>
          <w:sz w:val="24"/>
          <w:szCs w:val="24"/>
          <w:lang w:val="en-US" w:eastAsia="zh-CN" w:bidi="ar-SA"/>
        </w:rPr>
        <w:t xml:space="preserve">4.甲方按照约定及时向乙方支付本合同费用。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29" w:name="（二）乙方权利和义务"/>
      <w:bookmarkEnd w:id="29"/>
      <w:r>
        <w:rPr>
          <w:rFonts w:hint="eastAsia" w:asciiTheme="minorEastAsia" w:hAnsiTheme="minorEastAsia" w:eastAsiaTheme="minorEastAsia" w:cstheme="minorEastAsia"/>
          <w:color w:val="auto"/>
          <w:kern w:val="2"/>
          <w:sz w:val="24"/>
          <w:szCs w:val="24"/>
          <w:lang w:val="en-US" w:eastAsia="zh-CN" w:bidi="ar-SA"/>
        </w:rPr>
        <w:t xml:space="preserve">（二）乙方权利和义务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30" w:name="1、乙方应在合同约定的时间内完成项目，确保项目成果达到合同规定的要求。"/>
      <w:bookmarkEnd w:id="30"/>
      <w:r>
        <w:rPr>
          <w:rFonts w:hint="eastAsia" w:asciiTheme="minorEastAsia" w:hAnsiTheme="minorEastAsia" w:eastAsiaTheme="minorEastAsia" w:cstheme="minorEastAsia"/>
          <w:color w:val="auto"/>
          <w:kern w:val="2"/>
          <w:sz w:val="24"/>
          <w:szCs w:val="24"/>
          <w:lang w:val="en-US" w:eastAsia="zh-CN" w:bidi="ar-SA"/>
        </w:rPr>
        <w:t xml:space="preserve">1.乙方应在合同约定的时间内完成项目，确保项目成果达到合同规定的要求。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31" w:name="2、乙方应按照甲方提出的合理需求和意见，及时对项目成果进行修改、完善。"/>
      <w:bookmarkEnd w:id="31"/>
      <w:bookmarkStart w:id="32" w:name="auto_fouce_13"/>
      <w:r>
        <w:rPr>
          <w:rFonts w:hint="eastAsia" w:asciiTheme="minorEastAsia" w:hAnsiTheme="minorEastAsia" w:eastAsiaTheme="minorEastAsia" w:cstheme="minorEastAsia"/>
          <w:color w:val="auto"/>
          <w:kern w:val="2"/>
          <w:sz w:val="24"/>
          <w:szCs w:val="24"/>
          <w:lang w:val="en-US" w:eastAsia="zh-CN" w:bidi="ar-SA"/>
        </w:rPr>
        <w:t>2.乙方应按照甲方提出的合理需求和意见，及时对项目成果进行修改、完善。如乙方成果未通过甲方验收，甲方有权要求乙方限期整改，整改期间不影响甲方付款进度的顺延。</w:t>
      </w:r>
      <w:bookmarkEnd w:id="32"/>
      <w:r>
        <w:rPr>
          <w:rFonts w:hint="eastAsia" w:asciiTheme="minorEastAsia" w:hAnsiTheme="minorEastAsia" w:eastAsiaTheme="minorEastAsia" w:cstheme="minorEastAsia"/>
          <w:color w:val="auto"/>
          <w:kern w:val="2"/>
          <w:sz w:val="24"/>
          <w:szCs w:val="24"/>
          <w:lang w:val="en-US" w:eastAsia="zh-CN" w:bidi="ar-SA"/>
        </w:rPr>
        <w:t xml:space="preserve"> </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33" w:name="3、乙方应按合同约定向甲方交付电子版项目成果。若甲方要求另外增加纸质版项目成果，"/>
      <w:bookmarkEnd w:id="33"/>
      <w:bookmarkStart w:id="34" w:name="4、乙方对甲方提供的信息、资料和文件承担保密责任及义务，未经甲方书面批准，不得向"/>
      <w:bookmarkEnd w:id="34"/>
      <w:bookmarkStart w:id="35" w:name="auto_fouce_14"/>
      <w:r>
        <w:rPr>
          <w:rFonts w:hint="eastAsia" w:asciiTheme="minorEastAsia" w:hAnsiTheme="minorEastAsia" w:eastAsiaTheme="minorEastAsia" w:cstheme="minorEastAsia"/>
          <w:color w:val="auto"/>
          <w:kern w:val="2"/>
          <w:sz w:val="24"/>
          <w:szCs w:val="24"/>
          <w:lang w:val="en-US" w:eastAsia="zh-CN" w:bidi="ar-SA"/>
        </w:rPr>
        <w:t>3.乙方对甲方提供的信息、资料和文件承担永久性保密责任及义务，未经甲方书面批准，不得向任何与本项目无关的第三方披露项目信息和甲方未公开披露的信息。</w:t>
      </w:r>
      <w:bookmarkEnd w:id="35"/>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36" w:name="5、乙方提交的服务成果不得侵犯任何第三方包括知识产权在内的一切合法权利，否则，由"/>
      <w:bookmarkEnd w:id="36"/>
      <w:r>
        <w:rPr>
          <w:rFonts w:hint="eastAsia" w:asciiTheme="minorEastAsia" w:hAnsiTheme="minorEastAsia" w:eastAsiaTheme="minorEastAsia" w:cstheme="minorEastAsia"/>
          <w:color w:val="auto"/>
          <w:kern w:val="2"/>
          <w:sz w:val="24"/>
          <w:szCs w:val="24"/>
          <w:lang w:val="en-US" w:eastAsia="zh-CN" w:bidi="ar-SA"/>
        </w:rPr>
        <w:t>4</w:t>
      </w:r>
      <w:bookmarkStart w:id="37" w:name="auto_fouce_15"/>
      <w:r>
        <w:rPr>
          <w:rFonts w:hint="eastAsia" w:asciiTheme="minorEastAsia" w:hAnsiTheme="minorEastAsia" w:eastAsiaTheme="minorEastAsia" w:cstheme="minorEastAsia"/>
          <w:color w:val="auto"/>
          <w:kern w:val="2"/>
          <w:sz w:val="24"/>
          <w:szCs w:val="24"/>
          <w:lang w:val="en-US" w:eastAsia="zh-CN" w:bidi="ar-SA"/>
        </w:rPr>
        <w:t>.乙方提交的服务成果应保证全部原创性，不得侵犯任何第三方包括知识产权在内的一切合法权利。若因成果存在抄袭、侵权等问题导致甲方损失，乙方需承担全部法律及经济责任，并全额赔偿甲方损失。</w:t>
      </w:r>
      <w:bookmarkEnd w:id="37"/>
      <w:r>
        <w:rPr>
          <w:rFonts w:hint="eastAsia" w:asciiTheme="minorEastAsia" w:hAnsiTheme="minorEastAsia" w:eastAsiaTheme="minorEastAsia" w:cstheme="minorEastAsia"/>
          <w:color w:val="auto"/>
          <w:kern w:val="2"/>
          <w:sz w:val="24"/>
          <w:szCs w:val="24"/>
          <w:lang w:val="en-US" w:eastAsia="zh-CN" w:bidi="ar-SA"/>
        </w:rPr>
        <w:t xml:space="preserve"> </w:t>
      </w:r>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b/>
          <w:bCs/>
          <w:color w:val="auto"/>
          <w:kern w:val="2"/>
          <w:sz w:val="24"/>
          <w:szCs w:val="24"/>
          <w:lang w:val="en-US" w:eastAsia="zh-CN" w:bidi="ar-SA"/>
        </w:rPr>
      </w:pPr>
      <w:bookmarkStart w:id="38" w:name="第五条__修改及变更"/>
      <w:bookmarkEnd w:id="38"/>
      <w:r>
        <w:rPr>
          <w:rFonts w:hint="eastAsia" w:asciiTheme="minorEastAsia" w:hAnsiTheme="minorEastAsia" w:eastAsiaTheme="minorEastAsia" w:cstheme="minorEastAsia"/>
          <w:b/>
          <w:bCs/>
          <w:color w:val="auto"/>
          <w:kern w:val="2"/>
          <w:sz w:val="24"/>
          <w:szCs w:val="24"/>
          <w:lang w:val="en-US" w:eastAsia="zh-CN" w:bidi="ar-SA"/>
        </w:rPr>
        <w:t>第五条 修改及变更</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39" w:name="（一）项目成果交付后，经过甲方审查或评估，提出修改或补充意见，属本合同约定服务内"/>
      <w:bookmarkEnd w:id="39"/>
      <w:bookmarkStart w:id="40" w:name="auto_fouce_16"/>
      <w:r>
        <w:rPr>
          <w:rFonts w:hint="eastAsia" w:asciiTheme="minorEastAsia" w:hAnsiTheme="minorEastAsia" w:eastAsiaTheme="minorEastAsia" w:cstheme="minorEastAsia"/>
          <w:color w:val="auto"/>
          <w:kern w:val="2"/>
          <w:sz w:val="24"/>
          <w:szCs w:val="24"/>
          <w:lang w:val="en-US" w:eastAsia="zh-CN" w:bidi="ar-SA"/>
        </w:rPr>
        <w:t>（一）项目成果交付后，经过甲方审查或评估，提出修改或补充意见，属本合同约定服务内容及一般性问题，乙方负责修改，且同一成果修改次数不得超过三次。</w:t>
      </w:r>
      <w:bookmarkEnd w:id="40"/>
      <w:bookmarkStart w:id="41" w:name="（二）因甲方责任造成报告重大修改或返工重做的（如甲方要求调整产业研究方向、增加其"/>
      <w:bookmarkEnd w:id="41"/>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（二）因甲方责任造成报告重大修改或返工重做的，</w:t>
      </w:r>
      <w:bookmarkStart w:id="42" w:name="auto_fouce_17"/>
      <w:r>
        <w:rPr>
          <w:rFonts w:hint="eastAsia" w:asciiTheme="minorEastAsia" w:hAnsiTheme="minorEastAsia" w:eastAsiaTheme="minorEastAsia" w:cstheme="minorEastAsia"/>
          <w:color w:val="auto"/>
          <w:kern w:val="2"/>
          <w:sz w:val="24"/>
          <w:szCs w:val="24"/>
          <w:lang w:val="en-US" w:eastAsia="zh-CN" w:bidi="ar-SA"/>
        </w:rPr>
        <w:t>应另行增加费用，其数额由双方另行商定，但新增费用总额不得超过本合同金额的20%，同时，提交成果的时间相应调整，双方另行签订补充协议。</w:t>
      </w:r>
      <w:bookmarkEnd w:id="42"/>
      <w:r>
        <w:rPr>
          <w:rFonts w:hint="eastAsia" w:asciiTheme="minorEastAsia" w:hAnsiTheme="minorEastAsia" w:eastAsiaTheme="minorEastAsia" w:cstheme="minorEastAsia"/>
          <w:color w:val="auto"/>
          <w:kern w:val="2"/>
          <w:sz w:val="24"/>
          <w:szCs w:val="24"/>
          <w:lang w:val="en-US" w:eastAsia="zh-CN" w:bidi="ar-SA"/>
        </w:rPr>
        <w:t>在合同期内项目发生变化时，甲方应及时通知受托方。</w:t>
      </w:r>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b/>
          <w:bCs/>
          <w:color w:val="auto"/>
          <w:kern w:val="2"/>
          <w:sz w:val="24"/>
          <w:szCs w:val="24"/>
          <w:lang w:val="en-US" w:eastAsia="zh-CN" w:bidi="ar-SA"/>
        </w:rPr>
      </w:pPr>
      <w:bookmarkStart w:id="43" w:name="第六条__成果验收"/>
      <w:bookmarkEnd w:id="43"/>
      <w:r>
        <w:rPr>
          <w:rFonts w:hint="eastAsia" w:asciiTheme="minorEastAsia" w:hAnsiTheme="minorEastAsia" w:eastAsiaTheme="minorEastAsia" w:cstheme="minorEastAsia"/>
          <w:b/>
          <w:bCs/>
          <w:color w:val="auto"/>
          <w:kern w:val="2"/>
          <w:sz w:val="24"/>
          <w:szCs w:val="24"/>
          <w:lang w:val="en-US" w:eastAsia="zh-CN" w:bidi="ar-SA"/>
        </w:rPr>
        <w:t>第六条 成果验收</w:t>
      </w:r>
    </w:p>
    <w:p>
      <w:pPr>
        <w:keepNext w:val="0"/>
        <w:keepLines w:val="0"/>
        <w:pageBreakBefore w:val="0"/>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在乙方提交《连城县“十五五”地瓜产业发展规划（修改稿）》、《连城县“十五五”地瓜产业投资项目策划研究（修改稿）》后15个工作日内，甲方应组织成果验收或内部审核，逾期不组织验收或内部审核，</w:t>
      </w:r>
      <w:bookmarkStart w:id="44" w:name="auto_fouce_18"/>
      <w:r>
        <w:rPr>
          <w:rFonts w:hint="eastAsia" w:asciiTheme="minorEastAsia" w:hAnsiTheme="minorEastAsia" w:eastAsiaTheme="minorEastAsia" w:cstheme="minorEastAsia"/>
          <w:color w:val="auto"/>
          <w:kern w:val="2"/>
          <w:sz w:val="24"/>
          <w:szCs w:val="24"/>
          <w:lang w:val="en-US" w:eastAsia="zh-CN" w:bidi="ar-SA"/>
        </w:rPr>
        <w:t>则视为乙方咨询成果通过甲方验收并验收合格，但甲方在后续使用过程中发现成果存在重大缺陷的，仍有权要求乙方承担修复责任及相应违约责任。</w:t>
      </w:r>
      <w:bookmarkEnd w:id="44"/>
    </w:p>
    <w:p>
      <w:pPr>
        <w:keepNext w:val="0"/>
        <w:keepLines w:val="0"/>
        <w:pageBreakBefore w:val="0"/>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w:t>
      </w:r>
      <w:bookmarkStart w:id="45" w:name="auto_fouce_19"/>
      <w:r>
        <w:rPr>
          <w:rFonts w:hint="eastAsia" w:asciiTheme="minorEastAsia" w:hAnsiTheme="minorEastAsia" w:eastAsiaTheme="minorEastAsia" w:cstheme="minorEastAsia"/>
          <w:color w:val="auto"/>
          <w:kern w:val="2"/>
          <w:sz w:val="24"/>
          <w:szCs w:val="24"/>
          <w:lang w:val="en-US" w:eastAsia="zh-CN" w:bidi="ar-SA"/>
        </w:rPr>
        <w:t>乙方编制的《连城县“十五五”地瓜产业发展规划》、《连城县“十五五”地瓜产业投资项目策划研究》的知识产权归甲方所有，乙方不得以任何形式自行使用、转让或公开相关成果，亦不得将甲方委托项目成果用于其他项目或第三方。</w:t>
      </w:r>
      <w:bookmarkEnd w:id="45"/>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b/>
          <w:bCs/>
          <w:color w:val="auto"/>
          <w:kern w:val="2"/>
          <w:sz w:val="24"/>
          <w:szCs w:val="24"/>
          <w:lang w:val="en-US" w:eastAsia="zh-CN" w:bidi="ar-SA"/>
        </w:rPr>
      </w:pPr>
      <w:bookmarkStart w:id="46" w:name="第七条__违约责任"/>
      <w:bookmarkEnd w:id="46"/>
      <w:r>
        <w:rPr>
          <w:rFonts w:hint="eastAsia" w:asciiTheme="minorEastAsia" w:hAnsiTheme="minorEastAsia" w:eastAsiaTheme="minorEastAsia" w:cstheme="minorEastAsia"/>
          <w:b/>
          <w:bCs/>
          <w:color w:val="auto"/>
          <w:kern w:val="2"/>
          <w:sz w:val="24"/>
          <w:szCs w:val="24"/>
          <w:lang w:val="en-US" w:eastAsia="zh-CN" w:bidi="ar-SA"/>
        </w:rPr>
        <w:t>第七条 违约责任</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47" w:name="（一）违反本合同规定，按《中华人民共和国民法典》的有关规定，由违约方承担违约责任"/>
      <w:bookmarkEnd w:id="47"/>
      <w:r>
        <w:rPr>
          <w:rFonts w:hint="eastAsia" w:asciiTheme="minorEastAsia" w:hAnsiTheme="minorEastAsia" w:eastAsiaTheme="minorEastAsia" w:cstheme="minorEastAsia"/>
          <w:color w:val="auto"/>
          <w:kern w:val="2"/>
          <w:sz w:val="24"/>
          <w:szCs w:val="24"/>
          <w:lang w:val="en-US" w:eastAsia="zh-CN" w:bidi="ar-SA"/>
        </w:rPr>
        <w:t>（一）违反本合同规定，按《中华人民共和国民法典》的有关规定，由违约方承担违约责任，</w:t>
      </w:r>
      <w:bookmarkStart w:id="48" w:name="auto_fouce_20"/>
      <w:r>
        <w:rPr>
          <w:rFonts w:hint="eastAsia" w:asciiTheme="minorEastAsia" w:hAnsiTheme="minorEastAsia" w:eastAsiaTheme="minorEastAsia" w:cstheme="minorEastAsia"/>
          <w:color w:val="auto"/>
          <w:kern w:val="2"/>
          <w:sz w:val="24"/>
          <w:szCs w:val="24"/>
          <w:lang w:val="en-US" w:eastAsia="zh-CN" w:bidi="ar-SA"/>
        </w:rPr>
        <w:t>并赔偿对方由此而造成的直接经济损失及预期可得利益损失。</w:t>
      </w:r>
      <w:bookmarkEnd w:id="48"/>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49" w:name="（二）甲方超过合同规定的日期付费时，应偿付逾期的违约金，其违约金额为每逾期一天，"/>
      <w:bookmarkEnd w:id="49"/>
      <w:r>
        <w:rPr>
          <w:rFonts w:hint="eastAsia" w:asciiTheme="minorEastAsia" w:hAnsiTheme="minorEastAsia" w:eastAsiaTheme="minorEastAsia" w:cstheme="minorEastAsia"/>
          <w:color w:val="auto"/>
          <w:kern w:val="2"/>
          <w:sz w:val="24"/>
          <w:szCs w:val="24"/>
          <w:lang w:val="en-US" w:eastAsia="zh-CN" w:bidi="ar-SA"/>
        </w:rPr>
        <w:t>（二）甲方超过合同规定的日期付费时，应偿付逾期的违约金，</w:t>
      </w:r>
      <w:bookmarkStart w:id="50" w:name="auto_fouce_21"/>
      <w:r>
        <w:rPr>
          <w:rFonts w:hint="eastAsia" w:asciiTheme="minorEastAsia" w:hAnsiTheme="minorEastAsia" w:eastAsiaTheme="minorEastAsia" w:cstheme="minorEastAsia"/>
          <w:color w:val="auto"/>
          <w:kern w:val="2"/>
          <w:sz w:val="24"/>
          <w:szCs w:val="24"/>
          <w:lang w:val="en-US" w:eastAsia="zh-CN" w:bidi="ar-SA"/>
        </w:rPr>
        <w:t>其违约金额为每逾期一天，按当期应付款项的1‰计算向乙方支付。</w:t>
      </w:r>
      <w:bookmarkEnd w:id="50"/>
      <w:r>
        <w:rPr>
          <w:rFonts w:hint="eastAsia" w:asciiTheme="minorEastAsia" w:hAnsiTheme="minorEastAsia" w:eastAsiaTheme="minorEastAsia" w:cstheme="minorEastAsia"/>
          <w:color w:val="auto"/>
          <w:kern w:val="2"/>
          <w:sz w:val="24"/>
          <w:szCs w:val="24"/>
          <w:lang w:val="en-US" w:eastAsia="zh-CN" w:bidi="ar-SA"/>
        </w:rPr>
        <w:t>超过约定期限三十日仍未支付的，乙方有权单方面解除合同。</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51" w:name="（三）乙方收到甲方第一笔项目款后，无故不按合同规定期限要求进行项目资料搜集及启动"/>
      <w:bookmarkEnd w:id="51"/>
      <w:r>
        <w:rPr>
          <w:rFonts w:hint="eastAsia" w:asciiTheme="minorEastAsia" w:hAnsiTheme="minorEastAsia" w:eastAsiaTheme="minorEastAsia" w:cstheme="minorEastAsia"/>
          <w:color w:val="auto"/>
          <w:kern w:val="2"/>
          <w:sz w:val="24"/>
          <w:szCs w:val="24"/>
          <w:lang w:val="en-US" w:eastAsia="zh-CN" w:bidi="ar-SA"/>
        </w:rPr>
        <w:t>（三）由于乙方原因不按合同规定期限提交项目成果，乙方应向甲方支付违约金，</w:t>
      </w:r>
      <w:bookmarkStart w:id="52" w:name="auto_fouce_22"/>
      <w:r>
        <w:rPr>
          <w:rFonts w:hint="eastAsia" w:asciiTheme="minorEastAsia" w:hAnsiTheme="minorEastAsia" w:eastAsiaTheme="minorEastAsia" w:cstheme="minorEastAsia"/>
          <w:color w:val="auto"/>
          <w:kern w:val="2"/>
          <w:sz w:val="24"/>
          <w:szCs w:val="24"/>
          <w:lang w:val="en-US" w:eastAsia="zh-CN" w:bidi="ar-SA"/>
        </w:rPr>
        <w:t>其违约金额为每拖延一天，按合同金额的1‰计算向甲方支付。</w:t>
      </w:r>
      <w:bookmarkEnd w:id="52"/>
      <w:r>
        <w:rPr>
          <w:rFonts w:hint="eastAsia" w:asciiTheme="minorEastAsia" w:hAnsiTheme="minorEastAsia" w:eastAsiaTheme="minorEastAsia" w:cstheme="minorEastAsia"/>
          <w:color w:val="auto"/>
          <w:kern w:val="2"/>
          <w:sz w:val="24"/>
          <w:szCs w:val="24"/>
          <w:lang w:val="en-US" w:eastAsia="zh-CN" w:bidi="ar-SA"/>
        </w:rPr>
        <w:t>超过约定期限三十日仍未提交的，</w:t>
      </w:r>
      <w:bookmarkStart w:id="53" w:name="auto_fouce_23"/>
      <w:r>
        <w:rPr>
          <w:rFonts w:hint="eastAsia" w:asciiTheme="minorEastAsia" w:hAnsiTheme="minorEastAsia" w:eastAsiaTheme="minorEastAsia" w:cstheme="minorEastAsia"/>
          <w:color w:val="auto"/>
          <w:kern w:val="2"/>
          <w:sz w:val="24"/>
          <w:szCs w:val="24"/>
          <w:lang w:val="en-US" w:eastAsia="zh-CN" w:bidi="ar-SA"/>
        </w:rPr>
        <w:t>甲方有权解除合同，要求乙方返还已经收到甲方支付的款项，并可要求乙方全额赔偿甲方因项目延误、资金损失、政策申报失败等直接及间接损失。</w:t>
      </w:r>
      <w:bookmarkEnd w:id="53"/>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w:t>
      </w:r>
      <w:bookmarkStart w:id="54" w:name="auto_fouce_24"/>
      <w:r>
        <w:rPr>
          <w:rFonts w:hint="eastAsia" w:asciiTheme="minorEastAsia" w:hAnsiTheme="minorEastAsia" w:eastAsiaTheme="minorEastAsia" w:cstheme="minorEastAsia"/>
          <w:color w:val="auto"/>
          <w:kern w:val="2"/>
          <w:sz w:val="24"/>
          <w:szCs w:val="24"/>
          <w:lang w:val="en-US" w:eastAsia="zh-CN" w:bidi="ar-SA"/>
        </w:rPr>
        <w:t>签订本合同后，因甲方违反合同约定单方面变更计划而中止、终止或暂停本次委托，甲方仅需支付乙方已完成且经甲方验收合格的部分费用，未完成部分不予支付。</w:t>
      </w:r>
      <w:bookmarkEnd w:id="54"/>
      <w:r>
        <w:rPr>
          <w:rFonts w:hint="eastAsia" w:asciiTheme="minorEastAsia" w:hAnsiTheme="minorEastAsia" w:eastAsiaTheme="minorEastAsia" w:cstheme="minorEastAsia"/>
          <w:color w:val="auto"/>
          <w:kern w:val="2"/>
          <w:sz w:val="24"/>
          <w:szCs w:val="24"/>
          <w:lang w:val="en-US" w:eastAsia="zh-CN" w:bidi="ar-SA"/>
        </w:rPr>
        <w:t>乙方单方面不履行本合同约定，需退还之前收到的甲方项目款。</w:t>
      </w:r>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b/>
          <w:bCs/>
          <w:color w:val="auto"/>
          <w:kern w:val="2"/>
          <w:sz w:val="24"/>
          <w:szCs w:val="24"/>
          <w:lang w:val="en-US" w:eastAsia="zh-CN" w:bidi="ar-SA"/>
        </w:rPr>
      </w:pPr>
      <w:bookmarkStart w:id="55" w:name="第八条__不可抗力"/>
      <w:bookmarkEnd w:id="55"/>
      <w:r>
        <w:rPr>
          <w:rFonts w:hint="eastAsia" w:asciiTheme="minorEastAsia" w:hAnsiTheme="minorEastAsia" w:eastAsiaTheme="minorEastAsia" w:cstheme="minorEastAsia"/>
          <w:b/>
          <w:bCs/>
          <w:color w:val="auto"/>
          <w:kern w:val="2"/>
          <w:sz w:val="24"/>
          <w:szCs w:val="24"/>
          <w:lang w:val="en-US" w:eastAsia="zh-CN" w:bidi="ar-SA"/>
        </w:rPr>
        <w:t>第八条 不可抗力</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56" w:name="（一）发生不可抗力事件，一方在本合同项下受不可抗力影响的义务在不可抗力造成的延误"/>
      <w:bookmarkEnd w:id="56"/>
      <w:r>
        <w:rPr>
          <w:rFonts w:hint="eastAsia" w:asciiTheme="minorEastAsia" w:hAnsiTheme="minorEastAsia" w:eastAsiaTheme="minorEastAsia" w:cstheme="minorEastAsia"/>
          <w:color w:val="auto"/>
          <w:kern w:val="2"/>
          <w:sz w:val="24"/>
          <w:szCs w:val="24"/>
          <w:lang w:val="en-US" w:eastAsia="zh-CN" w:bidi="ar-SA"/>
        </w:rPr>
        <w:t>（一）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w:t>
      </w:r>
      <w:bookmarkStart w:id="57" w:name="auto_fouce_25"/>
      <w:r>
        <w:rPr>
          <w:rFonts w:hint="eastAsia" w:asciiTheme="minorEastAsia" w:hAnsiTheme="minorEastAsia" w:eastAsiaTheme="minorEastAsia" w:cstheme="minorEastAsia"/>
          <w:color w:val="auto"/>
          <w:kern w:val="2"/>
          <w:sz w:val="24"/>
          <w:szCs w:val="24"/>
          <w:lang w:val="en-US" w:eastAsia="zh-CN" w:bidi="ar-SA"/>
        </w:rPr>
        <w:t>甲方在不可抗力发生时有权优先选择解除合同或调整履约方式，乙方应予以配合。双方均可以解除合同，自解除合同的书面通知到达对方时合同解除，双方均不需向对方承担违约责任。</w:t>
      </w:r>
      <w:bookmarkEnd w:id="57"/>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58" w:name="（二）提出受不可抗力影响的一方应及时书面通知对方，并且在随后的15日内向对方提供"/>
      <w:bookmarkEnd w:id="58"/>
      <w:r>
        <w:rPr>
          <w:rFonts w:hint="eastAsia" w:asciiTheme="minorEastAsia" w:hAnsiTheme="minorEastAsia" w:eastAsiaTheme="minorEastAsia" w:cstheme="minorEastAsia"/>
          <w:color w:val="auto"/>
          <w:kern w:val="2"/>
          <w:sz w:val="24"/>
          <w:szCs w:val="24"/>
          <w:lang w:val="en-US" w:eastAsia="zh-CN" w:bidi="ar-SA"/>
        </w:rPr>
        <w:t>（二）</w:t>
      </w:r>
      <w:bookmarkStart w:id="59" w:name="auto_fouce_26"/>
      <w:r>
        <w:rPr>
          <w:rFonts w:hint="eastAsia" w:asciiTheme="minorEastAsia" w:hAnsiTheme="minorEastAsia" w:eastAsiaTheme="minorEastAsia" w:cstheme="minorEastAsia"/>
          <w:color w:val="auto"/>
          <w:kern w:val="2"/>
          <w:sz w:val="24"/>
          <w:szCs w:val="24"/>
          <w:lang w:val="en-US" w:eastAsia="zh-CN" w:bidi="ar-SA"/>
        </w:rPr>
        <w:t>提出受不可抗力影响的一方应及时书面通知对方，并且在随后的15日内向对方提供不可抗力发生和持续期间的充分证据。不可抗力事件发生后，乙方应在最短时间内恢复履约，甲方有权根据实际情况决定是否继续履行或解除合同。</w:t>
      </w:r>
      <w:bookmarkEnd w:id="59"/>
      <w:r>
        <w:rPr>
          <w:rFonts w:hint="eastAsia" w:asciiTheme="minorEastAsia" w:hAnsiTheme="minorEastAsia" w:eastAsiaTheme="minorEastAsia" w:cstheme="minorEastAsia"/>
          <w:color w:val="auto"/>
          <w:kern w:val="2"/>
          <w:sz w:val="24"/>
          <w:szCs w:val="24"/>
          <w:lang w:val="en-US" w:eastAsia="zh-CN" w:bidi="ar-SA"/>
        </w:rPr>
        <w:t>提出受不可抗力影响的一方，还应尽一切合理努力排除不可抗力对履行合同造成的影响。</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60" w:name="（三）发生不可抗力的，双方应立即进行磋商，寻求合理的解决方案，并且要尽一切合理努"/>
      <w:bookmarkEnd w:id="60"/>
      <w:r>
        <w:rPr>
          <w:rFonts w:hint="eastAsia" w:asciiTheme="minorEastAsia" w:hAnsiTheme="minorEastAsia" w:eastAsiaTheme="minorEastAsia" w:cstheme="minorEastAsia"/>
          <w:color w:val="auto"/>
          <w:kern w:val="2"/>
          <w:sz w:val="24"/>
          <w:szCs w:val="24"/>
          <w:lang w:val="en-US" w:eastAsia="zh-CN" w:bidi="ar-SA"/>
        </w:rPr>
        <w:t>（三）发生不可抗力的，双方应立即进行磋商，寻求合理的解决方案，并且要尽一切合理努力将不可抗力造成的损失降低到最小程度。</w:t>
      </w:r>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b/>
          <w:bCs/>
          <w:color w:val="auto"/>
          <w:kern w:val="2"/>
          <w:sz w:val="24"/>
          <w:szCs w:val="24"/>
          <w:lang w:val="en-US" w:eastAsia="zh-CN" w:bidi="ar-SA"/>
        </w:rPr>
      </w:pPr>
      <w:bookmarkStart w:id="61" w:name="第九条__争议的解决"/>
      <w:bookmarkEnd w:id="61"/>
      <w:r>
        <w:rPr>
          <w:rFonts w:hint="eastAsia" w:asciiTheme="minorEastAsia" w:hAnsiTheme="minorEastAsia" w:eastAsiaTheme="minorEastAsia" w:cstheme="minorEastAsia"/>
          <w:b/>
          <w:bCs/>
          <w:color w:val="auto"/>
          <w:kern w:val="2"/>
          <w:sz w:val="24"/>
          <w:szCs w:val="24"/>
          <w:lang w:val="en-US" w:eastAsia="zh-CN" w:bidi="ar-SA"/>
        </w:rPr>
        <w:t>第九条 争议的解决</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62" w:name="双方因履行本合同而发生的争议，应协商、调解解决。协商、调解不成的，向甲方所在地人"/>
      <w:bookmarkEnd w:id="62"/>
      <w:r>
        <w:rPr>
          <w:rFonts w:hint="eastAsia" w:asciiTheme="minorEastAsia" w:hAnsiTheme="minorEastAsia" w:eastAsiaTheme="minorEastAsia" w:cstheme="minorEastAsia"/>
          <w:color w:val="auto"/>
          <w:kern w:val="2"/>
          <w:sz w:val="24"/>
          <w:szCs w:val="24"/>
          <w:lang w:val="en-US" w:eastAsia="zh-CN" w:bidi="ar-SA"/>
        </w:rPr>
        <w:t>双方因履行本合同而发生的争议，应协商、调解解决。协商、调解不成的，向甲方所在地人民法院起诉。</w:t>
      </w:r>
    </w:p>
    <w:p>
      <w:pPr>
        <w:pStyle w:val="3"/>
        <w:keepNext w:val="0"/>
        <w:keepLines w:val="0"/>
        <w:pageBreakBefore w:val="0"/>
        <w:widowControl/>
        <w:kinsoku/>
        <w:wordWrap/>
        <w:overflowPunct/>
        <w:topLinePunct w:val="0"/>
        <w:autoSpaceDE/>
        <w:autoSpaceDN/>
        <w:bidi w:val="0"/>
        <w:spacing w:before="0" w:beforeLines="0" w:after="0" w:afterLines="0" w:line="360" w:lineRule="auto"/>
        <w:ind w:left="0" w:right="0" w:rightChars="0"/>
        <w:rPr>
          <w:rFonts w:hint="eastAsia" w:asciiTheme="minorEastAsia" w:hAnsiTheme="minorEastAsia" w:eastAsiaTheme="minorEastAsia" w:cstheme="minorEastAsia"/>
          <w:b/>
          <w:bCs/>
          <w:color w:val="auto"/>
          <w:kern w:val="2"/>
          <w:sz w:val="24"/>
          <w:szCs w:val="24"/>
          <w:lang w:val="en-US" w:eastAsia="zh-CN" w:bidi="ar-SA"/>
        </w:rPr>
      </w:pPr>
      <w:bookmarkStart w:id="63" w:name="第十条__其他"/>
      <w:bookmarkEnd w:id="63"/>
      <w:r>
        <w:rPr>
          <w:rFonts w:hint="eastAsia" w:asciiTheme="minorEastAsia" w:hAnsiTheme="minorEastAsia" w:eastAsiaTheme="minorEastAsia" w:cstheme="minorEastAsia"/>
          <w:b/>
          <w:bCs/>
          <w:color w:val="auto"/>
          <w:kern w:val="2"/>
          <w:sz w:val="24"/>
          <w:szCs w:val="24"/>
          <w:lang w:val="en-US" w:eastAsia="zh-CN" w:bidi="ar-SA"/>
        </w:rPr>
        <w:t>第十条 其他</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64" w:name="（一）本合同一式四份，具有同等法律效力，甲方和乙方各执二份。"/>
      <w:bookmarkEnd w:id="64"/>
      <w:r>
        <w:rPr>
          <w:rFonts w:hint="eastAsia" w:asciiTheme="minorEastAsia" w:hAnsiTheme="minorEastAsia" w:eastAsiaTheme="minorEastAsia" w:cstheme="minorEastAsia"/>
          <w:color w:val="auto"/>
          <w:kern w:val="2"/>
          <w:sz w:val="24"/>
          <w:szCs w:val="24"/>
          <w:lang w:val="en-US" w:eastAsia="zh-CN" w:bidi="ar-SA"/>
        </w:rPr>
        <w:t>（一）本合同一式肆份，具有同等法律效力，甲方和乙方各执贰份。</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65" w:name="（二）本合同自双方法定代表人或授权代理人签字、盖章之日起生效，自双方履行完合同约"/>
      <w:bookmarkEnd w:id="65"/>
      <w:r>
        <w:rPr>
          <w:rFonts w:hint="eastAsia" w:asciiTheme="minorEastAsia" w:hAnsiTheme="minorEastAsia" w:eastAsiaTheme="minorEastAsia" w:cstheme="minorEastAsia"/>
          <w:color w:val="auto"/>
          <w:kern w:val="2"/>
          <w:sz w:val="24"/>
          <w:szCs w:val="24"/>
          <w:lang w:val="en-US" w:eastAsia="zh-CN" w:bidi="ar-SA"/>
        </w:rPr>
        <w:t>（二）本合同自双方法定代表人或授权代理人签字、盖章之日起生效，自双方履行完合同约定的义务后自动终止。</w:t>
      </w:r>
    </w:p>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bookmarkStart w:id="66" w:name="（三）本合同未尽事宜，由甲乙双方协商并签订补充协议，与本合同具有同等法律效力。"/>
      <w:bookmarkEnd w:id="66"/>
      <w:r>
        <w:rPr>
          <w:rFonts w:hint="eastAsia" w:asciiTheme="minorEastAsia" w:hAnsiTheme="minorEastAsia" w:eastAsiaTheme="minorEastAsia" w:cstheme="minorEastAsia"/>
          <w:color w:val="auto"/>
          <w:kern w:val="2"/>
          <w:sz w:val="24"/>
          <w:szCs w:val="24"/>
          <w:lang w:val="en-US" w:eastAsia="zh-CN" w:bidi="ar-SA"/>
        </w:rPr>
        <w:t>（三）本合同未尽事宜，由甲乙双方协商并签订补充协议，与本合同具有同等法律效力。</w:t>
      </w:r>
    </w:p>
    <w:p>
      <w:pPr>
        <w:pStyle w:val="7"/>
        <w:keepNext w:val="0"/>
        <w:keepLines w:val="0"/>
        <w:pageBreakBefore w:val="0"/>
        <w:widowControl/>
        <w:kinsoku/>
        <w:wordWrap/>
        <w:overflowPunct/>
        <w:topLinePunct w:val="0"/>
        <w:autoSpaceDE/>
        <w:autoSpaceDN/>
        <w:bidi w:val="0"/>
        <w:spacing w:line="360" w:lineRule="auto"/>
        <w:ind w:left="0" w:right="0" w:rightChars="0" w:firstLine="560"/>
        <w:jc w:val="center"/>
        <w:rPr>
          <w:rFonts w:hint="eastAsia" w:asciiTheme="minorEastAsia" w:hAnsiTheme="minorEastAsia" w:eastAsiaTheme="minorEastAsia" w:cstheme="minorEastAsia"/>
          <w:color w:val="auto"/>
          <w:kern w:val="2"/>
          <w:sz w:val="24"/>
          <w:szCs w:val="24"/>
          <w:lang w:val="en-US" w:eastAsia="zh-CN" w:bidi="ar-SA"/>
        </w:rPr>
      </w:pPr>
      <w:bookmarkStart w:id="67" w:name="（以下无正文）"/>
      <w:bookmarkEnd w:id="67"/>
      <w:r>
        <w:rPr>
          <w:rFonts w:hint="eastAsia" w:asciiTheme="minorEastAsia" w:hAnsiTheme="minorEastAsia" w:eastAsiaTheme="minorEastAsia" w:cstheme="minorEastAsia"/>
          <w:color w:val="auto"/>
          <w:kern w:val="2"/>
          <w:sz w:val="24"/>
          <w:szCs w:val="24"/>
          <w:lang w:val="en-US" w:eastAsia="zh-CN" w:bidi="ar-SA"/>
        </w:rPr>
        <w:t>（以下无正文）</w:t>
      </w:r>
    </w:p>
    <w:p>
      <w:pPr>
        <w:pStyle w:val="7"/>
        <w:keepNext w:val="0"/>
        <w:keepLines w:val="0"/>
        <w:pageBreakBefore w:val="0"/>
        <w:widowControl/>
        <w:kinsoku/>
        <w:wordWrap/>
        <w:overflowPunct/>
        <w:topLinePunct w:val="0"/>
        <w:autoSpaceDE/>
        <w:autoSpaceDN/>
        <w:bidi w:val="0"/>
        <w:spacing w:line="360" w:lineRule="auto"/>
        <w:ind w:left="0" w:right="0" w:rightChars="0" w:firstLine="400"/>
        <w:rPr>
          <w:rFonts w:hint="eastAsia" w:asciiTheme="minorEastAsia" w:hAnsiTheme="minorEastAsia" w:eastAsiaTheme="minorEastAsia" w:cstheme="minorEastAsia"/>
          <w:color w:val="auto"/>
          <w:kern w:val="2"/>
          <w:sz w:val="24"/>
          <w:szCs w:val="24"/>
          <w:lang w:val="en-US" w:eastAsia="zh-CN" w:bidi="ar-SA"/>
        </w:rPr>
      </w:pPr>
    </w:p>
    <w:p>
      <w:pPr>
        <w:pStyle w:val="7"/>
        <w:keepNext w:val="0"/>
        <w:keepLines w:val="0"/>
        <w:pageBreakBefore w:val="0"/>
        <w:widowControl/>
        <w:kinsoku/>
        <w:wordWrap/>
        <w:overflowPunct/>
        <w:topLinePunct w:val="0"/>
        <w:autoSpaceDE/>
        <w:autoSpaceDN/>
        <w:bidi w:val="0"/>
        <w:spacing w:line="360" w:lineRule="auto"/>
        <w:ind w:left="0" w:right="0" w:rightChars="0" w:firstLine="500"/>
        <w:rPr>
          <w:rFonts w:hint="eastAsia" w:asciiTheme="minorEastAsia" w:hAnsiTheme="minorEastAsia" w:eastAsiaTheme="minorEastAsia" w:cstheme="minorEastAsia"/>
          <w:color w:val="auto"/>
          <w:kern w:val="2"/>
          <w:sz w:val="24"/>
          <w:szCs w:val="24"/>
          <w:lang w:val="en-US" w:eastAsia="zh-CN" w:bidi="ar-SA"/>
        </w:rPr>
      </w:pPr>
    </w:p>
    <w:tbl>
      <w:tblPr>
        <w:tblStyle w:val="27"/>
        <w:tblW w:w="9174" w:type="dxa"/>
        <w:jc w:val="center"/>
        <w:tblLayout w:type="fixed"/>
        <w:tblCellMar>
          <w:top w:w="0" w:type="dxa"/>
          <w:left w:w="0" w:type="dxa"/>
          <w:bottom w:w="0" w:type="dxa"/>
          <w:right w:w="0" w:type="dxa"/>
        </w:tblCellMar>
      </w:tblPr>
      <w:tblGrid>
        <w:gridCol w:w="4359"/>
        <w:gridCol w:w="4815"/>
      </w:tblGrid>
      <w:tr>
        <w:tblPrEx>
          <w:tblCellMar>
            <w:top w:w="0" w:type="dxa"/>
            <w:left w:w="0" w:type="dxa"/>
            <w:bottom w:w="0" w:type="dxa"/>
            <w:right w:w="0" w:type="dxa"/>
          </w:tblCellMar>
        </w:tblPrEx>
        <w:trPr>
          <w:trHeight w:val="1075" w:hRule="atLeast"/>
          <w:jc w:val="center"/>
        </w:trPr>
        <w:tc>
          <w:tcPr>
            <w:tcW w:w="4359" w:type="dxa"/>
          </w:tcPr>
          <w:p>
            <w:pPr>
              <w:pStyle w:val="26"/>
              <w:keepNext w:val="0"/>
              <w:keepLines w:val="0"/>
              <w:pageBreakBefore w:val="0"/>
              <w:widowControl/>
              <w:kinsoku/>
              <w:wordWrap/>
              <w:overflowPunct/>
              <w:topLinePunct w:val="0"/>
              <w:autoSpaceDE/>
              <w:autoSpaceDN/>
              <w:bidi w:val="0"/>
              <w:spacing w:line="360" w:lineRule="auto"/>
              <w:ind w:left="0" w:right="0" w:rightChars="0" w:hanging="1680" w:hangingChars="7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甲方（盖章）：福建省连城农民创业园管理委员会 </w:t>
            </w:r>
          </w:p>
        </w:tc>
        <w:tc>
          <w:tcPr>
            <w:tcW w:w="4815" w:type="dxa"/>
          </w:tcPr>
          <w:p>
            <w:pPr>
              <w:pStyle w:val="26"/>
              <w:keepNext w:val="0"/>
              <w:keepLines w:val="0"/>
              <w:pageBreakBefore w:val="0"/>
              <w:widowControl/>
              <w:kinsoku/>
              <w:wordWrap/>
              <w:overflowPunct/>
              <w:topLinePunct w:val="0"/>
              <w:autoSpaceDE/>
              <w:autoSpaceDN/>
              <w:bidi w:val="0"/>
              <w:spacing w:line="360" w:lineRule="auto"/>
              <w:ind w:left="0" w:right="0" w:rightChars="0" w:hanging="1920" w:hangingChars="8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乙方（盖章）：</w:t>
            </w:r>
          </w:p>
        </w:tc>
      </w:tr>
      <w:tr>
        <w:tblPrEx>
          <w:tblCellMar>
            <w:top w:w="0" w:type="dxa"/>
            <w:left w:w="0" w:type="dxa"/>
            <w:bottom w:w="0" w:type="dxa"/>
            <w:right w:w="0" w:type="dxa"/>
          </w:tblCellMar>
        </w:tblPrEx>
        <w:trPr>
          <w:trHeight w:val="1370" w:hRule="atLeast"/>
          <w:jc w:val="center"/>
        </w:trPr>
        <w:tc>
          <w:tcPr>
            <w:tcW w:w="4359" w:type="dxa"/>
          </w:tcPr>
          <w:p>
            <w:pPr>
              <w:pStyle w:val="26"/>
              <w:keepNext w:val="0"/>
              <w:keepLines w:val="0"/>
              <w:pageBreakBefore w:val="0"/>
              <w:widowControl/>
              <w:kinsoku/>
              <w:wordWrap/>
              <w:overflowPunct/>
              <w:topLinePunct w:val="0"/>
              <w:autoSpaceDE/>
              <w:autoSpaceDN/>
              <w:bidi w:val="0"/>
              <w:spacing w:line="360" w:lineRule="auto"/>
              <w:ind w:left="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法定代表人 :</w:t>
            </w:r>
          </w:p>
          <w:p>
            <w:pPr>
              <w:pStyle w:val="26"/>
              <w:keepNext w:val="0"/>
              <w:keepLines w:val="0"/>
              <w:pageBreakBefore w:val="0"/>
              <w:widowControl/>
              <w:kinsoku/>
              <w:wordWrap/>
              <w:overflowPunct/>
              <w:topLinePunct w:val="0"/>
              <w:autoSpaceDE/>
              <w:autoSpaceDN/>
              <w:bidi w:val="0"/>
              <w:spacing w:line="360" w:lineRule="auto"/>
              <w:ind w:left="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或授权代理人（签字）： </w:t>
            </w:r>
          </w:p>
        </w:tc>
        <w:tc>
          <w:tcPr>
            <w:tcW w:w="4815" w:type="dxa"/>
          </w:tcPr>
          <w:p>
            <w:pPr>
              <w:pStyle w:val="26"/>
              <w:keepNext w:val="0"/>
              <w:keepLines w:val="0"/>
              <w:pageBreakBefore w:val="0"/>
              <w:widowControl/>
              <w:kinsoku/>
              <w:wordWrap/>
              <w:overflowPunct/>
              <w:topLinePunct w:val="0"/>
              <w:autoSpaceDE/>
              <w:autoSpaceDN/>
              <w:bidi w:val="0"/>
              <w:spacing w:line="360" w:lineRule="auto"/>
              <w:ind w:left="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法定代表人 :</w:t>
            </w:r>
          </w:p>
          <w:p>
            <w:pPr>
              <w:pStyle w:val="26"/>
              <w:keepNext w:val="0"/>
              <w:keepLines w:val="0"/>
              <w:pageBreakBefore w:val="0"/>
              <w:widowControl/>
              <w:kinsoku/>
              <w:wordWrap/>
              <w:overflowPunct/>
              <w:topLinePunct w:val="0"/>
              <w:autoSpaceDE/>
              <w:autoSpaceDN/>
              <w:bidi w:val="0"/>
              <w:spacing w:line="360" w:lineRule="auto"/>
              <w:ind w:left="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或授权代理人（签字）： </w:t>
            </w:r>
          </w:p>
        </w:tc>
      </w:tr>
      <w:tr>
        <w:trPr>
          <w:trHeight w:val="837" w:hRule="atLeast"/>
          <w:jc w:val="center"/>
        </w:trPr>
        <w:tc>
          <w:tcPr>
            <w:tcW w:w="4359" w:type="dxa"/>
          </w:tcPr>
          <w:p>
            <w:pPr>
              <w:pStyle w:val="26"/>
              <w:keepNext w:val="0"/>
              <w:keepLines w:val="0"/>
              <w:pageBreakBefore w:val="0"/>
              <w:widowControl/>
              <w:tabs>
                <w:tab w:val="left" w:pos="1879"/>
              </w:tabs>
              <w:kinsoku/>
              <w:wordWrap/>
              <w:overflowPunct/>
              <w:topLinePunct w:val="0"/>
              <w:autoSpaceDE/>
              <w:autoSpaceDN/>
              <w:bidi w:val="0"/>
              <w:spacing w:line="360" w:lineRule="auto"/>
              <w:ind w:left="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签字日期：</w:t>
            </w:r>
            <w:r>
              <w:rPr>
                <w:rFonts w:hint="eastAsia" w:asciiTheme="minorEastAsia" w:hAnsiTheme="minorEastAsia" w:eastAsiaTheme="minorEastAsia" w:cstheme="minorEastAsia"/>
                <w:color w:val="auto"/>
                <w:kern w:val="2"/>
                <w:sz w:val="24"/>
                <w:szCs w:val="24"/>
                <w:lang w:val="en-US" w:eastAsia="zh-CN" w:bidi="ar-SA"/>
              </w:rPr>
              <w:tab/>
            </w:r>
            <w:r>
              <w:rPr>
                <w:rFonts w:hint="eastAsia" w:asciiTheme="minorEastAsia" w:hAnsiTheme="minorEastAsia" w:eastAsiaTheme="minorEastAsia" w:cstheme="minorEastAsia"/>
                <w:color w:val="auto"/>
                <w:kern w:val="2"/>
                <w:sz w:val="24"/>
                <w:szCs w:val="24"/>
                <w:lang w:val="en-US" w:eastAsia="zh-CN" w:bidi="ar-SA"/>
              </w:rPr>
              <w:t xml:space="preserve">年  月  日 </w:t>
            </w:r>
          </w:p>
        </w:tc>
        <w:tc>
          <w:tcPr>
            <w:tcW w:w="4815" w:type="dxa"/>
          </w:tcPr>
          <w:p>
            <w:pPr>
              <w:pStyle w:val="26"/>
              <w:keepNext w:val="0"/>
              <w:keepLines w:val="0"/>
              <w:pageBreakBefore w:val="0"/>
              <w:widowControl/>
              <w:tabs>
                <w:tab w:val="left" w:pos="2154"/>
              </w:tabs>
              <w:kinsoku/>
              <w:wordWrap/>
              <w:overflowPunct/>
              <w:topLinePunct w:val="0"/>
              <w:autoSpaceDE/>
              <w:autoSpaceDN/>
              <w:bidi w:val="0"/>
              <w:spacing w:line="360" w:lineRule="auto"/>
              <w:ind w:left="0" w:right="0" w:righ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签字日期：</w:t>
            </w:r>
            <w:r>
              <w:rPr>
                <w:rFonts w:hint="eastAsia" w:asciiTheme="minorEastAsia" w:hAnsiTheme="minorEastAsia" w:eastAsiaTheme="minorEastAsia" w:cstheme="minorEastAsia"/>
                <w:color w:val="auto"/>
                <w:kern w:val="2"/>
                <w:sz w:val="24"/>
                <w:szCs w:val="24"/>
                <w:lang w:val="en-US" w:eastAsia="zh-CN" w:bidi="ar-SA"/>
              </w:rPr>
              <w:tab/>
            </w:r>
            <w:r>
              <w:rPr>
                <w:rFonts w:hint="eastAsia" w:asciiTheme="minorEastAsia" w:hAnsiTheme="minorEastAsia" w:eastAsiaTheme="minorEastAsia" w:cstheme="minorEastAsia"/>
                <w:color w:val="auto"/>
                <w:kern w:val="2"/>
                <w:sz w:val="24"/>
                <w:szCs w:val="24"/>
                <w:lang w:val="en-US" w:eastAsia="zh-CN" w:bidi="ar-SA"/>
              </w:rPr>
              <w:t xml:space="preserve">年  月  日 </w:t>
            </w:r>
          </w:p>
        </w:tc>
      </w:tr>
    </w:tbl>
    <w:p>
      <w:pPr>
        <w:pStyle w:val="7"/>
        <w:keepNext w:val="0"/>
        <w:keepLines w:val="0"/>
        <w:pageBreakBefore w:val="0"/>
        <w:widowControl/>
        <w:kinsoku/>
        <w:wordWrap/>
        <w:overflowPunct/>
        <w:topLinePunct w:val="0"/>
        <w:autoSpaceDE/>
        <w:autoSpaceDN/>
        <w:bidi w:val="0"/>
        <w:spacing w:line="360" w:lineRule="auto"/>
        <w:ind w:left="0" w:right="0" w:rightChars="0" w:firstLine="56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 </w:t>
      </w:r>
    </w:p>
    <w:p>
      <w:pPr>
        <w:keepNext w:val="0"/>
        <w:keepLines w:val="0"/>
        <w:pageBreakBefore w:val="0"/>
        <w:kinsoku/>
        <w:wordWrap/>
        <w:overflowPunct/>
        <w:topLinePunct w:val="0"/>
        <w:autoSpaceDE/>
        <w:autoSpaceDN/>
        <w:bidi w:val="0"/>
        <w:spacing w:line="360" w:lineRule="auto"/>
        <w:ind w:left="0" w:right="0" w:rightChars="0" w:firstLine="2168" w:firstLineChars="600"/>
        <w:rPr>
          <w:rFonts w:hint="eastAsia"/>
          <w:b/>
          <w:bCs/>
          <w:sz w:val="36"/>
          <w:szCs w:val="36"/>
        </w:rPr>
      </w:pPr>
    </w:p>
    <w:p>
      <w:pPr>
        <w:keepNext w:val="0"/>
        <w:keepLines w:val="0"/>
        <w:pageBreakBefore w:val="0"/>
        <w:kinsoku/>
        <w:wordWrap/>
        <w:overflowPunct/>
        <w:topLinePunct w:val="0"/>
        <w:autoSpaceDE/>
        <w:autoSpaceDN/>
        <w:bidi w:val="0"/>
        <w:spacing w:line="360" w:lineRule="auto"/>
        <w:ind w:left="0" w:right="0" w:rightChars="0" w:firstLine="2168" w:firstLineChars="600"/>
        <w:rPr>
          <w:rFonts w:hint="eastAsia"/>
          <w:b/>
          <w:bCs/>
          <w:sz w:val="36"/>
          <w:szCs w:val="36"/>
        </w:rPr>
      </w:pPr>
    </w:p>
    <w:p>
      <w:pPr>
        <w:pStyle w:val="20"/>
        <w:keepNext w:val="0"/>
        <w:keepLines w:val="0"/>
        <w:pageBreakBefore w:val="0"/>
        <w:kinsoku/>
        <w:wordWrap/>
        <w:overflowPunct/>
        <w:topLinePunct w:val="0"/>
        <w:autoSpaceDE/>
        <w:autoSpaceDN/>
        <w:bidi w:val="0"/>
        <w:spacing w:line="360" w:lineRule="auto"/>
        <w:ind w:left="0" w:leftChars="0" w:right="0" w:rightChars="0" w:firstLine="0" w:firstLineChars="0"/>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D743B5"/>
    <w:rsid w:val="01536978"/>
    <w:rsid w:val="056E2B8F"/>
    <w:rsid w:val="05DA79C7"/>
    <w:rsid w:val="0607573C"/>
    <w:rsid w:val="06D93844"/>
    <w:rsid w:val="072F1ABE"/>
    <w:rsid w:val="09A56D1E"/>
    <w:rsid w:val="09B511CC"/>
    <w:rsid w:val="0A2F0DBE"/>
    <w:rsid w:val="0ABB0437"/>
    <w:rsid w:val="0B424B21"/>
    <w:rsid w:val="0CB360E3"/>
    <w:rsid w:val="0D29042F"/>
    <w:rsid w:val="0DD57FD4"/>
    <w:rsid w:val="0E98231D"/>
    <w:rsid w:val="10525387"/>
    <w:rsid w:val="13761663"/>
    <w:rsid w:val="14566D07"/>
    <w:rsid w:val="149106A9"/>
    <w:rsid w:val="15A844D8"/>
    <w:rsid w:val="16C97FD5"/>
    <w:rsid w:val="18251A52"/>
    <w:rsid w:val="189865EA"/>
    <w:rsid w:val="189E4661"/>
    <w:rsid w:val="191D7DDA"/>
    <w:rsid w:val="1B214753"/>
    <w:rsid w:val="1BBF1EF5"/>
    <w:rsid w:val="1F9757DB"/>
    <w:rsid w:val="1F986481"/>
    <w:rsid w:val="20592BE1"/>
    <w:rsid w:val="20640C3F"/>
    <w:rsid w:val="21A4285E"/>
    <w:rsid w:val="22CC3197"/>
    <w:rsid w:val="24941163"/>
    <w:rsid w:val="25F5515A"/>
    <w:rsid w:val="27D6293C"/>
    <w:rsid w:val="290520D8"/>
    <w:rsid w:val="2AEB24EE"/>
    <w:rsid w:val="2BBB18D0"/>
    <w:rsid w:val="2C243F92"/>
    <w:rsid w:val="2CB33DAF"/>
    <w:rsid w:val="2EB931C8"/>
    <w:rsid w:val="2EBF6305"/>
    <w:rsid w:val="308736FD"/>
    <w:rsid w:val="30A25EDE"/>
    <w:rsid w:val="30D137C6"/>
    <w:rsid w:val="30D94893"/>
    <w:rsid w:val="3102162A"/>
    <w:rsid w:val="32440088"/>
    <w:rsid w:val="32634685"/>
    <w:rsid w:val="33DD3477"/>
    <w:rsid w:val="33FB17A0"/>
    <w:rsid w:val="34437348"/>
    <w:rsid w:val="345522E2"/>
    <w:rsid w:val="34C53C82"/>
    <w:rsid w:val="37ED5C91"/>
    <w:rsid w:val="3802063D"/>
    <w:rsid w:val="383C054D"/>
    <w:rsid w:val="383D757F"/>
    <w:rsid w:val="393873DF"/>
    <w:rsid w:val="39CF6FB9"/>
    <w:rsid w:val="3A6131C4"/>
    <w:rsid w:val="3B4F0A10"/>
    <w:rsid w:val="3C681786"/>
    <w:rsid w:val="3CC24337"/>
    <w:rsid w:val="3EC04461"/>
    <w:rsid w:val="44E346A3"/>
    <w:rsid w:val="47470370"/>
    <w:rsid w:val="4843326B"/>
    <w:rsid w:val="488223CF"/>
    <w:rsid w:val="4C60075D"/>
    <w:rsid w:val="4CDF25A1"/>
    <w:rsid w:val="4D1D5807"/>
    <w:rsid w:val="4F7932B9"/>
    <w:rsid w:val="50100316"/>
    <w:rsid w:val="518F59FB"/>
    <w:rsid w:val="548478C0"/>
    <w:rsid w:val="54C54091"/>
    <w:rsid w:val="567D22C0"/>
    <w:rsid w:val="57025C73"/>
    <w:rsid w:val="5773785B"/>
    <w:rsid w:val="57F23763"/>
    <w:rsid w:val="59C4013B"/>
    <w:rsid w:val="5B804AF4"/>
    <w:rsid w:val="5BC54731"/>
    <w:rsid w:val="5D081E82"/>
    <w:rsid w:val="5D1C319C"/>
    <w:rsid w:val="5E2407D8"/>
    <w:rsid w:val="5F1C2834"/>
    <w:rsid w:val="60173424"/>
    <w:rsid w:val="60B3541A"/>
    <w:rsid w:val="637A5B1E"/>
    <w:rsid w:val="64A86E67"/>
    <w:rsid w:val="64B672AC"/>
    <w:rsid w:val="64B9444F"/>
    <w:rsid w:val="658F70C5"/>
    <w:rsid w:val="66AA7E0A"/>
    <w:rsid w:val="67D624B5"/>
    <w:rsid w:val="67ED6ECE"/>
    <w:rsid w:val="68264162"/>
    <w:rsid w:val="6837248C"/>
    <w:rsid w:val="685540BB"/>
    <w:rsid w:val="68907D7D"/>
    <w:rsid w:val="698D1D65"/>
    <w:rsid w:val="69B759BE"/>
    <w:rsid w:val="6A1C443B"/>
    <w:rsid w:val="6A8C1659"/>
    <w:rsid w:val="6B4A616F"/>
    <w:rsid w:val="6BE0108D"/>
    <w:rsid w:val="6C024E76"/>
    <w:rsid w:val="6CC32B0B"/>
    <w:rsid w:val="6F543924"/>
    <w:rsid w:val="712C0A24"/>
    <w:rsid w:val="786F7A21"/>
    <w:rsid w:val="78E26444"/>
    <w:rsid w:val="796973DC"/>
    <w:rsid w:val="7B572B05"/>
    <w:rsid w:val="7B897FAC"/>
    <w:rsid w:val="7BC11CF4"/>
    <w:rsid w:val="7C154A8E"/>
    <w:rsid w:val="7C2A25D8"/>
    <w:rsid w:val="7CCA0014"/>
    <w:rsid w:val="7E483361"/>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9"/>
    <w:pPr>
      <w:tabs>
        <w:tab w:val="left" w:pos="2078"/>
      </w:tabs>
      <w:spacing w:before="120" w:beforeLines="50" w:after="120" w:afterLines="50"/>
      <w:ind w:firstLine="560"/>
      <w:outlineLvl w:val="0"/>
    </w:pPr>
    <w:rPr>
      <w:rFonts w:ascii="黑体" w:hAnsi="黑体" w:eastAsia="黑体" w:cs="黑体"/>
      <w:szCs w:val="28"/>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pPr>
      <w:spacing w:line="380" w:lineRule="exact"/>
    </w:pPr>
    <w:rPr>
      <w:sz w:val="24"/>
    </w:r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nhideWhenUsed/>
    <w:qFormat/>
    <w:uiPriority w:val="99"/>
    <w:pPr>
      <w:spacing w:after="120"/>
      <w:ind w:left="420" w:leftChars="200"/>
    </w:pPr>
    <w:rPr>
      <w:kern w:val="2"/>
      <w:sz w:val="16"/>
      <w:szCs w:val="16"/>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style>
  <w:style w:type="paragraph" w:customStyle="1" w:styleId="17">
    <w:name w:val="样式 表格正文 + 两端对齐"/>
    <w:basedOn w:val="1"/>
    <w:next w:val="18"/>
    <w:qFormat/>
    <w:uiPriority w:val="0"/>
    <w:pPr>
      <w:spacing w:line="300" w:lineRule="auto"/>
    </w:pPr>
  </w:style>
  <w:style w:type="paragraph" w:customStyle="1" w:styleId="18">
    <w:name w:val="正文1"/>
    <w:basedOn w:val="1"/>
    <w:qFormat/>
    <w:uiPriority w:val="0"/>
    <w:pPr>
      <w:spacing w:line="480" w:lineRule="exact"/>
      <w:ind w:firstLine="567"/>
    </w:pPr>
    <w:rPr>
      <w:rFonts w:ascii="幼圆" w:eastAsia="幼圆"/>
      <w:sz w:val="28"/>
      <w:szCs w:val="20"/>
    </w:rPr>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paragraph" w:customStyle="1" w:styleId="2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1">
    <w:name w:val="Other|1"/>
    <w:basedOn w:val="1"/>
    <w:qFormat/>
    <w:uiPriority w:val="0"/>
    <w:pPr>
      <w:spacing w:after="40" w:line="293" w:lineRule="auto"/>
    </w:pPr>
    <w:rPr>
      <w:rFonts w:ascii="宋体" w:hAnsi="宋体" w:cs="宋体"/>
      <w:sz w:val="22"/>
      <w:szCs w:val="22"/>
      <w:lang w:val="zh-TW" w:eastAsia="zh-TW" w:bidi="zh-TW"/>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4">
    <w:name w:val="样式3"/>
    <w:basedOn w:val="8"/>
    <w:qFormat/>
    <w:uiPriority w:val="0"/>
    <w:pPr>
      <w:spacing w:line="0" w:lineRule="atLeast"/>
      <w:outlineLvl w:val="0"/>
    </w:pPr>
    <w:rPr>
      <w:sz w:val="28"/>
    </w:rPr>
  </w:style>
  <w:style w:type="paragraph" w:customStyle="1" w:styleId="25">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paragraph" w:customStyle="1" w:styleId="26">
    <w:name w:val="Table Paragraph"/>
    <w:basedOn w:val="1"/>
    <w:qFormat/>
    <w:uiPriority w:val="1"/>
  </w:style>
  <w:style w:type="table" w:customStyle="1" w:styleId="27">
    <w:name w:val="Table Normal_0"/>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7851</Words>
  <Characters>8188</Characters>
  <Lines>0</Lines>
  <Paragraphs>0</Paragraphs>
  <TotalTime>6</TotalTime>
  <ScaleCrop>false</ScaleCrop>
  <LinksUpToDate>false</LinksUpToDate>
  <CharactersWithSpaces>8443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2024-01-08T09:09:00Z</cp:lastPrinted>
  <dcterms:modified xsi:type="dcterms:W3CDTF">2025-09-18T03:51:45Z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y fmtid="{D5CDD505-2E9C-101B-9397-08002B2CF9AE}" pid="4" name="KSOTemplateDocerSaveRecord">
    <vt:lpwstr>eyJoZGlkIjoiMGFmOTYwMWRiMmQ3ZDgyYjY0NzkyMzI1NzVhOTRmNzMifQ==</vt:lpwstr>
  </property>
</Properties>
</file>