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360" w:lineRule="auto"/>
        <w:ind w:left="0"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360" w:lineRule="auto"/>
        <w:ind w:left="0"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LCCQJJ20250912</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w:t>
      </w:r>
      <w:r>
        <w:rPr>
          <w:rFonts w:hint="eastAsia" w:asciiTheme="minorEastAsia" w:hAnsiTheme="minorEastAsia" w:eastAsiaTheme="minorEastAsia" w:cstheme="minorEastAsia"/>
          <w:b/>
          <w:bCs/>
          <w:sz w:val="24"/>
          <w:highlight w:val="none"/>
          <w:lang w:val="en-US" w:eastAsia="zh-CN"/>
        </w:rPr>
        <w:t>服务</w:t>
      </w:r>
      <w:r>
        <w:rPr>
          <w:rFonts w:hint="eastAsia" w:asciiTheme="minorEastAsia" w:hAnsiTheme="minorEastAsia" w:eastAsiaTheme="minorEastAsia" w:cstheme="minorEastAsia"/>
          <w:b/>
          <w:bCs/>
          <w:sz w:val="24"/>
          <w:highlight w:val="none"/>
        </w:rPr>
        <w:t>要求</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《基于城乡供水一体化连城县城区给水系统优化研究及技术方案编制》产学研技术咨询服务项目（二次）</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482" w:firstLineChars="200"/>
        <w:jc w:val="left"/>
        <w:textAlignment w:val="auto"/>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350000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482" w:firstLineChars="200"/>
        <w:jc w:val="left"/>
        <w:textAlignment w:val="auto"/>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75" w:firstLine="241" w:firstLineChars="100"/>
        <w:textAlignment w:val="auto"/>
        <w:rPr>
          <w:rFonts w:hint="eastAsia" w:ascii="宋体" w:hAnsi="宋体" w:eastAsia="宋体" w:cs="宋体"/>
          <w:b w:val="0"/>
          <w:bCs w:val="0"/>
          <w:color w:val="000000"/>
          <w:sz w:val="24"/>
          <w:szCs w:val="24"/>
          <w:highlight w:val="none"/>
          <w:u w:val="none"/>
          <w:lang w:eastAsia="zh-CN"/>
        </w:rPr>
      </w:pPr>
      <w:r>
        <w:rPr>
          <w:rFonts w:hint="eastAsia" w:ascii="宋体" w:hAnsi="宋体" w:eastAsia="宋体" w:cs="宋体"/>
          <w:b/>
          <w:bCs/>
          <w:snapToGrid w:val="0"/>
          <w:color w:val="000000"/>
          <w:sz w:val="24"/>
          <w:szCs w:val="24"/>
          <w:highlight w:val="none"/>
          <w:lang w:val="en-US" w:eastAsia="zh-CN"/>
        </w:rPr>
        <w:t>3.1技术服务目标</w:t>
      </w:r>
      <w:r>
        <w:rPr>
          <w:rFonts w:hint="eastAsia" w:ascii="宋体" w:hAnsi="宋体" w:eastAsia="宋体" w:cs="宋体"/>
          <w:b w:val="0"/>
          <w:bCs w:val="0"/>
          <w:snapToGrid w:val="0"/>
          <w:color w:val="000000"/>
          <w:sz w:val="24"/>
          <w:szCs w:val="24"/>
          <w:highlight w:val="none"/>
          <w:lang w:val="en-US" w:eastAsia="zh-CN"/>
        </w:rPr>
        <w:t>：</w:t>
      </w:r>
      <w:r>
        <w:rPr>
          <w:rFonts w:hint="eastAsia" w:ascii="宋体" w:hAnsi="宋体" w:eastAsia="宋体" w:cs="宋体"/>
          <w:b w:val="0"/>
          <w:bCs w:val="0"/>
          <w:color w:val="000000"/>
          <w:sz w:val="24"/>
          <w:szCs w:val="24"/>
          <w:highlight w:val="none"/>
          <w:u w:val="none"/>
          <w:lang w:eastAsia="zh-CN"/>
        </w:rPr>
        <w:t>基于城乡供水一体化连城县城区给水系统优化研究及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val="0"/>
          <w:bCs w:val="0"/>
          <w:color w:val="000000"/>
          <w:sz w:val="24"/>
          <w:szCs w:val="24"/>
          <w:highlight w:val="none"/>
          <w:u w:val="none"/>
          <w:lang w:eastAsia="zh-CN"/>
        </w:rPr>
        <w:t>技术方案编制</w:t>
      </w:r>
      <w:r>
        <w:rPr>
          <w:rFonts w:hint="eastAsia" w:ascii="宋体" w:hAnsi="宋体" w:eastAsia="宋体" w:cs="宋体"/>
          <w:b w:val="0"/>
          <w:bCs w:val="0"/>
          <w:snapToGrid w:val="0"/>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75" w:firstLine="241" w:firstLineChars="1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3.2服务内容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（1）在梳理分析水系统现状的基础上，运用平差分析、水力模型等工具对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主城区水系统开展运行工况模拟与拟合验证：</w:t>
      </w:r>
      <w:r>
        <w:rPr>
          <w:rFonts w:hint="eastAsia" w:ascii="宋体" w:hAnsi="宋体" w:eastAsia="宋体" w:cs="宋体"/>
          <w:b w:val="0"/>
          <w:bCs w:val="0"/>
          <w:snapToGrid w:val="0"/>
          <w:color w:val="000000"/>
          <w:sz w:val="24"/>
          <w:szCs w:val="24"/>
          <w:highlight w:val="none"/>
          <w:lang w:val="en-US" w:eastAsia="zh-CN"/>
        </w:rPr>
        <w:t>在对连城主城区供水系统相关资料进行全面搜集并摸排梳理分析的基础上，结合现场调研、实地勘查测量等措施，以尽量充分掌握主城区供水系统现状及运行情况；梳理现状管网拓扑、关键节点高程、阀门等信息，定位用水量并进行管网挂接，应用管网平差、水力模型等工具，对主城区供水系统运行工况进行模拟，并结合实际流量、压力信息进行拟合验证；在此基础上，对①关停主城区波洋/竹光/姚坪地下补水点、②加大福地水厂供水量、③</w:t>
      </w:r>
      <w:r>
        <w:rPr>
          <w:rFonts w:hint="eastAsia" w:ascii="宋体" w:hAnsi="宋体" w:eastAsia="宋体" w:cs="宋体"/>
          <w:snapToGrid w:val="0"/>
          <w:color w:val="000000"/>
          <w:sz w:val="24"/>
          <w:szCs w:val="24"/>
          <w:highlight w:val="none"/>
        </w:rPr>
        <w:t>嘉波水厂事故停水等生产方案开展运行工况模拟分析，为城区</w:t>
      </w:r>
      <w:bookmarkStart w:id="2" w:name="_Hlk172363903"/>
      <w:r>
        <w:rPr>
          <w:rFonts w:hint="eastAsia" w:ascii="宋体" w:hAnsi="宋体" w:eastAsia="宋体" w:cs="宋体"/>
          <w:snapToGrid w:val="0"/>
          <w:color w:val="000000"/>
          <w:sz w:val="24"/>
          <w:szCs w:val="24"/>
          <w:highlight w:val="none"/>
        </w:rPr>
        <w:t>给水系统DMA分区、压力监测点布局及管网优化改造、中途加压泵站布局选点</w:t>
      </w:r>
      <w:bookmarkEnd w:id="2"/>
      <w:r>
        <w:rPr>
          <w:rFonts w:hint="eastAsia" w:ascii="宋体" w:hAnsi="宋体" w:eastAsia="宋体" w:cs="宋体"/>
          <w:snapToGrid w:val="0"/>
          <w:color w:val="000000"/>
          <w:sz w:val="24"/>
          <w:szCs w:val="24"/>
          <w:highlight w:val="none"/>
        </w:rPr>
        <w:t>提供理论支撑。</w:t>
      </w:r>
    </w:p>
    <w:p>
      <w:pPr>
        <w:pageBreakBefore w:val="0"/>
        <w:numPr>
          <w:ilvl w:val="0"/>
          <w:numId w:val="0"/>
        </w:numPr>
        <w:kinsoku/>
        <w:wordWrap/>
        <w:topLinePunct w:val="0"/>
        <w:bidi w:val="0"/>
        <w:adjustRightInd w:val="0"/>
        <w:snapToGrid w:val="0"/>
        <w:spacing w:line="360" w:lineRule="auto"/>
        <w:ind w:firstLine="482" w:firstLineChars="200"/>
        <w:rPr>
          <w:rFonts w:hint="eastAsia" w:ascii="宋体" w:hAnsi="宋体" w:eastAsia="宋体" w:cs="宋体"/>
          <w:snapToGrid w:val="0"/>
          <w:color w:val="000000"/>
          <w:sz w:val="24"/>
          <w:szCs w:val="24"/>
          <w:highlight w:val="none"/>
        </w:rPr>
      </w:pPr>
      <w:r>
        <w:rPr>
          <w:rFonts w:hint="eastAsia" w:ascii="宋体" w:hAnsi="宋体" w:eastAsia="宋体" w:cs="宋体"/>
          <w:b/>
          <w:bCs/>
          <w:snapToGrid w:val="0"/>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2</w:t>
      </w:r>
      <w:r>
        <w:rPr>
          <w:rFonts w:hint="eastAsia" w:ascii="宋体" w:hAnsi="宋体" w:eastAsia="宋体" w:cs="宋体"/>
          <w:b/>
          <w:bCs/>
          <w:snapToGrid w:val="0"/>
          <w:color w:val="000000"/>
          <w:sz w:val="24"/>
          <w:szCs w:val="24"/>
          <w:highlight w:val="none"/>
          <w:lang w:eastAsia="zh-CN"/>
        </w:rPr>
        <w:t>）</w:t>
      </w:r>
      <w:r>
        <w:rPr>
          <w:rFonts w:hint="eastAsia" w:ascii="宋体" w:hAnsi="宋体" w:eastAsia="宋体" w:cs="宋体"/>
          <w:b/>
          <w:bCs/>
          <w:snapToGrid w:val="0"/>
          <w:color w:val="000000"/>
          <w:sz w:val="24"/>
          <w:szCs w:val="24"/>
          <w:highlight w:val="none"/>
        </w:rPr>
        <w:t>连城县城区给水系统优化改造建议</w:t>
      </w:r>
      <w:r>
        <w:rPr>
          <w:rFonts w:hint="eastAsia" w:ascii="宋体" w:hAnsi="宋体" w:eastAsia="宋体" w:cs="宋体"/>
          <w:snapToGrid w:val="0"/>
          <w:color w:val="000000"/>
          <w:sz w:val="24"/>
          <w:szCs w:val="24"/>
          <w:highlight w:val="none"/>
        </w:rPr>
        <w:t>：基于工况模拟分析，结合主城区</w:t>
      </w:r>
    </w:p>
    <w:p>
      <w:pPr>
        <w:pageBreakBefore w:val="0"/>
        <w:numPr>
          <w:ilvl w:val="0"/>
          <w:numId w:val="0"/>
        </w:numPr>
        <w:kinsoku/>
        <w:wordWrap/>
        <w:topLinePunct w:val="0"/>
        <w:bidi w:val="0"/>
        <w:adjustRightInd w:val="0"/>
        <w:snapToGrid w:val="0"/>
        <w:spacing w:line="360" w:lineRule="auto"/>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现有管网、水厂泵站设备设施、小区二供设备设施等现状及近期改造计划，就城区供水布局、管网优化改造、中途加压泵站布局选点及生产调度等提出可行技术方案建议，并结合现场调研、工程可行性验证确认、成本效益因素等，研究形成《连城县城区给水系统近中期管网及供水设施优化改造技术方案》，为主城区水系统近中期优化改造提供整体性指导。</w:t>
      </w:r>
      <w:r>
        <w:rPr>
          <w:rFonts w:hint="eastAsia" w:ascii="宋体" w:hAnsi="宋体" w:eastAsia="宋体" w:cs="宋体"/>
          <w:snapToGrid w:val="0"/>
          <w:color w:val="000000"/>
          <w:sz w:val="24"/>
          <w:szCs w:val="24"/>
          <w:highlight w:val="none"/>
          <w:lang w:val="en-US" w:eastAsia="zh-CN"/>
        </w:rPr>
        <w:t>在此基础上，为后续连城水务参与《连城县2025-2030给水专项规划》的编制提供指导建议和材料支持。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（3）城区DMA分区及压力监测现状分析及优化改进建议：</w:t>
      </w:r>
      <w:r>
        <w:rPr>
          <w:rFonts w:hint="eastAsia" w:ascii="宋体" w:hAnsi="宋体" w:eastAsia="宋体" w:cs="宋体"/>
          <w:b w:val="0"/>
          <w:bCs w:val="0"/>
          <w:snapToGrid w:val="0"/>
          <w:color w:val="000000"/>
          <w:sz w:val="24"/>
          <w:szCs w:val="24"/>
          <w:highlight w:val="none"/>
          <w:lang w:val="en-US" w:eastAsia="zh-CN"/>
        </w:rPr>
        <w:t>基于现状信息摸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val="0"/>
          <w:bCs w:val="0"/>
          <w:snapToGrid w:val="0"/>
          <w:color w:val="000000"/>
          <w:sz w:val="24"/>
          <w:szCs w:val="24"/>
          <w:highlight w:val="none"/>
          <w:lang w:val="en-US" w:eastAsia="zh-CN"/>
        </w:rPr>
        <w:t>排，对主城区现有流量、压力监测点数据质量进行评估，指导完善现有DMA分区上下级流量关系，指导优化压力监测点布局。并根据水系统优化和生产调度改进推进步骤，形成《进一步完善连城主城区压力监测点及推进DMA分区细化建设的指导建议》，为后续工作提供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（4）为连城水务漏损管控、节能降耗工作提供长期技术支持和指导</w:t>
      </w:r>
      <w:r>
        <w:rPr>
          <w:rFonts w:hint="eastAsia" w:ascii="宋体" w:hAnsi="宋体" w:eastAsia="宋体" w:cs="宋体"/>
          <w:b w:val="0"/>
          <w:bCs w:val="0"/>
          <w:snapToGrid w:val="0"/>
          <w:color w:val="000000"/>
          <w:sz w:val="24"/>
          <w:szCs w:val="24"/>
          <w:highlight w:val="none"/>
          <w:lang w:val="en-US" w:eastAsia="zh-CN"/>
        </w:rPr>
        <w:t>，包括：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default" w:ascii="Calibri" w:hAnsi="Calibri" w:eastAsia="宋体" w:cs="Calibri"/>
          <w:b w:val="0"/>
          <w:bCs w:val="0"/>
          <w:snapToGrid w:val="0"/>
          <w:color w:val="000000"/>
          <w:sz w:val="24"/>
          <w:szCs w:val="24"/>
          <w:highlight w:val="none"/>
          <w:lang w:val="en-US" w:eastAsia="zh-CN"/>
        </w:rPr>
        <w:t>①</w:t>
      </w:r>
      <w:r>
        <w:rPr>
          <w:rFonts w:hint="eastAsia" w:ascii="宋体" w:hAnsi="宋体" w:eastAsia="宋体" w:cs="宋体"/>
          <w:b w:val="0"/>
          <w:bCs w:val="0"/>
          <w:snapToGrid w:val="0"/>
          <w:color w:val="000000"/>
          <w:sz w:val="24"/>
          <w:szCs w:val="24"/>
          <w:highlight w:val="none"/>
          <w:lang w:val="en-US" w:eastAsia="zh-CN"/>
        </w:rPr>
        <w:t>为连城水务提供为期一年的长期技术支持与辅导，在辅导期间，提供包括a、应水务需求为各项具体工作提供专家指导建议、b、</w:t>
      </w:r>
      <w:r>
        <w:rPr>
          <w:rFonts w:hint="eastAsia" w:ascii="宋体" w:hAnsi="宋体" w:eastAsia="宋体" w:cs="宋体"/>
          <w:snapToGrid w:val="0"/>
          <w:color w:val="000000"/>
          <w:sz w:val="24"/>
          <w:szCs w:val="24"/>
          <w:highlight w:val="none"/>
        </w:rPr>
        <w:t>为连城水务团队提供技术指导（地点可在连城/福州，每年不少于3次/年）</w:t>
      </w:r>
      <w:r>
        <w:rPr>
          <w:rFonts w:hint="eastAsia" w:ascii="宋体" w:hAnsi="宋体" w:eastAsia="宋体" w:cs="宋体"/>
          <w:b w:val="0"/>
          <w:bCs w:val="0"/>
          <w:snapToGrid w:val="0"/>
          <w:color w:val="000000"/>
          <w:sz w:val="24"/>
          <w:szCs w:val="24"/>
          <w:highlight w:val="none"/>
          <w:lang w:val="en-US" w:eastAsia="zh-CN"/>
        </w:rPr>
        <w:t>；</w:t>
      </w:r>
      <w:r>
        <w:rPr>
          <w:rFonts w:hint="default" w:ascii="Calibri" w:hAnsi="Calibri" w:eastAsia="宋体" w:cs="Calibri"/>
          <w:b w:val="0"/>
          <w:bCs w:val="0"/>
          <w:snapToGrid w:val="0"/>
          <w:color w:val="000000"/>
          <w:sz w:val="24"/>
          <w:szCs w:val="24"/>
          <w:highlight w:val="none"/>
          <w:lang w:val="en-US" w:eastAsia="zh-CN"/>
        </w:rPr>
        <w:t>②</w:t>
      </w:r>
      <w:r>
        <w:rPr>
          <w:rFonts w:hint="eastAsia" w:ascii="宋体" w:hAnsi="宋体" w:eastAsia="宋体" w:cs="宋体"/>
          <w:b w:val="0"/>
          <w:bCs w:val="0"/>
          <w:snapToGrid w:val="0"/>
          <w:color w:val="000000"/>
          <w:sz w:val="24"/>
          <w:szCs w:val="24"/>
          <w:highlight w:val="none"/>
          <w:lang w:val="en-US" w:eastAsia="zh-CN"/>
        </w:rPr>
        <w:t>为实际调度优化提供长期技术指导及支持，帮助连城水务通过逐步试点优化生产调度。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3.3服务形式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需提供水源、水厂、供水管网、供水用户、供水能耗、产销差、往年听探漏等相关现状资料与数据。</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需提供项目所需监测信息数据记录。</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需为</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人在技术咨询服务期间现场调研勘察、临时测流测压等工作提供便利；</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人应根据</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相关技术咨询服务目标需求，提供相关技术咨询服务服务；</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人应严格遵守保密协议，不得泄露</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相关生产数据资料，否则须承担因此产生的一切责任；</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（6）双方应按照本协议约定履行</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及</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人各项义务和职责。</w:t>
      </w:r>
    </w:p>
    <w:p>
      <w:pPr>
        <w:pStyle w:val="15"/>
        <w:pageBreakBefore w:val="0"/>
        <w:kinsoku/>
        <w:wordWrap/>
        <w:topLinePunct w:val="0"/>
        <w:bidi w:val="0"/>
        <w:spacing w:after="0" w:line="360" w:lineRule="auto"/>
        <w:ind w:left="0"/>
        <w:rPr>
          <w:rFonts w:hint="eastAsia" w:ascii="宋体" w:hAnsi="宋体" w:eastAsia="宋体" w:cs="宋体"/>
          <w:b/>
          <w:bCs/>
          <w:color w:val="0000FF"/>
          <w:kern w:val="2"/>
          <w:sz w:val="28"/>
          <w:szCs w:val="28"/>
          <w:highlight w:val="none"/>
        </w:rPr>
      </w:pPr>
      <w:r>
        <w:rPr>
          <w:rFonts w:hint="eastAsia" w:ascii="宋体" w:hAnsi="宋体" w:eastAsia="宋体" w:cs="宋体"/>
          <w:b/>
          <w:bCs/>
          <w:color w:val="0000FF"/>
          <w:kern w:val="2"/>
          <w:sz w:val="28"/>
          <w:szCs w:val="28"/>
          <w:highlight w:val="none"/>
          <w:lang w:val="en-US" w:eastAsia="zh-CN"/>
        </w:rPr>
        <w:t>3.4</w:t>
      </w:r>
      <w:r>
        <w:rPr>
          <w:rFonts w:hint="eastAsia" w:ascii="宋体" w:hAnsi="宋体" w:eastAsia="宋体" w:cs="宋体"/>
          <w:b/>
          <w:bCs/>
          <w:color w:val="0000FF"/>
          <w:kern w:val="2"/>
          <w:sz w:val="28"/>
          <w:szCs w:val="28"/>
          <w:highlight w:val="none"/>
        </w:rPr>
        <w:t>团队服务要求</w:t>
      </w:r>
    </w:p>
    <w:p>
      <w:pPr>
        <w:pStyle w:val="14"/>
        <w:pageBreakBefore w:val="0"/>
        <w:numPr>
          <w:ilvl w:val="0"/>
          <w:numId w:val="0"/>
        </w:numPr>
        <w:shd w:val="clear" w:color="auto" w:fill="FFFFFF"/>
        <w:kinsoku/>
        <w:wordWrap/>
        <w:topLinePunct w:val="0"/>
        <w:bidi w:val="0"/>
        <w:spacing w:before="0" w:beforeAutospacing="0" w:after="0" w:afterAutospacing="0" w:line="360" w:lineRule="auto"/>
        <w:ind w:left="-5" w:leftChars="0" w:firstLine="562" w:firstLineChars="200"/>
        <w:rPr>
          <w:rFonts w:hint="eastAsia" w:ascii="宋体" w:hAnsi="宋体" w:eastAsia="宋体" w:cs="宋体"/>
          <w:b/>
          <w:bCs/>
          <w:color w:val="0000FF"/>
          <w:kern w:val="2"/>
          <w:sz w:val="28"/>
          <w:szCs w:val="28"/>
          <w:highlight w:val="none"/>
        </w:rPr>
      </w:pPr>
      <w:r>
        <w:rPr>
          <w:rFonts w:hint="eastAsia" w:cs="宋体"/>
          <w:b/>
          <w:bCs/>
          <w:color w:val="0000FF"/>
          <w:kern w:val="2"/>
          <w:sz w:val="28"/>
          <w:szCs w:val="28"/>
          <w:highlight w:val="none"/>
          <w:lang w:eastAsia="zh-CN"/>
        </w:rPr>
        <w:t>（</w:t>
      </w:r>
      <w:r>
        <w:rPr>
          <w:rFonts w:hint="eastAsia" w:cs="宋体"/>
          <w:b/>
          <w:bCs/>
          <w:color w:val="0000FF"/>
          <w:kern w:val="2"/>
          <w:sz w:val="28"/>
          <w:szCs w:val="28"/>
          <w:highlight w:val="none"/>
          <w:lang w:val="en-US" w:eastAsia="zh-CN"/>
        </w:rPr>
        <w:t>1</w:t>
      </w:r>
      <w:r>
        <w:rPr>
          <w:rFonts w:hint="eastAsia" w:cs="宋体"/>
          <w:b/>
          <w:bCs/>
          <w:color w:val="0000FF"/>
          <w:kern w:val="2"/>
          <w:sz w:val="28"/>
          <w:szCs w:val="28"/>
          <w:highlight w:val="none"/>
          <w:lang w:eastAsia="zh-CN"/>
        </w:rPr>
        <w:t>）</w:t>
      </w:r>
      <w:r>
        <w:rPr>
          <w:rFonts w:hint="eastAsia" w:ascii="宋体" w:hAnsi="宋体" w:eastAsia="宋体" w:cs="宋体"/>
          <w:b/>
          <w:bCs/>
          <w:color w:val="0000FF"/>
          <w:kern w:val="2"/>
          <w:sz w:val="28"/>
          <w:szCs w:val="28"/>
          <w:highlight w:val="none"/>
        </w:rPr>
        <w:t>团队人数：至少3人组成</w:t>
      </w:r>
    </w:p>
    <w:p>
      <w:pPr>
        <w:pStyle w:val="14"/>
        <w:pageBreakBefore w:val="0"/>
        <w:numPr>
          <w:ilvl w:val="0"/>
          <w:numId w:val="0"/>
        </w:numPr>
        <w:shd w:val="clear" w:color="auto" w:fill="FFFFFF"/>
        <w:kinsoku/>
        <w:wordWrap/>
        <w:topLinePunct w:val="0"/>
        <w:bidi w:val="0"/>
        <w:spacing w:before="0" w:beforeAutospacing="0" w:after="0" w:afterAutospacing="0" w:line="360" w:lineRule="auto"/>
        <w:ind w:left="-5" w:leftChars="0" w:firstLine="562" w:firstLineChars="200"/>
        <w:rPr>
          <w:rFonts w:hint="eastAsia" w:ascii="宋体" w:hAnsi="宋体" w:eastAsia="宋体" w:cs="宋体"/>
          <w:b/>
          <w:bCs/>
          <w:color w:val="0000FF"/>
          <w:kern w:val="2"/>
          <w:sz w:val="28"/>
          <w:szCs w:val="28"/>
          <w:highlight w:val="none"/>
        </w:rPr>
      </w:pPr>
      <w:r>
        <w:rPr>
          <w:rFonts w:hint="eastAsia" w:cs="宋体"/>
          <w:b/>
          <w:bCs/>
          <w:color w:val="0000FF"/>
          <w:kern w:val="2"/>
          <w:sz w:val="28"/>
          <w:szCs w:val="28"/>
          <w:highlight w:val="none"/>
          <w:lang w:eastAsia="zh-CN"/>
        </w:rPr>
        <w:t>（</w:t>
      </w:r>
      <w:r>
        <w:rPr>
          <w:rFonts w:hint="eastAsia" w:cs="宋体"/>
          <w:b/>
          <w:bCs/>
          <w:color w:val="0000FF"/>
          <w:kern w:val="2"/>
          <w:sz w:val="28"/>
          <w:szCs w:val="28"/>
          <w:highlight w:val="none"/>
          <w:lang w:val="en-US" w:eastAsia="zh-CN"/>
        </w:rPr>
        <w:t>2</w:t>
      </w:r>
      <w:r>
        <w:rPr>
          <w:rFonts w:hint="eastAsia" w:cs="宋体"/>
          <w:b/>
          <w:bCs/>
          <w:color w:val="0000FF"/>
          <w:kern w:val="2"/>
          <w:sz w:val="28"/>
          <w:szCs w:val="28"/>
          <w:highlight w:val="none"/>
          <w:lang w:eastAsia="zh-CN"/>
        </w:rPr>
        <w:t>）</w:t>
      </w:r>
      <w:r>
        <w:rPr>
          <w:rFonts w:hint="eastAsia" w:ascii="宋体" w:hAnsi="宋体" w:eastAsia="宋体" w:cs="宋体"/>
          <w:b/>
          <w:bCs/>
          <w:color w:val="0000FF"/>
          <w:kern w:val="2"/>
          <w:sz w:val="28"/>
          <w:szCs w:val="28"/>
          <w:highlight w:val="none"/>
        </w:rPr>
        <w:t>团队的负责人</w:t>
      </w:r>
      <w:r>
        <w:rPr>
          <w:rFonts w:hint="eastAsia" w:cs="宋体"/>
          <w:b/>
          <w:bCs/>
          <w:color w:val="0000FF"/>
          <w:kern w:val="2"/>
          <w:sz w:val="28"/>
          <w:szCs w:val="28"/>
          <w:highlight w:val="none"/>
          <w:lang w:eastAsia="zh-CN"/>
        </w:rPr>
        <w:t>（</w:t>
      </w:r>
      <w:r>
        <w:rPr>
          <w:rFonts w:hint="eastAsia" w:cs="宋体"/>
          <w:b/>
          <w:bCs/>
          <w:color w:val="0000FF"/>
          <w:kern w:val="2"/>
          <w:sz w:val="28"/>
          <w:szCs w:val="28"/>
          <w:highlight w:val="none"/>
          <w:lang w:val="en-US" w:eastAsia="zh-CN"/>
        </w:rPr>
        <w:t>1人</w:t>
      </w:r>
      <w:r>
        <w:rPr>
          <w:rFonts w:hint="eastAsia" w:cs="宋体"/>
          <w:b/>
          <w:bCs/>
          <w:color w:val="0000FF"/>
          <w:kern w:val="2"/>
          <w:sz w:val="28"/>
          <w:szCs w:val="28"/>
          <w:highlight w:val="none"/>
          <w:lang w:eastAsia="zh-CN"/>
        </w:rPr>
        <w:t>）</w:t>
      </w:r>
      <w:r>
        <w:rPr>
          <w:rFonts w:hint="eastAsia" w:ascii="宋体" w:hAnsi="宋体" w:eastAsia="宋体" w:cs="宋体"/>
          <w:b/>
          <w:bCs/>
          <w:color w:val="0000FF"/>
          <w:kern w:val="2"/>
          <w:sz w:val="28"/>
          <w:szCs w:val="28"/>
          <w:highlight w:val="none"/>
        </w:rPr>
        <w:t>：应具备教授或教授级高工职称，</w:t>
      </w:r>
      <w:bookmarkStart w:id="3" w:name="_Hlk172369312"/>
      <w:r>
        <w:rPr>
          <w:rFonts w:hint="eastAsia" w:ascii="宋体" w:hAnsi="宋体" w:eastAsia="宋体" w:cs="宋体"/>
          <w:b/>
          <w:bCs/>
          <w:color w:val="0000FF"/>
          <w:kern w:val="2"/>
          <w:sz w:val="28"/>
          <w:szCs w:val="28"/>
          <w:highlight w:val="none"/>
        </w:rPr>
        <w:t>具备城市水系统方面扎实的理论及应用研究基础和工程经验，</w:t>
      </w:r>
      <w:bookmarkEnd w:id="3"/>
      <w:r>
        <w:rPr>
          <w:rFonts w:hint="eastAsia" w:cs="宋体"/>
          <w:b/>
          <w:bCs/>
          <w:color w:val="0000FF"/>
          <w:kern w:val="2"/>
          <w:sz w:val="28"/>
          <w:szCs w:val="28"/>
          <w:highlight w:val="none"/>
          <w:lang w:val="en-US" w:eastAsia="zh-CN"/>
        </w:rPr>
        <w:t>并至少</w:t>
      </w:r>
      <w:r>
        <w:rPr>
          <w:rFonts w:hint="eastAsia" w:ascii="宋体" w:hAnsi="宋体" w:eastAsia="宋体" w:cs="宋体"/>
          <w:b/>
          <w:bCs/>
          <w:color w:val="0000FF"/>
          <w:kern w:val="2"/>
          <w:sz w:val="28"/>
          <w:szCs w:val="28"/>
          <w:highlight w:val="none"/>
        </w:rPr>
        <w:t>承担过下列类别项目</w:t>
      </w:r>
      <w:r>
        <w:rPr>
          <w:rFonts w:hint="eastAsia" w:cs="宋体"/>
          <w:b/>
          <w:bCs/>
          <w:color w:val="0000FF"/>
          <w:kern w:val="2"/>
          <w:sz w:val="28"/>
          <w:szCs w:val="28"/>
          <w:highlight w:val="none"/>
          <w:lang w:val="en-US" w:eastAsia="zh-CN"/>
        </w:rPr>
        <w:t>中的至少一项</w:t>
      </w:r>
      <w:r>
        <w:rPr>
          <w:rFonts w:hint="eastAsia" w:ascii="宋体" w:hAnsi="宋体" w:eastAsia="宋体" w:cs="宋体"/>
          <w:b/>
          <w:bCs/>
          <w:color w:val="0000FF"/>
          <w:kern w:val="2"/>
          <w:sz w:val="28"/>
          <w:szCs w:val="28"/>
          <w:highlight w:val="none"/>
        </w:rPr>
        <w:t>：①承担过省级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以上城市水系统方面的纵向科研课题；</w:t>
      </w:r>
      <w:bookmarkStart w:id="4" w:name="_Hlk172716990"/>
      <w:r>
        <w:rPr>
          <w:rFonts w:hint="eastAsia" w:ascii="宋体" w:hAnsi="宋体" w:eastAsia="宋体" w:cs="宋体"/>
          <w:b/>
          <w:bCs/>
          <w:color w:val="0000FF"/>
          <w:kern w:val="2"/>
          <w:sz w:val="28"/>
          <w:szCs w:val="28"/>
          <w:highlight w:val="none"/>
        </w:rPr>
        <w:t>②</w:t>
      </w:r>
      <w:bookmarkEnd w:id="4"/>
      <w:r>
        <w:rPr>
          <w:rFonts w:hint="eastAsia" w:ascii="宋体" w:hAnsi="宋体" w:eastAsia="宋体" w:cs="宋体"/>
          <w:b/>
          <w:bCs/>
          <w:color w:val="0000FF"/>
          <w:kern w:val="2"/>
          <w:sz w:val="28"/>
          <w:szCs w:val="28"/>
          <w:highlight w:val="none"/>
        </w:rPr>
        <w:t>承担过县级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以上城市水系统工程的研究或应用的项目；③参与过省级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以上给排水</w:t>
      </w:r>
      <w:r>
        <w:rPr>
          <w:rFonts w:hint="eastAsia" w:ascii="宋体" w:hAnsi="宋体" w:eastAsia="宋体" w:cs="宋体"/>
          <w:b/>
          <w:bCs/>
          <w:color w:val="0000FF"/>
          <w:kern w:val="2"/>
          <w:sz w:val="28"/>
          <w:szCs w:val="28"/>
          <w:highlight w:val="none"/>
          <w:lang w:val="en-US" w:eastAsia="zh-CN"/>
        </w:rPr>
        <w:t>领域</w:t>
      </w:r>
      <w:r>
        <w:rPr>
          <w:rFonts w:hint="eastAsia" w:ascii="宋体" w:hAnsi="宋体" w:eastAsia="宋体" w:cs="宋体"/>
          <w:b/>
          <w:bCs/>
          <w:color w:val="0000FF"/>
          <w:kern w:val="2"/>
          <w:sz w:val="28"/>
          <w:szCs w:val="28"/>
          <w:highlight w:val="none"/>
        </w:rPr>
        <w:t>的地方标准（规范），并颁布执行。</w:t>
      </w:r>
    </w:p>
    <w:p>
      <w:pPr>
        <w:pStyle w:val="14"/>
        <w:pageBreakBefore w:val="0"/>
        <w:shd w:val="clear" w:color="auto" w:fill="FFFFFF"/>
        <w:kinsoku/>
        <w:wordWrap/>
        <w:topLinePunct w:val="0"/>
        <w:bidi w:val="0"/>
        <w:spacing w:before="0" w:beforeAutospacing="0" w:after="0" w:afterAutospacing="0" w:line="360" w:lineRule="auto"/>
        <w:ind w:left="0" w:firstLine="562" w:firstLineChars="200"/>
        <w:rPr>
          <w:rFonts w:hint="eastAsia" w:cs="宋体"/>
          <w:b/>
          <w:bCs/>
          <w:color w:val="0000FF"/>
          <w:kern w:val="2"/>
          <w:sz w:val="28"/>
          <w:szCs w:val="28"/>
          <w:highlight w:val="none"/>
          <w:lang w:eastAsia="zh-CN"/>
        </w:rPr>
      </w:pPr>
      <w:r>
        <w:rPr>
          <w:rFonts w:hint="eastAsia" w:ascii="宋体" w:hAnsi="宋体" w:eastAsia="宋体" w:cs="宋体"/>
          <w:b/>
          <w:bCs/>
          <w:color w:val="0000FF"/>
          <w:kern w:val="2"/>
          <w:sz w:val="28"/>
          <w:szCs w:val="28"/>
          <w:highlight w:val="none"/>
        </w:rPr>
        <w:t>（3）团队其他成员：</w:t>
      </w:r>
      <w:r>
        <w:rPr>
          <w:rFonts w:hint="eastAsia" w:cs="宋体"/>
          <w:b/>
          <w:bCs/>
          <w:color w:val="0000FF"/>
          <w:kern w:val="2"/>
          <w:sz w:val="28"/>
          <w:szCs w:val="28"/>
          <w:highlight w:val="none"/>
          <w:lang w:val="en-US" w:eastAsia="zh-CN"/>
        </w:rPr>
        <w:t>应</w:t>
      </w:r>
      <w:r>
        <w:rPr>
          <w:rFonts w:hint="eastAsia" w:ascii="宋体" w:hAnsi="宋体" w:eastAsia="宋体" w:cs="宋体"/>
          <w:b/>
          <w:bCs/>
          <w:color w:val="0000FF"/>
          <w:kern w:val="2"/>
          <w:sz w:val="28"/>
          <w:szCs w:val="28"/>
          <w:highlight w:val="none"/>
        </w:rPr>
        <w:t>具备城市给水系统方面研究基础和经验</w:t>
      </w:r>
      <w:r>
        <w:rPr>
          <w:rFonts w:hint="eastAsia" w:cs="宋体"/>
          <w:b/>
          <w:bCs/>
          <w:color w:val="0000FF"/>
          <w:kern w:val="2"/>
          <w:sz w:val="28"/>
          <w:szCs w:val="28"/>
          <w:highlight w:val="none"/>
          <w:lang w:eastAsia="zh-CN"/>
        </w:rPr>
        <w:t>。</w:t>
      </w:r>
    </w:p>
    <w:p>
      <w:pPr>
        <w:pageBreakBefore w:val="0"/>
        <w:kinsoku/>
        <w:wordWrap/>
        <w:topLinePunct w:val="0"/>
        <w:bidi w:val="0"/>
        <w:spacing w:line="360" w:lineRule="auto"/>
        <w:ind w:left="0" w:firstLine="482" w:firstLineChars="200"/>
        <w:rPr>
          <w:rFonts w:hint="default" w:ascii="宋体" w:hAnsi="宋体" w:cs="宋体"/>
          <w:b/>
          <w:color w:val="FF0000"/>
          <w:sz w:val="24"/>
          <w:szCs w:val="24"/>
          <w:highlight w:val="none"/>
          <w:lang w:val="en-US" w:eastAsia="zh-CN"/>
        </w:rPr>
      </w:pPr>
      <w:r>
        <w:rPr>
          <w:rFonts w:hint="eastAsia" w:ascii="宋体" w:hAnsi="宋体" w:cs="宋体"/>
          <w:b/>
          <w:color w:val="FF0000"/>
          <w:sz w:val="24"/>
          <w:szCs w:val="24"/>
          <w:highlight w:val="none"/>
          <w:lang w:val="en-US" w:eastAsia="zh-CN"/>
        </w:rPr>
        <w:t>团队负责人需按要求提供相关证明材料。</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应达到的技术指标和参数</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人按照合同约定时间准时提交以下资料或提供技术服务：</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《主城区给水系统各类运行工况模拟阶段成果》一份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《连城县城区给水系统近中期管网及供水设施优化改造技术方案》一份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编制《进一步完善连城主城区压力监测点及推进DMA分区细化建设的指导建议》</w:t>
      </w:r>
      <w:r>
        <w:rPr>
          <w:rFonts w:hint="eastAsia" w:ascii="宋体" w:hAnsi="宋体" w:eastAsia="宋体" w:cs="宋体"/>
          <w:color w:val="000000"/>
          <w:sz w:val="24"/>
          <w:szCs w:val="24"/>
          <w:highlight w:val="none"/>
          <w:lang w:val="en-US" w:eastAsia="zh-CN"/>
        </w:rPr>
        <w:t>报告一份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color w:val="000000"/>
          <w:sz w:val="24"/>
          <w:szCs w:val="24"/>
          <w:highlight w:val="none"/>
        </w:rPr>
        <w:t>为连城水务提供为期</w:t>
      </w:r>
      <w:r>
        <w:rPr>
          <w:rFonts w:hint="eastAsia" w:ascii="宋体" w:hAnsi="宋体" w:eastAsia="宋体" w:cs="宋体"/>
          <w:color w:val="000000"/>
          <w:sz w:val="24"/>
          <w:szCs w:val="24"/>
          <w:highlight w:val="none"/>
          <w:lang w:val="en-US" w:eastAsia="zh-CN"/>
        </w:rPr>
        <w:t>壹</w:t>
      </w:r>
      <w:r>
        <w:rPr>
          <w:rFonts w:hint="eastAsia" w:ascii="宋体" w:hAnsi="宋体" w:eastAsia="宋体" w:cs="宋体"/>
          <w:color w:val="000000"/>
          <w:sz w:val="24"/>
          <w:szCs w:val="24"/>
          <w:highlight w:val="none"/>
        </w:rPr>
        <w:t>年的技术指导服务（包括但不限于合同内的成果跟进、需求响应、人员培训、生产试点技术支持等）</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工作条件和协作事项</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w:t>
      </w:r>
      <w:r>
        <w:rPr>
          <w:rFonts w:hint="eastAsia" w:ascii="宋体" w:hAnsi="宋体" w:eastAsia="宋体" w:cs="宋体"/>
          <w:color w:val="000000"/>
          <w:sz w:val="24"/>
          <w:szCs w:val="24"/>
          <w:highlight w:val="none"/>
        </w:rPr>
        <w:t>因本合同工作产生的一切成果（包括但不限于各阶段成果报告、论文等），知识产权归属由双方协商确定。</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5.2</w:t>
      </w:r>
      <w:r>
        <w:rPr>
          <w:rFonts w:hint="eastAsia" w:ascii="宋体" w:hAnsi="宋体" w:eastAsia="宋体" w:cs="宋体"/>
          <w:color w:val="000000"/>
          <w:sz w:val="24"/>
          <w:szCs w:val="24"/>
          <w:highlight w:val="none"/>
        </w:rPr>
        <w:t>专利申请权和专利权：由双方协商确定。</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5.3</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需提供项目研究所需技术资料和现场实验所需的条件。</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rPr>
        <w:t>保密要求：</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（1）保密内容（包括技术信息和经营信息）：与该项目有关的</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的管网资料、水质数据、研究城市的水文资料等所有未被公开的数据，应经</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同意后方可进行成果发表。</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（2）涉密人员范围：报价人项目组以及所有可能接触到相关保密数据的成员。</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履行期限、地点</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6.1</w:t>
      </w:r>
      <w:r>
        <w:rPr>
          <w:rFonts w:hint="eastAsia" w:ascii="宋体" w:hAnsi="宋体" w:eastAsia="宋体" w:cs="宋体"/>
          <w:color w:val="000000"/>
          <w:sz w:val="24"/>
          <w:szCs w:val="24"/>
          <w:highlight w:val="none"/>
        </w:rPr>
        <w:t>履行期限：自合同签订之日起</w:t>
      </w:r>
      <w:r>
        <w:rPr>
          <w:rFonts w:hint="eastAsia" w:ascii="宋体" w:hAnsi="宋体" w:eastAsia="宋体" w:cs="宋体"/>
          <w:color w:val="000000"/>
          <w:sz w:val="24"/>
          <w:szCs w:val="24"/>
          <w:highlight w:val="none"/>
          <w:lang w:val="en-US" w:eastAsia="zh-CN"/>
        </w:rPr>
        <w:t>365个日历日内</w:t>
      </w:r>
      <w:r>
        <w:rPr>
          <w:rFonts w:hint="eastAsia" w:ascii="宋体" w:hAnsi="宋体" w:eastAsia="宋体" w:cs="宋体"/>
          <w:color w:val="000000"/>
          <w:sz w:val="24"/>
          <w:szCs w:val="24"/>
          <w:highlight w:val="none"/>
        </w:rPr>
        <w:t>完成相关技术咨询服务工作。</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6.2</w:t>
      </w:r>
      <w:r>
        <w:rPr>
          <w:rFonts w:hint="eastAsia" w:ascii="宋体" w:hAnsi="宋体" w:eastAsia="宋体" w:cs="宋体"/>
          <w:color w:val="000000"/>
          <w:sz w:val="24"/>
          <w:szCs w:val="24"/>
          <w:highlight w:val="none"/>
        </w:rPr>
        <w:t>履行地点：本项目研究工作在福建省连城县及高校</w:t>
      </w:r>
      <w:r>
        <w:rPr>
          <w:rFonts w:hint="eastAsia" w:ascii="宋体" w:hAnsi="宋体" w:eastAsia="宋体" w:cs="宋体"/>
          <w:color w:val="000000"/>
          <w:sz w:val="24"/>
          <w:szCs w:val="24"/>
          <w:highlight w:val="none"/>
          <w:lang w:val="en-US" w:eastAsia="zh-CN"/>
        </w:rPr>
        <w:t>/研究机构</w:t>
      </w:r>
      <w:r>
        <w:rPr>
          <w:rFonts w:hint="eastAsia" w:ascii="宋体" w:hAnsi="宋体" w:eastAsia="宋体" w:cs="宋体"/>
          <w:color w:val="000000"/>
          <w:sz w:val="24"/>
          <w:szCs w:val="24"/>
          <w:highlight w:val="none"/>
        </w:rPr>
        <w:t>相关实验室进行。</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验收标准和方式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7.1成交人</w:t>
      </w:r>
      <w:r>
        <w:rPr>
          <w:rFonts w:hint="eastAsia" w:ascii="宋体" w:hAnsi="宋体" w:eastAsia="宋体" w:cs="宋体"/>
          <w:color w:val="000000"/>
          <w:sz w:val="24"/>
          <w:szCs w:val="24"/>
          <w:highlight w:val="none"/>
        </w:rPr>
        <w:t>完成技术服务工作的形式：技术指导和技术咨询、过程数据分析、提交成果报告、技术培训等。</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7.2</w:t>
      </w:r>
      <w:r>
        <w:rPr>
          <w:rFonts w:hint="eastAsia" w:ascii="宋体" w:hAnsi="宋体" w:eastAsia="宋体" w:cs="宋体"/>
          <w:color w:val="000000"/>
          <w:sz w:val="24"/>
          <w:szCs w:val="24"/>
          <w:highlight w:val="none"/>
        </w:rPr>
        <w:t>技术服务工作成果的验收标准：</w:t>
      </w:r>
    </w:p>
    <w:tbl>
      <w:tblPr>
        <w:tblStyle w:val="1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4920"/>
        <w:gridCol w:w="1095"/>
        <w:gridCol w:w="84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w:t>
            </w:r>
          </w:p>
        </w:tc>
        <w:tc>
          <w:tcPr>
            <w:tcW w:w="4920"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分项名称</w:t>
            </w:r>
          </w:p>
        </w:tc>
        <w:tc>
          <w:tcPr>
            <w:tcW w:w="1095"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预计完成时间</w:t>
            </w:r>
          </w:p>
        </w:tc>
        <w:tc>
          <w:tcPr>
            <w:tcW w:w="840"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验收方式</w:t>
            </w:r>
          </w:p>
        </w:tc>
        <w:tc>
          <w:tcPr>
            <w:tcW w:w="914"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restart"/>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《基于城乡供水一体化连城县城区给水系统优化研究及技术方案编制》技术咨询服务项目</w:t>
            </w: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资料搜集摸排及研究分析，基于管网系统拓扑梳理及用水点摸排和挂接，开展管网平差模拟分析（包括但不限于现状管网和优化后管网最高时工况、事故工况、消防工况等），提交《城区给水系统各类运行工况模拟阶段成果》</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2025.10</w:t>
            </w:r>
          </w:p>
        </w:tc>
        <w:tc>
          <w:tcPr>
            <w:tcW w:w="840" w:type="dxa"/>
            <w:vMerge w:val="restart"/>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连城水务组织专家评审验收</w:t>
            </w:r>
          </w:p>
        </w:tc>
        <w:tc>
          <w:tcPr>
            <w:tcW w:w="914" w:type="dxa"/>
            <w:vMerge w:val="restart"/>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通过连城水务组织的评审验收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lang w:eastAsia="zh-CN"/>
              </w:rPr>
            </w:pPr>
            <w:r>
              <w:rPr>
                <w:rFonts w:hint="eastAsia" w:ascii="宋体" w:hAnsi="宋体" w:eastAsia="宋体" w:cs="宋体"/>
                <w:color w:val="000000"/>
                <w:sz w:val="24"/>
                <w:szCs w:val="24"/>
                <w:highlight w:val="none"/>
              </w:rPr>
              <w:t>基于平差分析及结合实际条件，编制《连城县城区给水系统近中期管网及供水设施优化改造技术方案》</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2026.03</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编制《进一步完善连城主城区压力监测点及推进DMA分区细化建设的指导建议》</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2025.12</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val="en-US" w:eastAsia="zh-CN"/>
              </w:rPr>
              <w:t>专家</w:t>
            </w:r>
            <w:r>
              <w:rPr>
                <w:rFonts w:hint="eastAsia" w:ascii="宋体" w:hAnsi="宋体" w:eastAsia="宋体" w:cs="宋体"/>
                <w:color w:val="000000"/>
                <w:sz w:val="24"/>
                <w:szCs w:val="24"/>
                <w:highlight w:val="none"/>
              </w:rPr>
              <w:t>团队</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年技术指导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（包括但不限于合同内的</w:t>
            </w:r>
            <w:r>
              <w:rPr>
                <w:rFonts w:hint="eastAsia" w:ascii="宋体" w:hAnsi="宋体" w:eastAsia="宋体" w:cs="宋体"/>
                <w:color w:val="000000"/>
                <w:sz w:val="24"/>
                <w:szCs w:val="24"/>
                <w:highlight w:val="none"/>
                <w:lang w:val="en-US" w:eastAsia="zh-CN"/>
              </w:rPr>
              <w:t>疑难解答、人员培训、生产试点技术支持等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Style w:val="27"/>
                <w:rFonts w:hint="eastAsia" w:ascii="宋体" w:hAnsi="宋体" w:eastAsia="宋体" w:cs="宋体"/>
                <w:color w:val="000000"/>
                <w:sz w:val="24"/>
                <w:szCs w:val="24"/>
                <w:highlight w:val="none"/>
                <w:lang w:val="en-US" w:eastAsia="zh-CN" w:bidi="ar"/>
              </w:rPr>
              <w:t>万*1年</w:t>
            </w:r>
            <w:r>
              <w:rPr>
                <w:rFonts w:hint="eastAsia" w:ascii="宋体" w:hAnsi="宋体" w:eastAsia="宋体" w:cs="宋体"/>
                <w:color w:val="000000"/>
                <w:sz w:val="24"/>
                <w:szCs w:val="24"/>
                <w:highlight w:val="none"/>
                <w:lang w:eastAsia="zh-CN"/>
              </w:rPr>
              <w:t>）</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2026.06</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bl>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7.3</w:t>
      </w:r>
      <w:r>
        <w:rPr>
          <w:rFonts w:hint="eastAsia" w:ascii="宋体" w:hAnsi="宋体" w:eastAsia="宋体" w:cs="宋体"/>
          <w:color w:val="000000"/>
          <w:sz w:val="24"/>
          <w:szCs w:val="24"/>
          <w:highlight w:val="none"/>
        </w:rPr>
        <w:t>验收的时间和地点：根据项目进展情况，由</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人协商确定。</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付款方式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分期</w:t>
      </w:r>
      <w:r>
        <w:rPr>
          <w:rFonts w:hint="eastAsia" w:ascii="宋体" w:hAnsi="宋体" w:eastAsia="宋体" w:cs="宋体"/>
          <w:color w:val="000000"/>
          <w:sz w:val="24"/>
          <w:szCs w:val="24"/>
          <w:highlight w:val="none"/>
        </w:rPr>
        <w:t>支付，</w:t>
      </w:r>
    </w:p>
    <w:p>
      <w:pPr>
        <w:pageBreakBefore w:val="0"/>
        <w:numPr>
          <w:ilvl w:val="0"/>
          <w:numId w:val="2"/>
        </w:numPr>
        <w:tabs>
          <w:tab w:val="right" w:pos="8295"/>
        </w:tabs>
        <w:kinsoku/>
        <w:wordWrap/>
        <w:topLinePunct w:val="0"/>
        <w:bidi w:val="0"/>
        <w:snapToGrid w:val="0"/>
        <w:spacing w:line="360" w:lineRule="auto"/>
        <w:ind w:left="0" w:firstLine="4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合同签订后</w:t>
      </w:r>
      <w:r>
        <w:rPr>
          <w:rFonts w:hint="eastAsia" w:ascii="宋体" w:hAnsi="宋体" w:eastAsia="宋体" w:cs="宋体"/>
          <w:b/>
          <w:bCs/>
          <w:color w:val="000000"/>
          <w:sz w:val="24"/>
          <w:szCs w:val="24"/>
          <w:highlight w:val="none"/>
          <w:u w:val="single"/>
          <w:lang w:val="en-US" w:eastAsia="zh-CN"/>
        </w:rPr>
        <w:t>30</w:t>
      </w:r>
      <w:r>
        <w:rPr>
          <w:rFonts w:hint="eastAsia" w:ascii="宋体" w:hAnsi="宋体" w:eastAsia="宋体" w:cs="宋体"/>
          <w:color w:val="000000"/>
          <w:sz w:val="24"/>
          <w:szCs w:val="24"/>
          <w:highlight w:val="none"/>
        </w:rPr>
        <w:t>个工作日，甲方向乙方支付</w:t>
      </w:r>
      <w:r>
        <w:rPr>
          <w:rFonts w:hint="eastAsia" w:ascii="宋体" w:hAnsi="宋体" w:eastAsia="宋体" w:cs="宋体"/>
          <w:color w:val="000000"/>
          <w:sz w:val="24"/>
          <w:szCs w:val="24"/>
          <w:highlight w:val="none"/>
          <w:lang w:val="en-US" w:eastAsia="zh-CN"/>
        </w:rPr>
        <w:t>合同</w:t>
      </w:r>
      <w:r>
        <w:rPr>
          <w:rFonts w:hint="eastAsia" w:ascii="宋体" w:hAnsi="宋体" w:eastAsia="宋体" w:cs="宋体"/>
          <w:color w:val="000000"/>
          <w:sz w:val="24"/>
          <w:szCs w:val="24"/>
          <w:highlight w:val="none"/>
        </w:rPr>
        <w:t>总额的</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w:t>
      </w:r>
    </w:p>
    <w:p>
      <w:pPr>
        <w:pageBreakBefore w:val="0"/>
        <w:numPr>
          <w:ilvl w:val="0"/>
          <w:numId w:val="2"/>
        </w:numPr>
        <w:tabs>
          <w:tab w:val="right" w:pos="8295"/>
        </w:tabs>
        <w:kinsoku/>
        <w:wordWrap/>
        <w:topLinePunct w:val="0"/>
        <w:bidi w:val="0"/>
        <w:snapToGrid w:val="0"/>
        <w:spacing w:line="360" w:lineRule="auto"/>
        <w:ind w:left="0" w:firstLine="4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后续各项研究任务完成验收后，分批次</w:t>
      </w:r>
      <w:r>
        <w:rPr>
          <w:rFonts w:hint="eastAsia" w:ascii="宋体" w:hAnsi="宋体" w:cs="宋体"/>
          <w:color w:val="000000"/>
          <w:sz w:val="24"/>
          <w:szCs w:val="24"/>
          <w:highlight w:val="none"/>
          <w:lang w:val="en-US" w:eastAsia="zh-CN"/>
        </w:rPr>
        <w:t>支付</w:t>
      </w:r>
      <w:r>
        <w:rPr>
          <w:rFonts w:hint="eastAsia" w:ascii="宋体" w:hAnsi="宋体" w:eastAsia="宋体" w:cs="宋体"/>
          <w:color w:val="000000"/>
          <w:sz w:val="24"/>
          <w:szCs w:val="24"/>
          <w:highlight w:val="none"/>
          <w:lang w:val="en-US" w:eastAsia="zh-CN"/>
        </w:rPr>
        <w:t>各任务项对应70%尾款</w:t>
      </w:r>
      <w:r>
        <w:rPr>
          <w:rFonts w:hint="eastAsia" w:ascii="宋体" w:hAnsi="宋体" w:eastAsia="宋体" w:cs="宋体"/>
          <w:color w:val="000000"/>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360" w:lineRule="auto"/>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w:t>
      </w:r>
      <w:r>
        <w:rPr>
          <w:rFonts w:hint="eastAsia" w:asciiTheme="minorEastAsia" w:hAnsiTheme="minorEastAsia" w:eastAsiaTheme="minorEastAsia" w:cstheme="minorEastAsia"/>
          <w:color w:val="0000FF"/>
          <w:sz w:val="24"/>
          <w:highlight w:val="none"/>
          <w:lang w:eastAsia="zh-CN"/>
        </w:rPr>
        <w:t>委托人</w:t>
      </w:r>
      <w:r>
        <w:rPr>
          <w:rFonts w:hint="eastAsia" w:asciiTheme="minorEastAsia" w:hAnsiTheme="minorEastAsia" w:eastAsiaTheme="minorEastAsia" w:cstheme="minorEastAsia"/>
          <w:color w:val="0000FF"/>
          <w:sz w:val="24"/>
          <w:highlight w:val="none"/>
        </w:rPr>
        <w:t>给予以补偿。</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宋体" w:hAnsi="宋体" w:cs="宋体"/>
          <w:sz w:val="24"/>
        </w:rPr>
        <w:t>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default" w:asciiTheme="minorEastAsia" w:hAnsiTheme="minorEastAsia" w:eastAsiaTheme="minorEastAsia" w:cstheme="minorEastAsia"/>
          <w:b/>
          <w:bCs/>
          <w:color w:val="FF0000"/>
          <w:sz w:val="24"/>
          <w:szCs w:val="24"/>
          <w:shd w:val="clear"/>
          <w:lang w:val="en-US" w:eastAsia="zh-CN"/>
        </w:rPr>
      </w:pPr>
      <w:r>
        <w:rPr>
          <w:rFonts w:hint="eastAsia" w:asciiTheme="minorEastAsia" w:hAnsiTheme="minorEastAsia" w:eastAsiaTheme="minorEastAsia" w:cstheme="minorEastAsia"/>
          <w:b/>
          <w:bCs/>
          <w:color w:val="FF0000"/>
          <w:sz w:val="24"/>
          <w:szCs w:val="24"/>
          <w:shd w:val="clear"/>
          <w:lang w:val="en-US" w:eastAsia="zh-CN"/>
        </w:rPr>
        <w:t>7.</w:t>
      </w:r>
      <w:r>
        <w:rPr>
          <w:rFonts w:hint="eastAsia" w:asciiTheme="minorEastAsia" w:hAnsiTheme="minorEastAsia" w:eastAsiaTheme="minorEastAsia" w:cstheme="minorEastAsia"/>
          <w:b/>
          <w:bCs/>
          <w:color w:val="FF0000"/>
          <w:sz w:val="24"/>
          <w:szCs w:val="24"/>
          <w:highlight w:val="none"/>
          <w:shd w:val="clear"/>
          <w:lang w:val="en-US" w:eastAsia="zh-CN"/>
        </w:rPr>
        <w:t>上述“一至二”项要求为必须满足项，任一项负偏离的，为无效响应。竞价人可以承诺（格式详见附件《承诺书》）的形式进行响应，但有佐证材料要求的，须按要求提供。如有不满足或负偏离，不管是多么微小，竞价人都应加以如实详细说明（格式自拟），否则，成交后才提出或者被委托人发现的任何负偏离或不满足均视为成交人违约。</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年</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w:t>
      </w: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rPr>
        <w:t>日内向委托人提供《服务合同》，由委托人经过相应审批程序后签订。</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组织机构代码证</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、法定代表人</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单位负责人</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身份证复印件；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团队负责人的相关证明材料；</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color="auto" w:fill="FFFFFF"/>
        <w:wordWrap w:val="0"/>
        <w:spacing w:line="360" w:lineRule="auto"/>
        <w:ind w:right="300" w:firstLine="48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分项报价表格式如下：</w:t>
      </w:r>
    </w:p>
    <w:tbl>
      <w:tblPr>
        <w:tblStyle w:val="1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0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6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服务项目</w:t>
            </w:r>
          </w:p>
        </w:tc>
        <w:tc>
          <w:tcPr>
            <w:tcW w:w="1965" w:type="dxa"/>
            <w:vAlign w:val="center"/>
          </w:tcPr>
          <w:p>
            <w:pPr>
              <w:pStyle w:val="15"/>
              <w:spacing w:line="360" w:lineRule="auto"/>
              <w:ind w:left="0" w:leftChars="0" w:firstLine="0" w:firstLineChars="0"/>
              <w:jc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sz w:val="24"/>
                <w:szCs w:val="24"/>
                <w:highlight w:val="none"/>
              </w:rPr>
              <w:t>服务费报价（元）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资料搜集摸排及研究分析，基于管网系统拓扑梳理及用水点摸排和挂接，开展管网平差模拟分析（包括但不限于现状管网和优化后管网最高时工况、事故工况、消防工况等），提交《城区给水系统各类运行工况模拟阶段成果》</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基于平差分析及结合实际条件，编制《连城县城区给水系统近中期管网及供水设施优化改造技术方案》</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编制《进一步完善连城主城区压力监测点及推进DMA分区细化建设的指导建议》</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val="en-US" w:eastAsia="zh-CN"/>
              </w:rPr>
              <w:t>专家</w:t>
            </w:r>
            <w:r>
              <w:rPr>
                <w:rFonts w:hint="eastAsia" w:ascii="宋体" w:hAnsi="宋体" w:eastAsia="宋体" w:cs="宋体"/>
                <w:color w:val="000000"/>
                <w:sz w:val="24"/>
                <w:szCs w:val="24"/>
                <w:highlight w:val="none"/>
              </w:rPr>
              <w:t>团队</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年技术指导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（包括但不限于合同内的</w:t>
            </w:r>
            <w:r>
              <w:rPr>
                <w:rFonts w:hint="eastAsia" w:ascii="宋体" w:hAnsi="宋体" w:eastAsia="宋体" w:cs="宋体"/>
                <w:color w:val="000000"/>
                <w:sz w:val="24"/>
                <w:szCs w:val="24"/>
                <w:highlight w:val="none"/>
                <w:lang w:val="en-US" w:eastAsia="zh-CN"/>
              </w:rPr>
              <w:t>疑难解答、人员培训、生产试点技术支持等</w:t>
            </w:r>
            <w:r>
              <w:rPr>
                <w:rFonts w:hint="eastAsia" w:ascii="宋体" w:hAnsi="宋体" w:eastAsia="宋体" w:cs="宋体"/>
                <w:color w:val="000000"/>
                <w:sz w:val="24"/>
                <w:szCs w:val="24"/>
                <w:highlight w:val="none"/>
              </w:rPr>
              <w:t>）</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5" w:type="dxa"/>
            <w:gridSpan w:val="3"/>
            <w:vAlign w:val="center"/>
          </w:tcPr>
          <w:p>
            <w:pPr>
              <w:spacing w:line="480" w:lineRule="auto"/>
              <w:jc w:val="left"/>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投标报价总计：</w:t>
            </w:r>
            <w:r>
              <w:rPr>
                <w:rFonts w:hint="eastAsia" w:ascii="宋体" w:hAnsi="宋体" w:eastAsia="宋体" w:cs="宋体"/>
                <w:i w:val="0"/>
                <w:iCs w:val="0"/>
                <w:color w:val="000000"/>
                <w:sz w:val="24"/>
                <w:szCs w:val="24"/>
                <w:u w:val="single"/>
                <w:lang w:val="en-US" w:eastAsia="zh-CN"/>
              </w:rPr>
              <w:t>大写     元（小写：￥     ）</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竞价人</w:t>
            </w:r>
            <w:r>
              <w:rPr>
                <w:rFonts w:hint="eastAsia" w:ascii="宋体" w:hAnsi="宋体" w:eastAsia="宋体" w:cs="宋体"/>
                <w:i w:val="0"/>
                <w:iCs w:val="0"/>
                <w:color w:val="000000"/>
                <w:sz w:val="24"/>
                <w:szCs w:val="24"/>
                <w:u w:val="none"/>
              </w:rPr>
              <w:t>（公章）：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法定代表人</w:t>
            </w:r>
            <w:r>
              <w:rPr>
                <w:rFonts w:hint="eastAsia" w:ascii="宋体" w:hAnsi="宋体" w:eastAsia="宋体" w:cs="宋体"/>
                <w:color w:val="auto"/>
                <w:sz w:val="24"/>
                <w:szCs w:val="24"/>
              </w:rPr>
              <w:t>或授权代理人</w:t>
            </w:r>
            <w:r>
              <w:rPr>
                <w:rFonts w:hint="eastAsia" w:ascii="宋体" w:hAnsi="宋体" w:eastAsia="宋体" w:cs="宋体"/>
                <w:i w:val="0"/>
                <w:iCs w:val="0"/>
                <w:color w:val="000000"/>
                <w:sz w:val="24"/>
                <w:szCs w:val="24"/>
                <w:u w:val="none"/>
              </w:rPr>
              <w:t>（签章）：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sz w:val="24"/>
                <w:szCs w:val="24"/>
                <w:u w:val="none"/>
              </w:rPr>
              <w:t>日期：</w:t>
            </w:r>
          </w:p>
        </w:tc>
      </w:tr>
    </w:tbl>
    <w:p>
      <w:pPr>
        <w:widowControl/>
        <w:shd w:val="clear"/>
        <w:snapToGrid/>
        <w:spacing w:before="0" w:line="520" w:lineRule="exact"/>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r>
        <w:rPr>
          <w:rFonts w:hint="eastAsia" w:asciiTheme="minorEastAsia" w:hAnsiTheme="minorEastAsia" w:eastAsiaTheme="minorEastAsia" w:cstheme="minorEastAsia"/>
          <w:b/>
          <w:bCs/>
          <w:color w:val="auto"/>
          <w:kern w:val="2"/>
          <w:sz w:val="24"/>
          <w:szCs w:val="24"/>
          <w:shd w:val="clear"/>
          <w:lang w:val="en-US" w:eastAsia="zh-CN"/>
        </w:rPr>
        <w:t>。</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360" w:lineRule="auto"/>
        <w:ind w:left="0"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22"/>
        <w:pageBreakBefore w:val="0"/>
        <w:kinsoku/>
        <w:wordWrap/>
        <w:topLinePunct w:val="0"/>
        <w:bidi w:val="0"/>
        <w:spacing w:line="360" w:lineRule="auto"/>
        <w:ind w:left="0"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表示检测点最高价为人民币</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，竞价人在竞价系统填报价格高于</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 xml:space="preserve">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w:t>
      </w:r>
      <w:r>
        <w:rPr>
          <w:rFonts w:hint="eastAsia" w:asciiTheme="minorEastAsia" w:hAnsiTheme="minorEastAsia" w:eastAsiaTheme="minorEastAsia" w:cstheme="minorEastAsia"/>
          <w:b/>
          <w:bCs/>
          <w:color w:val="0000FF"/>
          <w:sz w:val="24"/>
          <w:highlight w:val="none"/>
          <w:lang w:val="en-US" w:eastAsia="zh-CN"/>
        </w:rPr>
        <w:t>招标代理</w:t>
      </w:r>
      <w:r>
        <w:rPr>
          <w:rFonts w:hint="eastAsia" w:asciiTheme="minorEastAsia" w:hAnsiTheme="minorEastAsia" w:eastAsiaTheme="minorEastAsia" w:cstheme="minorEastAsia"/>
          <w:b/>
          <w:bCs/>
          <w:color w:val="0000FF"/>
          <w:sz w:val="24"/>
          <w:highlight w:val="none"/>
        </w:rPr>
        <w:t>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w:t>
      </w:r>
      <w:r>
        <w:rPr>
          <w:rFonts w:hint="eastAsia" w:asciiTheme="minorEastAsia" w:hAnsiTheme="minorEastAsia" w:eastAsiaTheme="minorEastAsia" w:cstheme="minorEastAsia"/>
          <w:color w:val="000000"/>
          <w:sz w:val="24"/>
          <w:szCs w:val="24"/>
          <w:lang w:val="en-US" w:eastAsia="zh-CN"/>
        </w:rPr>
        <w:t>可</w:t>
      </w:r>
      <w:r>
        <w:rPr>
          <w:rFonts w:hint="eastAsia" w:asciiTheme="minorEastAsia" w:hAnsiTheme="minorEastAsia" w:eastAsiaTheme="minorEastAsia" w:cstheme="minorEastAsia"/>
          <w:color w:val="000000"/>
          <w:sz w:val="24"/>
          <w:szCs w:val="24"/>
        </w:rPr>
        <w:t>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w:t>
      </w:r>
      <w:r>
        <w:rPr>
          <w:rFonts w:hint="eastAsia" w:asciiTheme="minorEastAsia" w:hAnsiTheme="minorEastAsia" w:eastAsiaTheme="minorEastAsia" w:cstheme="minorEastAsia"/>
          <w:b/>
          <w:bCs/>
          <w:color w:val="000000"/>
          <w:sz w:val="24"/>
          <w:szCs w:val="24"/>
          <w:shd w:val="clear" w:color="auto" w:fill="FFFFFF"/>
          <w:lang w:val="en-US" w:eastAsia="zh-CN"/>
        </w:rPr>
        <w:t>10</w:t>
      </w:r>
      <w:r>
        <w:rPr>
          <w:rFonts w:hint="eastAsia" w:asciiTheme="minorEastAsia" w:hAnsiTheme="minorEastAsia" w:eastAsiaTheme="minorEastAsia" w:cstheme="minorEastAsia"/>
          <w:b/>
          <w:bCs/>
          <w:color w:val="000000"/>
          <w:sz w:val="24"/>
          <w:szCs w:val="24"/>
          <w:shd w:val="clear" w:color="auto" w:fill="FFFFFF"/>
        </w:rPr>
        <w:t>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6"/>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line="360" w:lineRule="auto"/>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2025年9月3日</w:t>
      </w:r>
    </w:p>
    <w:p>
      <w:pPr>
        <w:pStyle w:val="5"/>
        <w:pageBreakBefore w:val="0"/>
        <w:kinsoku/>
        <w:wordWrap/>
        <w:topLinePunct w:val="0"/>
        <w:bidi w:val="0"/>
        <w:spacing w:line="360" w:lineRule="auto"/>
        <w:ind w:left="0"/>
        <w:rPr>
          <w:rFonts w:hint="eastAsia" w:asciiTheme="minorEastAsia" w:hAnsiTheme="minorEastAsia" w:eastAsiaTheme="minorEastAsia" w:cstheme="minorEastAsia"/>
          <w:color w:val="0000FF"/>
          <w:kern w:val="2"/>
          <w:sz w:val="24"/>
          <w:szCs w:val="24"/>
          <w:shd w:val="clear"/>
          <w:lang w:val="en-US" w:eastAsia="zh-CN"/>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pageBreakBefore w:val="0"/>
        <w:kinsoku/>
        <w:wordWrap/>
        <w:topLinePunct w:val="0"/>
        <w:bidi w:val="0"/>
        <w:spacing w:line="360" w:lineRule="auto"/>
        <w:ind w:left="0" w:firstLine="5040" w:firstLineChars="2100"/>
        <w:jc w:val="left"/>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9月12日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《基于城乡供水一体化连城县城区给水系统优化研究及技术方案编制》产学研技术咨询服务项目（二次）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LCCQJJ20250912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w:t>
      </w:r>
      <w:bookmarkStart w:id="5" w:name="_GoBack"/>
      <w:bookmarkEnd w:id="5"/>
      <w:r>
        <w:rPr>
          <w:rFonts w:hint="eastAsia" w:asciiTheme="minorEastAsia" w:hAnsiTheme="minorEastAsia" w:eastAsiaTheme="minorEastAsia" w:cstheme="minorEastAsia"/>
          <w:color w:val="auto"/>
          <w:sz w:val="24"/>
          <w:szCs w:val="24"/>
        </w:rPr>
        <w:t>次《网络竞价须知》条款的行为，申请人愿被取消竞价资格，已交保证金作为违约金归贵公司所有（不予退回），若造成贵公司损失的，由本承诺人承担赔偿责任。</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4122B"/>
    <w:multiLevelType w:val="singleLevel"/>
    <w:tmpl w:val="1904122B"/>
    <w:lvl w:ilvl="0" w:tentative="0">
      <w:start w:val="1"/>
      <w:numFmt w:val="decimalEnclosedCircleChinese"/>
      <w:suff w:val="nothing"/>
      <w:lvlText w:val="%1　"/>
      <w:lvlJc w:val="left"/>
      <w:pPr>
        <w:ind w:left="0" w:firstLine="400"/>
      </w:pPr>
      <w:rPr>
        <w:rFonts w:hint="eastAsia"/>
      </w:rPr>
    </w:lvl>
  </w:abstractNum>
  <w:abstractNum w:abstractNumId="1">
    <w:nsid w:val="6B5230C8"/>
    <w:multiLevelType w:val="singleLevel"/>
    <w:tmpl w:val="6B5230C8"/>
    <w:lvl w:ilvl="0" w:tentative="0">
      <w:start w:val="1"/>
      <w:numFmt w:val="decimalEnclosedCircleChinese"/>
      <w:suff w:val="nothing"/>
      <w:lvlText w:val="%1　"/>
      <w:lvlJc w:val="left"/>
      <w:pPr>
        <w:ind w:left="78"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CB5212B"/>
    <w:rsid w:val="0E2A1E00"/>
    <w:rsid w:val="100E6BF6"/>
    <w:rsid w:val="176E66CE"/>
    <w:rsid w:val="1CE968F4"/>
    <w:rsid w:val="1D4A7C13"/>
    <w:rsid w:val="1D895EB1"/>
    <w:rsid w:val="1E2123D7"/>
    <w:rsid w:val="209C6E63"/>
    <w:rsid w:val="2393591B"/>
    <w:rsid w:val="2A7841FD"/>
    <w:rsid w:val="2BD31870"/>
    <w:rsid w:val="2E6F1761"/>
    <w:rsid w:val="3A1E4827"/>
    <w:rsid w:val="3BD95FA3"/>
    <w:rsid w:val="3C9B3F0D"/>
    <w:rsid w:val="4175600C"/>
    <w:rsid w:val="48A316AC"/>
    <w:rsid w:val="49584DE8"/>
    <w:rsid w:val="4BB535D6"/>
    <w:rsid w:val="57F91B47"/>
    <w:rsid w:val="58070D78"/>
    <w:rsid w:val="582B4610"/>
    <w:rsid w:val="5F5A335C"/>
    <w:rsid w:val="64D771FD"/>
    <w:rsid w:val="67917696"/>
    <w:rsid w:val="6A1A5C69"/>
    <w:rsid w:val="6AD42A74"/>
    <w:rsid w:val="769F0C62"/>
    <w:rsid w:val="77F9775E"/>
    <w:rsid w:val="7D74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5">
    <w:name w:val="Body Text First Indent 2"/>
    <w:basedOn w:val="7"/>
    <w:qFormat/>
    <w:uiPriority w:val="0"/>
    <w:pPr>
      <w:tabs>
        <w:tab w:val="left" w:pos="4606"/>
      </w:tabs>
      <w:autoSpaceDE w:val="0"/>
      <w:autoSpaceDN w:val="0"/>
      <w:adjustRightInd w:val="0"/>
      <w:spacing w:after="0" w:line="500" w:lineRule="exact"/>
      <w:ind w:left="0" w:leftChars="0" w:firstLine="420"/>
      <w:jc w:val="left"/>
    </w:pPr>
    <w:rPr>
      <w:rFonts w:ascii="仿宋_GB2312" w:eastAsia="仿宋_GB2312"/>
      <w:color w:val="FF0000"/>
      <w:kern w:val="0"/>
      <w:sz w:val="28"/>
      <w:szCs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paragraph" w:customStyle="1" w:styleId="20">
    <w:name w:val="样式 表格正文 + 两端对齐"/>
    <w:basedOn w:val="1"/>
    <w:next w:val="21"/>
    <w:qFormat/>
    <w:uiPriority w:val="0"/>
    <w:pPr>
      <w:spacing w:line="300" w:lineRule="auto"/>
    </w:pPr>
  </w:style>
  <w:style w:type="paragraph" w:customStyle="1" w:styleId="21">
    <w:name w:val="正文1"/>
    <w:basedOn w:val="1"/>
    <w:qFormat/>
    <w:uiPriority w:val="0"/>
    <w:pPr>
      <w:spacing w:line="480" w:lineRule="exact"/>
      <w:ind w:firstLine="567"/>
    </w:pPr>
    <w:rPr>
      <w:rFonts w:ascii="幼圆" w:eastAsia="幼圆"/>
      <w:sz w:val="28"/>
      <w:szCs w:val="20"/>
    </w:rPr>
  </w:style>
  <w:style w:type="paragraph" w:customStyle="1" w:styleId="22">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23">
    <w:name w:val="List Paragraph"/>
    <w:basedOn w:val="1"/>
    <w:qFormat/>
    <w:uiPriority w:val="34"/>
    <w:pPr>
      <w:ind w:firstLine="420" w:firstLineChars="200"/>
    </w:pPr>
  </w:style>
  <w:style w:type="paragraph" w:customStyle="1" w:styleId="24">
    <w:name w:val="样式3"/>
    <w:basedOn w:val="8"/>
    <w:qFormat/>
    <w:uiPriority w:val="0"/>
    <w:pPr>
      <w:spacing w:line="0" w:lineRule="atLeast"/>
      <w:outlineLvl w:val="0"/>
    </w:pPr>
    <w:rPr>
      <w:sz w:val="28"/>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6">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27">
    <w:name w:val="font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6658</Words>
  <Characters>6998</Characters>
  <Lines>0</Lines>
  <Paragraphs>0</Paragraphs>
  <TotalTime>3</TotalTime>
  <ScaleCrop>false</ScaleCrop>
  <LinksUpToDate>false</LinksUpToDate>
  <CharactersWithSpaces>7139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2025-09-03T07:25:56Z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