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PG20221221</w:t>
      </w:r>
      <w:r>
        <w:rPr>
          <w:rFonts w:hint="eastAsia" w:ascii="宋体" w:hAnsi="宋体" w:eastAsia="宋体" w:cs="宋体"/>
          <w:b/>
          <w:bCs/>
          <w:color w:val="000000"/>
          <w:kern w:val="0"/>
          <w:sz w:val="24"/>
          <w:szCs w:val="24"/>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12</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21</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12</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16</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12</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20</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left="0" w:firstLine="465"/>
        <w:jc w:val="both"/>
        <w:textAlignment w:val="auto"/>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w:t>
      </w:r>
      <w:r>
        <w:rPr>
          <w:rFonts w:hint="eastAsia" w:ascii="宋体" w:hAnsi="宋体" w:eastAsia="宋体" w:cs="宋体"/>
          <w:color w:val="000000"/>
          <w:kern w:val="2"/>
          <w:sz w:val="24"/>
          <w:szCs w:val="24"/>
          <w:shd w:val="clear" w:color="auto" w:fill="FFFFFF"/>
          <w:lang w:eastAsia="zh-CN"/>
        </w:rPr>
        <w:t>连城县莲峰镇李彭村彭坊桥路1号4层（金宝贝幼儿园旁）</w:t>
      </w:r>
      <w:r>
        <w:rPr>
          <w:rFonts w:hint="eastAsia" w:ascii="宋体" w:hAnsi="宋体" w:eastAsia="宋体" w:cs="宋体"/>
          <w:color w:val="000000"/>
          <w:kern w:val="2"/>
          <w:sz w:val="24"/>
          <w:szCs w:val="24"/>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left="0" w:firstLine="465"/>
        <w:jc w:val="both"/>
        <w:textAlignment w:val="auto"/>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w:t>
      </w:r>
      <w:r>
        <w:rPr>
          <w:rFonts w:hint="eastAsia" w:ascii="宋体" w:hAnsi="宋体" w:cs="宋体"/>
          <w:color w:val="000000"/>
          <w:kern w:val="0"/>
          <w:sz w:val="24"/>
          <w:szCs w:val="24"/>
          <w:shd w:val="clear" w:color="auto" w:fill="FFFFFF"/>
          <w:lang w:val="en-US" w:eastAsia="zh-CN" w:bidi="ar-SA"/>
        </w:rPr>
        <w:t>28660</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1.项目名称：龙岩福豸企业管理有限公司公开竞价选取房地产评估服务机构。</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2.评估内容：为泰山大厦北大中路 182 号店面（面积约25.65㎡）确定市场价值提供评估服务。</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注：评估内容具体以</w:t>
      </w:r>
      <w:r>
        <w:rPr>
          <w:rFonts w:hint="eastAsia" w:ascii="宋体" w:hAnsi="宋体" w:cs="宋体"/>
          <w:color w:val="0000FF"/>
          <w:kern w:val="0"/>
          <w:sz w:val="24"/>
          <w:szCs w:val="24"/>
          <w:shd w:val="clear" w:color="auto" w:fill="FFFFFF"/>
          <w:lang w:val="en-US" w:eastAsia="zh-CN" w:bidi="ar-SA"/>
        </w:rPr>
        <w:t>委托人</w:t>
      </w:r>
      <w:r>
        <w:rPr>
          <w:rFonts w:hint="eastAsia" w:ascii="宋体" w:hAnsi="宋体" w:eastAsia="宋体" w:cs="宋体"/>
          <w:color w:val="0000FF"/>
          <w:kern w:val="0"/>
          <w:sz w:val="24"/>
          <w:szCs w:val="24"/>
          <w:shd w:val="clear" w:color="auto" w:fill="FFFFFF"/>
          <w:lang w:val="en-US" w:eastAsia="zh-CN" w:bidi="ar-SA"/>
        </w:rPr>
        <w:t>提供的评估清单为准。</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评估费用：不超过人民币大写：叁仟陆佰元整（￥3600.00）</w:t>
      </w:r>
      <w:r>
        <w:rPr>
          <w:rFonts w:hint="eastAsia" w:ascii="宋体" w:hAnsi="宋体" w:cs="宋体"/>
          <w:color w:val="0000FF"/>
          <w:kern w:val="0"/>
          <w:sz w:val="24"/>
          <w:szCs w:val="24"/>
          <w:shd w:val="clear" w:color="auto" w:fill="FFFFFF"/>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cs="宋体"/>
          <w:color w:val="0000FF"/>
          <w:kern w:val="0"/>
          <w:sz w:val="24"/>
          <w:szCs w:val="24"/>
          <w:highlight w:val="none"/>
          <w:lang w:val="en-US" w:eastAsia="zh-CN" w:bidi="ar"/>
        </w:rPr>
        <w:t>4.竞价保证金：壹仟元整（</w:t>
      </w:r>
      <w:r>
        <w:rPr>
          <w:rFonts w:hint="eastAsia"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highlight w:val="none"/>
          <w:lang w:val="en-US" w:eastAsia="zh-CN" w:bidi="ar"/>
        </w:rPr>
        <w:t>1000.00）。</w:t>
      </w:r>
    </w:p>
    <w:p>
      <w:pPr>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w:t>
      </w:r>
      <w:r>
        <w:rPr>
          <w:rFonts w:hint="eastAsia" w:ascii="宋体" w:hAnsi="宋体" w:eastAsia="宋体" w:cs="宋体"/>
          <w:color w:val="0000FF"/>
          <w:kern w:val="0"/>
          <w:sz w:val="24"/>
          <w:szCs w:val="24"/>
          <w:shd w:val="clear" w:color="auto" w:fill="FFFFFF"/>
          <w:lang w:val="en-US" w:eastAsia="zh-CN" w:bidi="ar-SA"/>
        </w:rPr>
        <w:t>为泰山大厦北大中路 182 号店面（面积约25.65㎡）</w:t>
      </w:r>
      <w:r>
        <w:rPr>
          <w:rFonts w:hint="eastAsia" w:ascii="宋体" w:hAnsi="宋体" w:eastAsia="宋体" w:cs="宋体"/>
          <w:color w:val="auto"/>
          <w:kern w:val="0"/>
          <w:sz w:val="24"/>
          <w:szCs w:val="24"/>
          <w:shd w:val="clear" w:color="auto" w:fill="FFFFFF"/>
          <w:lang w:val="en-US" w:eastAsia="zh-CN" w:bidi="ar-SA"/>
        </w:rPr>
        <w:t>确定合理市场价值，合法、客观、公正地进行评估，出具符合规范的评估报告。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3</w:t>
      </w:r>
      <w:r>
        <w:rPr>
          <w:rFonts w:hint="eastAsia" w:ascii="宋体" w:hAnsi="宋体" w:eastAsia="宋体" w:cs="宋体"/>
          <w:color w:val="auto"/>
          <w:kern w:val="0"/>
          <w:sz w:val="24"/>
          <w:szCs w:val="24"/>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（4）在收到评估业务通知后，成交人须尽快安排评估师与</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经办人员对接，并于收齐评估相关材料之日起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（5）对</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提供的有关资料和评估结果保密。</w:t>
      </w:r>
    </w:p>
    <w:p>
      <w:pPr>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三、竞价资格</w:t>
      </w:r>
    </w:p>
    <w:p>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1.遵守中华人民共</w:t>
      </w:r>
      <w:r>
        <w:rPr>
          <w:rFonts w:hint="eastAsia" w:ascii="宋体" w:hAnsi="宋体" w:eastAsia="宋体" w:cs="宋体"/>
          <w:color w:val="000000" w:themeColor="text1"/>
          <w:kern w:val="0"/>
          <w:sz w:val="24"/>
          <w:szCs w:val="24"/>
          <w:shd w:val="clear" w:color="auto" w:fill="FFFFFF"/>
          <w:lang w:val="en-US" w:eastAsia="zh-CN" w:bidi="ar-SA"/>
        </w:rPr>
        <w:t>和国法律、法规，且能够诚信经营，具有</w:t>
      </w:r>
      <w:r>
        <w:rPr>
          <w:rFonts w:hint="eastAsia" w:ascii="宋体" w:hAnsi="宋体" w:cs="宋体"/>
          <w:b/>
          <w:bCs/>
          <w:color w:val="0000FF"/>
          <w:kern w:val="0"/>
          <w:sz w:val="24"/>
          <w:szCs w:val="24"/>
          <w:u w:val="single"/>
          <w:shd w:val="clear" w:color="auto" w:fill="FFFFFF"/>
          <w:lang w:val="en-US" w:eastAsia="zh-CN" w:bidi="ar-SA"/>
        </w:rPr>
        <w:t>房地产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left="0"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left="0" w:firstLine="465"/>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20</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left="0" w:firstLine="482"/>
        <w:jc w:val="both"/>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53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w:t>
      </w:r>
      <w:r>
        <w:rPr>
          <w:rFonts w:hint="eastAsia" w:ascii="宋体" w:hAnsi="宋体" w:eastAsia="宋体" w:cs="宋体"/>
          <w:color w:val="000000"/>
          <w:kern w:val="0"/>
          <w:sz w:val="24"/>
          <w:szCs w:val="24"/>
          <w:shd w:val="clear" w:color="auto" w:fill="FFFFFF"/>
          <w:lang w:val="en-US" w:eastAsia="zh-CN"/>
        </w:rPr>
        <w:t>将</w:t>
      </w:r>
      <w:r>
        <w:rPr>
          <w:rFonts w:hint="eastAsia" w:ascii="宋体" w:hAnsi="宋体" w:eastAsia="宋体" w:cs="宋体"/>
          <w:color w:val="000000"/>
          <w:kern w:val="0"/>
          <w:sz w:val="24"/>
          <w:szCs w:val="24"/>
          <w:shd w:val="clear" w:color="auto" w:fill="FFFFFF"/>
        </w:rPr>
        <w:t>正式评估报告和正规增值税发票</w:t>
      </w:r>
      <w:r>
        <w:rPr>
          <w:rFonts w:hint="eastAsia" w:ascii="宋体" w:hAnsi="宋体" w:eastAsia="宋体" w:cs="宋体"/>
          <w:color w:val="000000"/>
          <w:kern w:val="0"/>
          <w:sz w:val="24"/>
          <w:szCs w:val="24"/>
          <w:shd w:val="clear" w:color="auto" w:fill="FFFFFF"/>
          <w:lang w:val="en-US" w:eastAsia="zh-CN"/>
        </w:rPr>
        <w:t>提供</w:t>
      </w:r>
      <w:r>
        <w:rPr>
          <w:rFonts w:hint="eastAsia" w:ascii="宋体" w:hAnsi="宋体" w:eastAsia="宋体" w:cs="宋体"/>
          <w:color w:val="000000"/>
          <w:kern w:val="0"/>
          <w:sz w:val="24"/>
          <w:szCs w:val="24"/>
          <w:shd w:val="clear" w:color="auto" w:fill="FFFFFF"/>
        </w:rPr>
        <w:t>给</w:t>
      </w:r>
      <w:r>
        <w:rPr>
          <w:rFonts w:hint="eastAsia" w:ascii="宋体" w:hAnsi="宋体" w:cs="宋体"/>
          <w:color w:val="000000"/>
          <w:kern w:val="0"/>
          <w:sz w:val="24"/>
          <w:szCs w:val="24"/>
          <w:shd w:val="clear" w:color="auto" w:fill="FFFFFF"/>
          <w:lang w:val="en-US" w:eastAsia="zh-CN"/>
        </w:rPr>
        <w:t>委托人</w:t>
      </w:r>
      <w:r>
        <w:rPr>
          <w:rFonts w:hint="eastAsia" w:ascii="宋体" w:hAnsi="宋体" w:eastAsia="宋体" w:cs="宋体"/>
          <w:color w:val="000000"/>
          <w:kern w:val="0"/>
          <w:sz w:val="24"/>
          <w:szCs w:val="24"/>
          <w:shd w:val="clear" w:color="auto" w:fill="FFFFFF"/>
          <w:lang w:val="en-US" w:eastAsia="zh-CN"/>
        </w:rPr>
        <w:t>审核无误</w:t>
      </w:r>
      <w:r>
        <w:rPr>
          <w:rFonts w:hint="eastAsia" w:ascii="宋体" w:hAnsi="宋体" w:eastAsia="宋体" w:cs="宋体"/>
          <w:color w:val="000000"/>
          <w:kern w:val="0"/>
          <w:sz w:val="24"/>
          <w:szCs w:val="24"/>
          <w:shd w:val="clear" w:color="auto" w:fill="FFFFFF"/>
        </w:rPr>
        <w:t>后，</w:t>
      </w:r>
      <w:r>
        <w:rPr>
          <w:rFonts w:hint="eastAsia" w:ascii="宋体" w:hAnsi="宋体" w:cs="宋体"/>
          <w:color w:val="000000"/>
          <w:kern w:val="0"/>
          <w:sz w:val="24"/>
          <w:szCs w:val="24"/>
          <w:shd w:val="clear" w:color="auto" w:fill="FFFFFF"/>
          <w:lang w:val="en-US" w:eastAsia="zh-CN"/>
        </w:rPr>
        <w:t>委托人</w:t>
      </w:r>
      <w:r>
        <w:rPr>
          <w:rFonts w:hint="eastAsia" w:ascii="宋体" w:hAnsi="宋体" w:eastAsia="宋体" w:cs="宋体"/>
          <w:color w:val="000000"/>
          <w:kern w:val="0"/>
          <w:sz w:val="24"/>
          <w:szCs w:val="24"/>
          <w:shd w:val="clear" w:color="auto" w:fill="FFFFFF"/>
          <w:lang w:val="en-US" w:eastAsia="zh-CN"/>
        </w:rPr>
        <w:t>将在</w:t>
      </w:r>
      <w:r>
        <w:rPr>
          <w:rFonts w:hint="eastAsia" w:ascii="宋体" w:hAnsi="宋体" w:eastAsia="宋体" w:cs="宋体"/>
          <w:color w:val="000000"/>
          <w:kern w:val="0"/>
          <w:sz w:val="24"/>
          <w:szCs w:val="24"/>
          <w:shd w:val="clear" w:color="auto" w:fill="FFFFFF"/>
        </w:rPr>
        <w:t>10个工作日内付清评估费。</w:t>
      </w:r>
      <w:r>
        <w:rPr>
          <w:rFonts w:hint="eastAsia" w:ascii="宋体" w:hAnsi="宋体" w:eastAsia="宋体" w:cs="宋体"/>
          <w:color w:val="000000"/>
          <w:kern w:val="0"/>
          <w:sz w:val="24"/>
          <w:szCs w:val="24"/>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2"/>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7"/>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7"/>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7"/>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7"/>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7"/>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drawing>
          <wp:anchor distT="0" distB="0" distL="114300" distR="114300" simplePos="0" relativeHeight="251659264" behindDoc="0" locked="0" layoutInCell="1" allowOverlap="1">
            <wp:simplePos x="0" y="0"/>
            <wp:positionH relativeFrom="column">
              <wp:posOffset>200660</wp:posOffset>
            </wp:positionH>
            <wp:positionV relativeFrom="paragraph">
              <wp:posOffset>279400</wp:posOffset>
            </wp:positionV>
            <wp:extent cx="1457960" cy="1433195"/>
            <wp:effectExtent l="0" t="0" r="8890" b="14605"/>
            <wp:wrapSquare wrapText="bothSides"/>
            <wp:docPr id="2" name="图片 2" descr="6ce093619278b24738700839250b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e093619278b24738700839250b78e"/>
                    <pic:cNvPicPr>
                      <a:picLocks noChangeAspect="1"/>
                    </pic:cNvPicPr>
                  </pic:nvPicPr>
                  <pic:blipFill>
                    <a:blip r:embed="rId5"/>
                    <a:stretch>
                      <a:fillRect/>
                    </a:stretch>
                  </pic:blipFill>
                  <pic:spPr>
                    <a:xfrm>
                      <a:off x="0" y="0"/>
                      <a:ext cx="1457960" cy="1433195"/>
                    </a:xfrm>
                    <a:prstGeom prst="rect">
                      <a:avLst/>
                    </a:prstGeom>
                  </pic:spPr>
                </pic:pic>
              </a:graphicData>
            </a:graphic>
          </wp:anchor>
        </w:drawing>
      </w:r>
      <w:r>
        <w:rPr>
          <w:rFonts w:hint="eastAsia" w:ascii="宋体" w:hAnsi="宋体" w:eastAsia="宋体" w:cs="宋体"/>
          <w:color w:val="000000"/>
          <w:kern w:val="0"/>
          <w:sz w:val="24"/>
          <w:szCs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5"/>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keepNext w:val="0"/>
        <w:keepLines w:val="0"/>
        <w:pageBreakBefore w:val="0"/>
        <w:kinsoku/>
        <w:wordWrap/>
        <w:overflowPunct/>
        <w:topLinePunct w:val="0"/>
        <w:autoSpaceDE/>
        <w:autoSpaceDN/>
        <w:bidi w:val="0"/>
        <w:adjustRightInd/>
        <w:snapToGrid w:val="0"/>
        <w:spacing w:line="360" w:lineRule="auto"/>
        <w:ind w:left="0" w:firstLine="420"/>
        <w:jc w:val="righ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firstLine="465"/>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15</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spacing w:line="440" w:lineRule="exact"/>
        <w:ind w:firstLine="883"/>
        <w:jc w:val="center"/>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p>
    <w:p>
      <w:pPr>
        <w:pStyle w:val="2"/>
        <w:rPr>
          <w:rFonts w:hint="eastAsia" w:ascii="宋体" w:hAnsi="宋体" w:eastAsia="宋体" w:cs="宋体"/>
          <w:b/>
          <w:color w:val="000000"/>
          <w:sz w:val="24"/>
          <w:szCs w:val="24"/>
        </w:rPr>
      </w:pPr>
    </w:p>
    <w:p>
      <w:pPr>
        <w:pStyle w:val="2"/>
        <w:rPr>
          <w:rFonts w:hint="eastAsia" w:ascii="宋体" w:hAnsi="宋体" w:eastAsia="宋体" w:cs="宋体"/>
          <w:b/>
          <w:color w:val="000000"/>
          <w:sz w:val="24"/>
          <w:szCs w:val="24"/>
        </w:rPr>
      </w:pPr>
      <w:bookmarkStart w:id="1" w:name="_GoBack"/>
      <w:bookmarkEnd w:id="1"/>
    </w:p>
    <w:p>
      <w:pPr>
        <w:spacing w:line="440" w:lineRule="exact"/>
        <w:ind w:firstLine="883"/>
        <w:jc w:val="center"/>
        <w:rPr>
          <w:rFonts w:hint="eastAsia" w:ascii="宋体" w:hAnsi="宋体" w:eastAsia="宋体" w:cs="宋体"/>
          <w:b/>
          <w:color w:val="000000"/>
          <w:sz w:val="24"/>
          <w:szCs w:val="24"/>
        </w:rPr>
      </w:pPr>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12</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21</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w:t>
      </w:r>
      <w:r>
        <w:rPr>
          <w:rFonts w:hint="eastAsia" w:ascii="宋体" w:hAnsi="宋体" w:cs="宋体"/>
          <w:color w:val="000000"/>
          <w:sz w:val="24"/>
          <w:szCs w:val="24"/>
          <w:lang w:val="en-US" w:eastAsia="zh-CN"/>
        </w:rPr>
        <w:t>9:30</w:t>
      </w:r>
      <w:r>
        <w:rPr>
          <w:rFonts w:hint="eastAsia" w:ascii="宋体" w:hAnsi="宋体" w:eastAsia="宋体" w:cs="宋体"/>
          <w:color w:val="000000"/>
          <w:sz w:val="24"/>
          <w:szCs w:val="24"/>
        </w:rPr>
        <w:t>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1221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5535F"/>
    <w:multiLevelType w:val="singleLevel"/>
    <w:tmpl w:val="9965535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3AE1774"/>
    <w:rsid w:val="16052A7F"/>
    <w:rsid w:val="183B56FD"/>
    <w:rsid w:val="18EF3710"/>
    <w:rsid w:val="1B215742"/>
    <w:rsid w:val="1C3B7B61"/>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5F5525B"/>
    <w:rsid w:val="46182497"/>
    <w:rsid w:val="46797B93"/>
    <w:rsid w:val="4758626E"/>
    <w:rsid w:val="47ED28F0"/>
    <w:rsid w:val="48556CDA"/>
    <w:rsid w:val="485D0F10"/>
    <w:rsid w:val="4A58410E"/>
    <w:rsid w:val="4A887C72"/>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6A77F27"/>
    <w:rsid w:val="674A5097"/>
    <w:rsid w:val="67B160B6"/>
    <w:rsid w:val="69F6362D"/>
    <w:rsid w:val="6B776A6D"/>
    <w:rsid w:val="6D7B66F3"/>
    <w:rsid w:val="6D822D61"/>
    <w:rsid w:val="6DB36A59"/>
    <w:rsid w:val="7007345D"/>
    <w:rsid w:val="729A0B48"/>
    <w:rsid w:val="729B4033"/>
    <w:rsid w:val="742F65BB"/>
    <w:rsid w:val="77CE5972"/>
    <w:rsid w:val="78F75F2F"/>
    <w:rsid w:val="79B76855"/>
    <w:rsid w:val="7AD35D80"/>
    <w:rsid w:val="7AD654A8"/>
    <w:rsid w:val="7B676C5D"/>
    <w:rsid w:val="7C435390"/>
    <w:rsid w:val="7F256A9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3466</Words>
  <Characters>3707</Characters>
  <Lines>4</Lines>
  <Paragraphs>7</Paragraphs>
  <TotalTime>2</TotalTime>
  <ScaleCrop>false</ScaleCrop>
  <LinksUpToDate>false</LinksUpToDate>
  <CharactersWithSpaces>3773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2022-12-15T03:22:54Z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916B0A382F254096ACFC205746AF6B1B</vt:lpwstr>
  </property>
</Properties>
</file>