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napToGrid w:val="0"/>
        <w:spacing w:before="225" w:line="440" w:lineRule="exact"/>
        <w:ind w:left="-14" w:firstLine="759"/>
        <w:jc w:val="center"/>
        <w:rPr>
          <w:rFonts w:hint="eastAsia" w:ascii="宋体" w:hAnsi="宋体" w:eastAsia="宋体" w:cs="宋体"/>
          <w:color w:val="000000"/>
          <w:sz w:val="44"/>
          <w:szCs w:val="44"/>
        </w:rPr>
      </w:pPr>
      <w:r>
        <w:rPr>
          <w:rFonts w:hint="eastAsia" w:ascii="宋体" w:hAnsi="宋体" w:eastAsia="宋体" w:cs="宋体"/>
          <w:b/>
          <w:bCs/>
          <w:color w:val="000000"/>
          <w:kern w:val="0"/>
          <w:sz w:val="44"/>
          <w:szCs w:val="44"/>
          <w:shd w:val="clear" w:color="auto" w:fill="FFFFFF"/>
        </w:rPr>
        <w:t>网络竞价须知</w:t>
      </w:r>
    </w:p>
    <w:p>
      <w:pPr>
        <w:widowControl/>
        <w:shd w:val="clear" w:color="auto" w:fill="FFFFFF"/>
        <w:snapToGrid w:val="0"/>
        <w:spacing w:before="225" w:line="440" w:lineRule="exact"/>
        <w:ind w:left="-14" w:firstLine="506"/>
        <w:jc w:val="center"/>
        <w:rPr>
          <w:rFonts w:hint="eastAsia" w:ascii="宋体" w:hAnsi="宋体" w:eastAsia="宋体" w:cs="宋体"/>
          <w:color w:val="000000"/>
          <w:sz w:val="24"/>
          <w:szCs w:val="24"/>
        </w:rPr>
      </w:pPr>
      <w:r>
        <w:rPr>
          <w:rFonts w:hint="eastAsia" w:ascii="宋体" w:hAnsi="宋体" w:eastAsia="宋体" w:cs="宋体"/>
          <w:b/>
          <w:bCs/>
          <w:color w:val="000000"/>
          <w:kern w:val="0"/>
          <w:sz w:val="24"/>
          <w:szCs w:val="24"/>
          <w:shd w:val="clear" w:color="auto" w:fill="FFFFFF"/>
        </w:rPr>
        <w:t>（项目编号:</w:t>
      </w:r>
      <w:r>
        <w:rPr>
          <w:rFonts w:hint="eastAsia" w:ascii="宋体" w:hAnsi="宋体" w:eastAsia="宋体" w:cs="宋体"/>
          <w:b/>
          <w:bCs/>
          <w:color w:val="0000FF"/>
          <w:kern w:val="0"/>
          <w:sz w:val="24"/>
          <w:szCs w:val="24"/>
          <w:shd w:val="clear" w:color="auto" w:fill="FFFFFF"/>
        </w:rPr>
        <w:t>GK</w:t>
      </w:r>
      <w:r>
        <w:rPr>
          <w:rFonts w:hint="eastAsia" w:ascii="宋体" w:hAnsi="宋体" w:cs="宋体"/>
          <w:b/>
          <w:bCs/>
          <w:color w:val="0000FF"/>
          <w:kern w:val="0"/>
          <w:sz w:val="24"/>
          <w:szCs w:val="24"/>
          <w:shd w:val="clear" w:color="auto" w:fill="FFFFFF"/>
          <w:lang w:val="en-US" w:eastAsia="zh-CN"/>
        </w:rPr>
        <w:t>PG20221026</w:t>
      </w:r>
      <w:r>
        <w:rPr>
          <w:rFonts w:hint="eastAsia" w:ascii="宋体" w:hAnsi="宋体" w:eastAsia="宋体" w:cs="宋体"/>
          <w:b/>
          <w:bCs/>
          <w:color w:val="000000"/>
          <w:kern w:val="0"/>
          <w:sz w:val="24"/>
          <w:szCs w:val="24"/>
          <w:shd w:val="clear" w:color="auto" w:fill="FFFFFF"/>
        </w:rPr>
        <w:t>）</w:t>
      </w:r>
    </w:p>
    <w:p>
      <w:pPr>
        <w:widowControl/>
        <w:shd w:val="clear" w:color="auto" w:fill="FFFFFF"/>
        <w:snapToGrid w:val="0"/>
        <w:spacing w:before="225" w:line="44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shd w:val="clear" w:color="auto" w:fill="FFFFFF"/>
        </w:rPr>
        <w:t>连城县国有资产产权交易服务有限公司</w:t>
      </w:r>
      <w:r>
        <w:rPr>
          <w:rFonts w:hint="eastAsia" w:ascii="宋体" w:hAnsi="宋体" w:eastAsia="宋体" w:cs="宋体"/>
          <w:color w:val="000000"/>
          <w:kern w:val="0"/>
          <w:sz w:val="24"/>
          <w:szCs w:val="24"/>
          <w:shd w:val="clear" w:color="auto" w:fill="FFFFFF"/>
        </w:rPr>
        <w:t>（以下简称本公司）遵循“公开、公平、公正、诚实信用”的原则，依照国家法律、法规、政策为本次竞价活动提供服务。现将有关竞价事项告知如下：</w:t>
      </w:r>
    </w:p>
    <w:p>
      <w:pPr>
        <w:widowControl/>
        <w:shd w:val="clear" w:color="auto" w:fill="FFFFFF"/>
        <w:snapToGrid w:val="0"/>
        <w:spacing w:before="225" w:line="440" w:lineRule="exact"/>
        <w:ind w:left="14" w:firstLine="482"/>
        <w:rPr>
          <w:rFonts w:hint="eastAsia" w:ascii="宋体" w:hAnsi="宋体" w:eastAsia="宋体" w:cs="宋体"/>
          <w:color w:val="000000"/>
          <w:sz w:val="24"/>
          <w:szCs w:val="24"/>
          <w:shd w:val="clear" w:color="auto" w:fill="FFFFFF"/>
        </w:rPr>
      </w:pPr>
      <w:r>
        <w:rPr>
          <w:rFonts w:hint="eastAsia" w:ascii="宋体" w:hAnsi="宋体" w:eastAsia="宋体" w:cs="宋体"/>
          <w:b/>
          <w:bCs/>
          <w:color w:val="000000"/>
          <w:kern w:val="0"/>
          <w:sz w:val="24"/>
          <w:szCs w:val="24"/>
          <w:shd w:val="clear" w:color="auto" w:fill="FFFFFF"/>
        </w:rPr>
        <w:t>一、公开竞价、报名时间、地点</w:t>
      </w:r>
    </w:p>
    <w:p>
      <w:pPr>
        <w:widowControl/>
        <w:shd w:val="clear" w:color="auto" w:fill="FFFFFF"/>
        <w:snapToGrid w:val="0"/>
        <w:spacing w:before="225" w:line="440" w:lineRule="exact"/>
        <w:ind w:left="14" w:firstLine="482"/>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竞价时间：</w:t>
      </w:r>
      <w:r>
        <w:rPr>
          <w:rFonts w:hint="eastAsia" w:ascii="宋体" w:hAnsi="宋体" w:eastAsia="宋体" w:cs="宋体"/>
          <w:color w:val="0000FF"/>
          <w:sz w:val="24"/>
          <w:szCs w:val="24"/>
          <w:shd w:val="clear" w:color="auto" w:fill="FFFFFF"/>
          <w:lang w:val="en-US" w:eastAsia="zh-CN"/>
        </w:rPr>
        <w:t>2022</w:t>
      </w:r>
      <w:r>
        <w:rPr>
          <w:rFonts w:hint="eastAsia" w:ascii="宋体" w:hAnsi="宋体" w:eastAsia="宋体" w:cs="宋体"/>
          <w:color w:val="0000FF"/>
          <w:sz w:val="24"/>
          <w:szCs w:val="24"/>
          <w:shd w:val="clear" w:color="auto" w:fill="FFFFFF"/>
        </w:rPr>
        <w:t>年</w:t>
      </w:r>
      <w:r>
        <w:rPr>
          <w:rFonts w:hint="eastAsia" w:ascii="宋体" w:hAnsi="宋体" w:cs="宋体"/>
          <w:color w:val="0000FF"/>
          <w:sz w:val="24"/>
          <w:szCs w:val="24"/>
          <w:shd w:val="clear" w:color="auto" w:fill="FFFFFF"/>
          <w:lang w:val="en-US" w:eastAsia="zh-CN"/>
        </w:rPr>
        <w:t>10</w:t>
      </w:r>
      <w:r>
        <w:rPr>
          <w:rFonts w:hint="eastAsia" w:ascii="宋体" w:hAnsi="宋体" w:eastAsia="宋体" w:cs="宋体"/>
          <w:color w:val="0000FF"/>
          <w:sz w:val="24"/>
          <w:szCs w:val="24"/>
          <w:shd w:val="clear" w:color="auto" w:fill="FFFFFF"/>
        </w:rPr>
        <w:t>月</w:t>
      </w:r>
      <w:r>
        <w:rPr>
          <w:rFonts w:hint="eastAsia" w:ascii="宋体" w:hAnsi="宋体" w:cs="宋体"/>
          <w:color w:val="0000FF"/>
          <w:sz w:val="24"/>
          <w:szCs w:val="24"/>
          <w:shd w:val="clear" w:color="auto" w:fill="FFFFFF"/>
          <w:lang w:val="en-US" w:eastAsia="zh-CN"/>
        </w:rPr>
        <w:t>26</w:t>
      </w:r>
      <w:r>
        <w:rPr>
          <w:rFonts w:hint="eastAsia" w:ascii="宋体" w:hAnsi="宋体" w:eastAsia="宋体" w:cs="宋体"/>
          <w:color w:val="0000FF"/>
          <w:sz w:val="24"/>
          <w:szCs w:val="24"/>
          <w:shd w:val="clear" w:color="auto" w:fill="FFFFFF"/>
        </w:rPr>
        <w:t>日</w:t>
      </w:r>
      <w:r>
        <w:rPr>
          <w:rFonts w:hint="eastAsia" w:ascii="宋体" w:hAnsi="宋体" w:eastAsia="宋体" w:cs="宋体"/>
          <w:color w:val="000000"/>
          <w:sz w:val="24"/>
          <w:szCs w:val="24"/>
          <w:shd w:val="clear" w:color="auto" w:fill="FFFFFF"/>
        </w:rPr>
        <w:t>9:30开始至9:50止（20分钟）。</w:t>
      </w:r>
    </w:p>
    <w:p>
      <w:pPr>
        <w:widowControl/>
        <w:shd w:val="clear" w:color="auto" w:fill="FFFFFF"/>
        <w:snapToGrid w:val="0"/>
        <w:spacing w:before="225" w:line="440" w:lineRule="exact"/>
        <w:ind w:left="14" w:firstLine="482"/>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竞价地点：权益云交易平台或微信公众号“权益云交易平台”</w:t>
      </w:r>
    </w:p>
    <w:p>
      <w:pPr>
        <w:widowControl/>
        <w:shd w:val="clear" w:color="auto" w:fill="FFFFFF"/>
        <w:snapToGrid w:val="0"/>
        <w:spacing w:before="225" w:line="440" w:lineRule="exact"/>
        <w:ind w:left="14" w:firstLine="480"/>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报名时间：</w:t>
      </w:r>
      <w:r>
        <w:rPr>
          <w:rFonts w:hint="eastAsia" w:ascii="宋体" w:hAnsi="宋体" w:eastAsia="宋体" w:cs="宋体"/>
          <w:color w:val="0000FF"/>
          <w:sz w:val="24"/>
          <w:szCs w:val="24"/>
          <w:shd w:val="clear" w:color="auto" w:fill="FFFFFF"/>
          <w:lang w:val="en-US" w:eastAsia="zh-CN"/>
        </w:rPr>
        <w:t>2022</w:t>
      </w:r>
      <w:r>
        <w:rPr>
          <w:rFonts w:hint="eastAsia" w:ascii="宋体" w:hAnsi="宋体" w:eastAsia="宋体" w:cs="宋体"/>
          <w:color w:val="0000FF"/>
          <w:sz w:val="24"/>
          <w:szCs w:val="24"/>
          <w:shd w:val="clear" w:color="auto" w:fill="FFFFFF"/>
        </w:rPr>
        <w:t>年</w:t>
      </w:r>
      <w:r>
        <w:rPr>
          <w:rFonts w:hint="eastAsia" w:ascii="宋体" w:hAnsi="宋体" w:cs="宋体"/>
          <w:color w:val="0000FF"/>
          <w:sz w:val="24"/>
          <w:szCs w:val="24"/>
          <w:shd w:val="clear" w:color="auto" w:fill="FFFFFF"/>
          <w:lang w:val="en-US" w:eastAsia="zh-CN"/>
        </w:rPr>
        <w:t>10</w:t>
      </w:r>
      <w:r>
        <w:rPr>
          <w:rFonts w:hint="eastAsia" w:ascii="宋体" w:hAnsi="宋体" w:eastAsia="宋体" w:cs="宋体"/>
          <w:color w:val="0000FF"/>
          <w:sz w:val="24"/>
          <w:szCs w:val="24"/>
          <w:shd w:val="clear" w:color="auto" w:fill="FFFFFF"/>
        </w:rPr>
        <w:t>月</w:t>
      </w:r>
      <w:r>
        <w:rPr>
          <w:rFonts w:hint="eastAsia" w:ascii="宋体" w:hAnsi="宋体" w:cs="宋体"/>
          <w:color w:val="0000FF"/>
          <w:sz w:val="24"/>
          <w:szCs w:val="24"/>
          <w:shd w:val="clear" w:color="auto" w:fill="FFFFFF"/>
          <w:lang w:val="en-US" w:eastAsia="zh-CN"/>
        </w:rPr>
        <w:t>21</w:t>
      </w:r>
      <w:r>
        <w:rPr>
          <w:rFonts w:hint="eastAsia" w:ascii="宋体" w:hAnsi="宋体" w:eastAsia="宋体" w:cs="宋体"/>
          <w:color w:val="0000FF"/>
          <w:sz w:val="24"/>
          <w:szCs w:val="24"/>
          <w:shd w:val="clear" w:color="auto" w:fill="FFFFFF"/>
        </w:rPr>
        <w:t>日至</w:t>
      </w:r>
      <w:r>
        <w:rPr>
          <w:rFonts w:hint="eastAsia" w:ascii="宋体" w:hAnsi="宋体" w:eastAsia="宋体" w:cs="宋体"/>
          <w:color w:val="0000FF"/>
          <w:sz w:val="24"/>
          <w:szCs w:val="24"/>
          <w:shd w:val="clear" w:color="auto" w:fill="FFFFFF"/>
          <w:lang w:val="en-US" w:eastAsia="zh-CN"/>
        </w:rPr>
        <w:t>2022</w:t>
      </w:r>
      <w:r>
        <w:rPr>
          <w:rFonts w:hint="eastAsia" w:ascii="宋体" w:hAnsi="宋体" w:eastAsia="宋体" w:cs="宋体"/>
          <w:color w:val="0000FF"/>
          <w:sz w:val="24"/>
          <w:szCs w:val="24"/>
          <w:shd w:val="clear" w:color="auto" w:fill="FFFFFF"/>
        </w:rPr>
        <w:t>年</w:t>
      </w:r>
      <w:r>
        <w:rPr>
          <w:rFonts w:hint="eastAsia" w:ascii="宋体" w:hAnsi="宋体" w:cs="宋体"/>
          <w:color w:val="0000FF"/>
          <w:sz w:val="24"/>
          <w:szCs w:val="24"/>
          <w:shd w:val="clear" w:color="auto" w:fill="FFFFFF"/>
          <w:lang w:val="en-US" w:eastAsia="zh-CN"/>
        </w:rPr>
        <w:t>10</w:t>
      </w:r>
      <w:r>
        <w:rPr>
          <w:rFonts w:hint="eastAsia" w:ascii="宋体" w:hAnsi="宋体" w:eastAsia="宋体" w:cs="宋体"/>
          <w:color w:val="0000FF"/>
          <w:sz w:val="24"/>
          <w:szCs w:val="24"/>
          <w:shd w:val="clear" w:color="auto" w:fill="FFFFFF"/>
        </w:rPr>
        <w:t>月</w:t>
      </w:r>
      <w:r>
        <w:rPr>
          <w:rFonts w:hint="eastAsia" w:ascii="宋体" w:hAnsi="宋体" w:cs="宋体"/>
          <w:color w:val="0000FF"/>
          <w:sz w:val="24"/>
          <w:szCs w:val="24"/>
          <w:shd w:val="clear" w:color="auto" w:fill="FFFFFF"/>
          <w:lang w:val="en-US" w:eastAsia="zh-CN"/>
        </w:rPr>
        <w:t>25</w:t>
      </w:r>
      <w:r>
        <w:rPr>
          <w:rFonts w:hint="eastAsia" w:ascii="宋体" w:hAnsi="宋体" w:eastAsia="宋体" w:cs="宋体"/>
          <w:color w:val="0000FF"/>
          <w:sz w:val="24"/>
          <w:szCs w:val="24"/>
          <w:shd w:val="clear" w:color="auto" w:fill="FFFFFF"/>
        </w:rPr>
        <w:t>日</w:t>
      </w:r>
      <w:r>
        <w:rPr>
          <w:rFonts w:hint="eastAsia" w:ascii="宋体" w:hAnsi="宋体" w:eastAsia="宋体" w:cs="宋体"/>
          <w:color w:val="000000"/>
          <w:sz w:val="24"/>
          <w:szCs w:val="24"/>
          <w:shd w:val="clear" w:color="auto" w:fill="FFFFFF"/>
        </w:rPr>
        <w:t>17时(节假日除外)</w:t>
      </w:r>
    </w:p>
    <w:p>
      <w:pPr>
        <w:pStyle w:val="6"/>
        <w:widowControl/>
        <w:shd w:val="clear" w:color="auto" w:fill="FFFFFF"/>
        <w:snapToGrid w:val="0"/>
        <w:spacing w:beforeAutospacing="0" w:afterAutospacing="0" w:line="440" w:lineRule="exact"/>
        <w:ind w:left="15" w:firstLine="465"/>
        <w:jc w:val="both"/>
        <w:rPr>
          <w:rFonts w:hint="eastAsia" w:ascii="宋体" w:hAnsi="宋体" w:eastAsia="宋体" w:cs="宋体"/>
          <w:color w:val="000000"/>
          <w:kern w:val="2"/>
          <w:sz w:val="24"/>
          <w:szCs w:val="24"/>
          <w:shd w:val="clear" w:color="auto" w:fill="FFFFFF"/>
        </w:rPr>
      </w:pPr>
      <w:r>
        <w:rPr>
          <w:rFonts w:hint="eastAsia" w:ascii="宋体" w:hAnsi="宋体" w:eastAsia="宋体" w:cs="宋体"/>
          <w:color w:val="000000"/>
          <w:kern w:val="2"/>
          <w:sz w:val="24"/>
          <w:szCs w:val="24"/>
          <w:shd w:val="clear" w:color="auto" w:fill="FFFFFF"/>
        </w:rPr>
        <w:t>报名地点：连城县国有资产产权交易服务有限公司（连城县农业银行7楼）</w:t>
      </w:r>
    </w:p>
    <w:p>
      <w:pPr>
        <w:pStyle w:val="6"/>
        <w:widowControl/>
        <w:shd w:val="clear" w:color="auto" w:fill="FFFFFF"/>
        <w:snapToGrid w:val="0"/>
        <w:spacing w:beforeAutospacing="0" w:afterAutospacing="0" w:line="440" w:lineRule="exact"/>
        <w:ind w:left="15" w:firstLine="465"/>
        <w:jc w:val="both"/>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联系电话：0597-8911670</w:t>
      </w:r>
    </w:p>
    <w:p>
      <w:pPr>
        <w:widowControl/>
        <w:shd w:val="clear" w:color="auto" w:fill="FFFFFF"/>
        <w:snapToGrid w:val="0"/>
        <w:spacing w:before="225" w:line="440" w:lineRule="exact"/>
        <w:ind w:left="14" w:firstLine="482"/>
        <w:rPr>
          <w:rFonts w:hint="eastAsia" w:ascii="宋体" w:hAnsi="宋体" w:eastAsia="宋体" w:cs="宋体"/>
          <w:b/>
          <w:bCs/>
          <w:color w:val="000000"/>
          <w:kern w:val="0"/>
          <w:sz w:val="24"/>
          <w:szCs w:val="24"/>
          <w:shd w:val="clear" w:color="auto" w:fill="FFFFFF"/>
          <w:lang w:val="en-US" w:eastAsia="zh-CN" w:bidi="ar-SA"/>
        </w:rPr>
      </w:pPr>
      <w:r>
        <w:rPr>
          <w:rFonts w:hint="eastAsia" w:ascii="宋体" w:hAnsi="宋体" w:eastAsia="宋体" w:cs="宋体"/>
          <w:b/>
          <w:bCs/>
          <w:color w:val="000000"/>
          <w:kern w:val="0"/>
          <w:sz w:val="24"/>
          <w:szCs w:val="24"/>
          <w:shd w:val="clear" w:color="auto" w:fill="FFFFFF"/>
          <w:lang w:val="en-US" w:eastAsia="zh-CN" w:bidi="ar-SA"/>
        </w:rPr>
        <w:t>二、项目概况及工作要求</w:t>
      </w:r>
    </w:p>
    <w:p>
      <w:pPr>
        <w:keepNext w:val="0"/>
        <w:keepLines w:val="0"/>
        <w:pageBreakBefore w:val="0"/>
        <w:widowControl/>
        <w:kinsoku/>
        <w:wordWrap/>
        <w:overflowPunct/>
        <w:topLinePunct w:val="0"/>
        <w:autoSpaceDE/>
        <w:autoSpaceDN/>
        <w:bidi w:val="0"/>
        <w:adjustRightInd/>
        <w:snapToGrid w:val="0"/>
        <w:spacing w:line="510" w:lineRule="exact"/>
        <w:ind w:left="14" w:firstLine="480" w:firstLineChars="200"/>
        <w:jc w:val="both"/>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auto"/>
          <w:kern w:val="0"/>
          <w:sz w:val="24"/>
          <w:szCs w:val="24"/>
          <w:shd w:val="clear" w:color="auto" w:fill="FFFFFF"/>
          <w:lang w:val="en-US" w:eastAsia="zh-CN" w:bidi="ar-SA"/>
        </w:rPr>
        <w:t>1.项目名称：</w:t>
      </w:r>
      <w:r>
        <w:rPr>
          <w:rFonts w:hint="eastAsia" w:ascii="宋体" w:hAnsi="宋体" w:cs="宋体"/>
          <w:color w:val="0000FF"/>
          <w:kern w:val="0"/>
          <w:sz w:val="24"/>
          <w:szCs w:val="24"/>
          <w:highlight w:val="none"/>
          <w:u w:val="none"/>
          <w:lang w:val="en-US" w:eastAsia="zh-CN" w:bidi="ar"/>
        </w:rPr>
        <w:t>连城县连发城市建设有限公司公开竞价选取资产评估服务机构</w:t>
      </w:r>
      <w:bookmarkStart w:id="1" w:name="_GoBack"/>
      <w:bookmarkEnd w:id="1"/>
      <w:r>
        <w:rPr>
          <w:rFonts w:hint="eastAsia" w:ascii="宋体" w:hAnsi="宋体" w:cs="宋体"/>
          <w:color w:val="0000FF"/>
          <w:kern w:val="0"/>
          <w:sz w:val="24"/>
          <w:szCs w:val="24"/>
          <w:highlight w:val="none"/>
          <w:u w:val="none"/>
          <w:lang w:val="en-US" w:eastAsia="zh-CN" w:bidi="ar"/>
        </w:rPr>
        <w:t>。</w:t>
      </w:r>
    </w:p>
    <w:p>
      <w:pPr>
        <w:widowControl/>
        <w:snapToGrid w:val="0"/>
        <w:spacing w:line="520" w:lineRule="exact"/>
        <w:ind w:left="14" w:firstLine="480" w:firstLineChars="200"/>
        <w:rPr>
          <w:rFonts w:hint="eastAsia" w:ascii="宋体" w:hAnsi="宋体" w:cs="宋体"/>
          <w:color w:val="0000FF"/>
          <w:kern w:val="0"/>
          <w:sz w:val="24"/>
          <w:szCs w:val="24"/>
          <w:highlight w:val="none"/>
          <w:u w:val="none"/>
          <w:lang w:val="en-US" w:eastAsia="zh-CN" w:bidi="ar"/>
        </w:rPr>
      </w:pPr>
      <w:r>
        <w:rPr>
          <w:rFonts w:hint="eastAsia" w:ascii="宋体" w:hAnsi="宋体" w:eastAsia="宋体" w:cs="宋体"/>
          <w:color w:val="auto"/>
          <w:kern w:val="0"/>
          <w:sz w:val="24"/>
          <w:szCs w:val="24"/>
          <w:shd w:val="clear" w:color="auto" w:fill="FFFFFF"/>
          <w:lang w:val="en-US" w:eastAsia="zh-CN" w:bidi="ar-SA"/>
        </w:rPr>
        <w:t>2.评估内容：</w:t>
      </w:r>
      <w:r>
        <w:rPr>
          <w:rFonts w:hint="eastAsia" w:ascii="宋体" w:hAnsi="宋体" w:cs="宋体"/>
          <w:color w:val="0000FF"/>
          <w:kern w:val="0"/>
          <w:sz w:val="24"/>
          <w:szCs w:val="24"/>
          <w:highlight w:val="none"/>
          <w:u w:val="none"/>
          <w:lang w:val="en-US" w:eastAsia="zh-CN" w:bidi="ar"/>
        </w:rPr>
        <w:t xml:space="preserve">为连城县金龙纸业有限公司持有连城县农村信用合作联社股份50万股的股权价值提供评估服务。 </w:t>
      </w:r>
    </w:p>
    <w:p>
      <w:pPr>
        <w:pStyle w:val="2"/>
        <w:ind w:firstLine="482" w:firstLineChars="200"/>
        <w:rPr>
          <w:rFonts w:hint="eastAsia" w:ascii="宋体" w:hAnsi="宋体" w:cs="宋体"/>
          <w:b/>
          <w:bCs/>
          <w:color w:val="0000FF"/>
          <w:kern w:val="0"/>
          <w:sz w:val="24"/>
          <w:szCs w:val="24"/>
          <w:shd w:val="clear" w:color="auto" w:fill="FFFFFF"/>
          <w:lang w:val="en-US" w:eastAsia="zh-CN" w:bidi="ar-SA"/>
        </w:rPr>
      </w:pPr>
    </w:p>
    <w:p>
      <w:pPr>
        <w:keepNext w:val="0"/>
        <w:keepLines w:val="0"/>
        <w:pageBreakBefore w:val="0"/>
        <w:widowControl/>
        <w:numPr>
          <w:ilvl w:val="0"/>
          <w:numId w:val="0"/>
        </w:numPr>
        <w:kinsoku/>
        <w:wordWrap/>
        <w:overflowPunct/>
        <w:topLinePunct w:val="0"/>
        <w:autoSpaceDE/>
        <w:autoSpaceDN/>
        <w:bidi w:val="0"/>
        <w:adjustRightInd/>
        <w:snapToGrid w:val="0"/>
        <w:spacing w:line="510" w:lineRule="exact"/>
        <w:ind w:firstLine="482" w:firstLineChars="200"/>
        <w:jc w:val="both"/>
        <w:textAlignment w:val="auto"/>
        <w:rPr>
          <w:rFonts w:hint="default" w:ascii="宋体" w:hAnsi="宋体" w:cs="宋体"/>
          <w:b/>
          <w:bCs/>
          <w:color w:val="000000" w:themeColor="text1"/>
          <w:kern w:val="0"/>
          <w:sz w:val="24"/>
          <w:szCs w:val="24"/>
          <w:highlight w:val="none"/>
          <w:u w:val="none"/>
          <w:lang w:val="en-US" w:eastAsia="zh-CN" w:bidi="ar"/>
        </w:rPr>
      </w:pPr>
      <w:r>
        <w:rPr>
          <w:rFonts w:hint="eastAsia" w:ascii="宋体" w:hAnsi="宋体" w:cs="宋体"/>
          <w:b/>
          <w:bCs/>
          <w:color w:val="0000FF"/>
          <w:kern w:val="0"/>
          <w:sz w:val="24"/>
          <w:szCs w:val="24"/>
          <w:shd w:val="clear" w:color="auto" w:fill="FFFFFF"/>
          <w:lang w:val="en-US" w:eastAsia="zh-CN" w:bidi="ar-SA"/>
        </w:rPr>
        <w:t>注：</w:t>
      </w:r>
      <w:r>
        <w:rPr>
          <w:rFonts w:hint="eastAsia" w:ascii="宋体" w:hAnsi="宋体" w:cs="宋体"/>
          <w:color w:val="0000FF"/>
          <w:kern w:val="0"/>
          <w:sz w:val="24"/>
          <w:szCs w:val="24"/>
          <w:highlight w:val="none"/>
          <w:u w:val="none"/>
          <w:lang w:val="en-US" w:eastAsia="zh-CN" w:bidi="ar"/>
        </w:rPr>
        <w:t>股权分割基准日定为 2021年12月31日，需要对连城县农村信用合作联社股东全部收益价值进行评估。</w:t>
      </w:r>
    </w:p>
    <w:p>
      <w:pPr>
        <w:keepNext w:val="0"/>
        <w:keepLines w:val="0"/>
        <w:pageBreakBefore w:val="0"/>
        <w:widowControl/>
        <w:numPr>
          <w:ilvl w:val="0"/>
          <w:numId w:val="1"/>
        </w:numPr>
        <w:shd w:val="clear" w:color="auto" w:fill="FFFFFF"/>
        <w:kinsoku/>
        <w:wordWrap/>
        <w:overflowPunct/>
        <w:topLinePunct w:val="0"/>
        <w:autoSpaceDE/>
        <w:autoSpaceDN/>
        <w:bidi w:val="0"/>
        <w:adjustRightInd/>
        <w:snapToGrid w:val="0"/>
        <w:spacing w:before="100" w:beforeAutospacing="1" w:after="100" w:afterAutospacing="1" w:line="440" w:lineRule="exact"/>
        <w:ind w:firstLine="480" w:firstLineChars="200"/>
        <w:jc w:val="both"/>
        <w:textAlignment w:val="auto"/>
        <w:rPr>
          <w:rFonts w:hint="eastAsia" w:ascii="宋体" w:hAnsi="宋体" w:cs="宋体"/>
          <w:color w:val="0000FF"/>
          <w:kern w:val="0"/>
          <w:sz w:val="24"/>
          <w:szCs w:val="24"/>
          <w:highlight w:val="none"/>
          <w:lang w:val="en-US" w:eastAsia="zh-CN" w:bidi="ar"/>
        </w:rPr>
      </w:pPr>
      <w:r>
        <w:rPr>
          <w:rFonts w:hint="eastAsia" w:ascii="宋体" w:hAnsi="宋体" w:eastAsia="宋体" w:cs="宋体"/>
          <w:color w:val="auto"/>
          <w:kern w:val="0"/>
          <w:sz w:val="24"/>
          <w:szCs w:val="24"/>
          <w:shd w:val="clear" w:color="auto" w:fill="FFFFFF"/>
          <w:lang w:val="en-US" w:eastAsia="zh-CN" w:bidi="ar-SA"/>
        </w:rPr>
        <w:t>评估费用：</w:t>
      </w:r>
      <w:r>
        <w:rPr>
          <w:rFonts w:hint="eastAsia" w:ascii="宋体" w:hAnsi="宋体" w:eastAsia="宋体" w:cs="宋体"/>
          <w:color w:val="0000FF"/>
          <w:kern w:val="0"/>
          <w:sz w:val="24"/>
          <w:szCs w:val="24"/>
          <w:highlight w:val="none"/>
          <w:lang w:val="en-US" w:eastAsia="zh-CN" w:bidi="ar"/>
        </w:rPr>
        <w:t>不超过人民币大写：</w:t>
      </w:r>
      <w:r>
        <w:rPr>
          <w:rFonts w:hint="eastAsia" w:ascii="宋体" w:hAnsi="宋体" w:cs="宋体"/>
          <w:color w:val="0000FF"/>
          <w:kern w:val="0"/>
          <w:sz w:val="24"/>
          <w:szCs w:val="24"/>
          <w:highlight w:val="none"/>
          <w:lang w:val="en-US" w:eastAsia="zh-CN" w:bidi="ar"/>
        </w:rPr>
        <w:t>伍仟</w:t>
      </w:r>
      <w:r>
        <w:rPr>
          <w:rFonts w:hint="eastAsia" w:ascii="宋体" w:hAnsi="宋体" w:eastAsia="宋体" w:cs="宋体"/>
          <w:color w:val="0000FF"/>
          <w:kern w:val="0"/>
          <w:sz w:val="24"/>
          <w:szCs w:val="24"/>
          <w:highlight w:val="none"/>
          <w:lang w:val="en-US" w:eastAsia="zh-CN" w:bidi="ar"/>
        </w:rPr>
        <w:t>元整（</w:t>
      </w:r>
      <w:r>
        <w:rPr>
          <w:rFonts w:hint="default" w:ascii="宋体" w:hAnsi="宋体" w:eastAsia="宋体" w:cs="宋体"/>
          <w:color w:val="0000FF"/>
          <w:kern w:val="0"/>
          <w:sz w:val="24"/>
          <w:szCs w:val="24"/>
          <w:highlight w:val="none"/>
          <w:lang w:val="en-US" w:eastAsia="zh-CN" w:bidi="ar"/>
        </w:rPr>
        <w:t>¥</w:t>
      </w:r>
      <w:r>
        <w:rPr>
          <w:rFonts w:hint="eastAsia" w:ascii="宋体" w:hAnsi="宋体" w:cs="宋体"/>
          <w:color w:val="0000FF"/>
          <w:kern w:val="0"/>
          <w:sz w:val="24"/>
          <w:szCs w:val="24"/>
          <w:highlight w:val="none"/>
          <w:lang w:val="en-US" w:eastAsia="zh-CN" w:bidi="ar"/>
        </w:rPr>
        <w:t>5000</w:t>
      </w:r>
      <w:r>
        <w:rPr>
          <w:rFonts w:hint="eastAsia" w:ascii="宋体" w:hAnsi="宋体" w:eastAsia="宋体" w:cs="宋体"/>
          <w:color w:val="0000FF"/>
          <w:kern w:val="0"/>
          <w:sz w:val="24"/>
          <w:szCs w:val="24"/>
          <w:highlight w:val="none"/>
          <w:lang w:val="en-US" w:eastAsia="zh-CN" w:bidi="ar"/>
        </w:rPr>
        <w:t>.00）</w:t>
      </w:r>
      <w:r>
        <w:rPr>
          <w:rFonts w:hint="eastAsia" w:ascii="宋体" w:hAnsi="宋体" w:cs="宋体"/>
          <w:color w:val="0000FF"/>
          <w:kern w:val="0"/>
          <w:sz w:val="24"/>
          <w:szCs w:val="24"/>
          <w:highlight w:val="none"/>
          <w:lang w:val="en-US" w:eastAsia="zh-CN" w:bidi="ar"/>
        </w:rPr>
        <w:t>。</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before="100" w:beforeAutospacing="1" w:after="100" w:afterAutospacing="1" w:line="440" w:lineRule="exact"/>
        <w:ind w:firstLine="480" w:firstLineChars="200"/>
        <w:jc w:val="both"/>
        <w:textAlignment w:val="auto"/>
        <w:rPr>
          <w:rFonts w:hint="default" w:ascii="宋体" w:hAnsi="宋体" w:eastAsia="宋体" w:cs="宋体"/>
          <w:color w:val="0000FF"/>
          <w:kern w:val="0"/>
          <w:sz w:val="24"/>
          <w:szCs w:val="24"/>
          <w:highlight w:val="none"/>
          <w:lang w:val="en-US" w:eastAsia="zh-CN" w:bidi="ar"/>
        </w:rPr>
      </w:pPr>
      <w:r>
        <w:rPr>
          <w:rFonts w:hint="eastAsia" w:ascii="宋体" w:hAnsi="宋体" w:eastAsia="宋体" w:cs="宋体"/>
          <w:color w:val="0000FF"/>
          <w:kern w:val="0"/>
          <w:sz w:val="24"/>
          <w:szCs w:val="24"/>
          <w:highlight w:val="none"/>
          <w:lang w:val="en-US" w:eastAsia="zh-CN" w:bidi="ar"/>
        </w:rPr>
        <w:t>4.竞价保证金：</w:t>
      </w:r>
      <w:r>
        <w:rPr>
          <w:rFonts w:hint="eastAsia" w:ascii="宋体" w:hAnsi="宋体" w:cs="宋体"/>
          <w:color w:val="0000FF"/>
          <w:kern w:val="0"/>
          <w:sz w:val="24"/>
          <w:szCs w:val="24"/>
          <w:highlight w:val="none"/>
          <w:lang w:val="en-US" w:eastAsia="zh-CN" w:bidi="ar"/>
        </w:rPr>
        <w:t>贰仟元整</w:t>
      </w:r>
      <w:r>
        <w:rPr>
          <w:rFonts w:hint="eastAsia" w:ascii="宋体" w:hAnsi="宋体" w:eastAsia="宋体" w:cs="宋体"/>
          <w:color w:val="0000FF"/>
          <w:kern w:val="0"/>
          <w:sz w:val="24"/>
          <w:szCs w:val="24"/>
          <w:highlight w:val="none"/>
          <w:lang w:val="en-US" w:eastAsia="zh-CN" w:bidi="ar"/>
        </w:rPr>
        <w:t>（</w:t>
      </w:r>
      <w:r>
        <w:rPr>
          <w:rFonts w:hint="default" w:ascii="宋体" w:hAnsi="宋体" w:eastAsia="宋体" w:cs="宋体"/>
          <w:color w:val="0000FF"/>
          <w:kern w:val="0"/>
          <w:sz w:val="24"/>
          <w:szCs w:val="24"/>
          <w:highlight w:val="none"/>
          <w:lang w:val="en-US" w:eastAsia="zh-CN" w:bidi="ar"/>
        </w:rPr>
        <w:t>¥</w:t>
      </w:r>
      <w:r>
        <w:rPr>
          <w:rFonts w:hint="eastAsia" w:ascii="宋体" w:hAnsi="宋体" w:cs="宋体"/>
          <w:color w:val="0000FF"/>
          <w:kern w:val="0"/>
          <w:sz w:val="24"/>
          <w:szCs w:val="24"/>
          <w:highlight w:val="none"/>
          <w:lang w:val="en-US" w:eastAsia="zh-CN" w:bidi="ar"/>
        </w:rPr>
        <w:t>2000</w:t>
      </w:r>
      <w:r>
        <w:rPr>
          <w:rFonts w:hint="eastAsia" w:ascii="宋体" w:hAnsi="宋体" w:eastAsia="宋体" w:cs="宋体"/>
          <w:color w:val="0000FF"/>
          <w:kern w:val="0"/>
          <w:sz w:val="24"/>
          <w:szCs w:val="24"/>
          <w:highlight w:val="none"/>
          <w:lang w:val="en-US" w:eastAsia="zh-CN" w:bidi="ar"/>
        </w:rPr>
        <w:t>.00）。</w:t>
      </w:r>
    </w:p>
    <w:p>
      <w:pPr>
        <w:keepNext w:val="0"/>
        <w:keepLines w:val="0"/>
        <w:pageBreakBefore w:val="0"/>
        <w:widowControl/>
        <w:kinsoku/>
        <w:wordWrap/>
        <w:overflowPunct/>
        <w:topLinePunct w:val="0"/>
        <w:autoSpaceDE/>
        <w:autoSpaceDN/>
        <w:bidi w:val="0"/>
        <w:adjustRightInd/>
        <w:snapToGrid w:val="0"/>
        <w:spacing w:line="510" w:lineRule="exact"/>
        <w:ind w:left="14" w:firstLine="482" w:firstLineChars="200"/>
        <w:jc w:val="both"/>
        <w:textAlignment w:val="auto"/>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b/>
          <w:bCs/>
          <w:color w:val="auto"/>
          <w:kern w:val="0"/>
          <w:sz w:val="24"/>
          <w:szCs w:val="24"/>
          <w:shd w:val="clear" w:color="auto" w:fill="FFFFFF"/>
          <w:lang w:val="en-US" w:eastAsia="zh-CN" w:bidi="ar-SA"/>
        </w:rPr>
        <w:t>5.工作要求（具体按委托人要求及合同约定执行）：</w:t>
      </w:r>
    </w:p>
    <w:p>
      <w:pPr>
        <w:keepNext w:val="0"/>
        <w:keepLines w:val="0"/>
        <w:pageBreakBefore w:val="0"/>
        <w:widowControl/>
        <w:kinsoku/>
        <w:wordWrap/>
        <w:overflowPunct/>
        <w:topLinePunct w:val="0"/>
        <w:autoSpaceDE/>
        <w:autoSpaceDN/>
        <w:bidi w:val="0"/>
        <w:adjustRightInd/>
        <w:snapToGrid w:val="0"/>
        <w:spacing w:line="510" w:lineRule="exact"/>
        <w:ind w:left="14" w:firstLine="480" w:firstLineChars="200"/>
        <w:jc w:val="both"/>
        <w:textAlignment w:val="auto"/>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（1）成交人须</w:t>
      </w:r>
      <w:r>
        <w:rPr>
          <w:rFonts w:hint="eastAsia" w:ascii="宋体" w:hAnsi="宋体" w:cs="宋体"/>
          <w:color w:val="0000FF"/>
          <w:kern w:val="0"/>
          <w:sz w:val="24"/>
          <w:szCs w:val="24"/>
          <w:highlight w:val="none"/>
          <w:u w:val="none"/>
          <w:lang w:val="en-US" w:eastAsia="zh-CN" w:bidi="ar"/>
        </w:rPr>
        <w:t>对估价提供的资料</w:t>
      </w:r>
      <w:r>
        <w:rPr>
          <w:rFonts w:hint="eastAsia" w:ascii="宋体" w:hAnsi="宋体" w:eastAsia="宋体" w:cs="宋体"/>
          <w:color w:val="auto"/>
          <w:kern w:val="0"/>
          <w:sz w:val="24"/>
          <w:szCs w:val="24"/>
          <w:shd w:val="clear" w:color="auto" w:fill="FFFFFF"/>
          <w:lang w:val="en-US" w:eastAsia="zh-CN" w:bidi="ar-SA"/>
        </w:rPr>
        <w:t>进行市场勘察、核实核对，明确评估对象估价时点的状况。</w:t>
      </w:r>
    </w:p>
    <w:p>
      <w:pPr>
        <w:keepNext w:val="0"/>
        <w:keepLines w:val="0"/>
        <w:pageBreakBefore w:val="0"/>
        <w:widowControl/>
        <w:kinsoku/>
        <w:wordWrap/>
        <w:overflowPunct/>
        <w:topLinePunct w:val="0"/>
        <w:autoSpaceDE/>
        <w:autoSpaceDN/>
        <w:bidi w:val="0"/>
        <w:adjustRightInd/>
        <w:snapToGrid w:val="0"/>
        <w:spacing w:line="510" w:lineRule="exact"/>
        <w:ind w:left="14" w:firstLine="480" w:firstLineChars="200"/>
        <w:jc w:val="both"/>
        <w:textAlignment w:val="auto"/>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（2）评估目的为</w:t>
      </w:r>
      <w:r>
        <w:rPr>
          <w:rFonts w:hint="eastAsia" w:ascii="宋体" w:hAnsi="宋体" w:cs="宋体"/>
          <w:b w:val="0"/>
          <w:bCs w:val="0"/>
          <w:color w:val="0000FF"/>
          <w:kern w:val="0"/>
          <w:sz w:val="24"/>
          <w:szCs w:val="24"/>
          <w:shd w:val="clear" w:color="auto" w:fill="FFFFFF"/>
          <w:lang w:val="en-US" w:eastAsia="zh-CN"/>
        </w:rPr>
        <w:t>连城县金龙纸业有限公司持有的</w:t>
      </w:r>
      <w:r>
        <w:rPr>
          <w:rFonts w:hint="eastAsia" w:ascii="宋体" w:hAnsi="宋体" w:cs="宋体"/>
          <w:color w:val="0000FF"/>
          <w:kern w:val="0"/>
          <w:sz w:val="24"/>
          <w:szCs w:val="24"/>
          <w:highlight w:val="none"/>
          <w:u w:val="none"/>
          <w:lang w:val="en-US" w:eastAsia="zh-CN" w:bidi="ar"/>
        </w:rPr>
        <w:t>连城县农村信用合作联社</w:t>
      </w:r>
      <w:r>
        <w:rPr>
          <w:rFonts w:hint="eastAsia" w:ascii="宋体" w:hAnsi="宋体" w:cs="宋体"/>
          <w:b w:val="0"/>
          <w:bCs w:val="0"/>
          <w:color w:val="0000FF"/>
          <w:kern w:val="0"/>
          <w:sz w:val="24"/>
          <w:szCs w:val="24"/>
          <w:shd w:val="clear" w:color="auto" w:fill="FFFFFF"/>
          <w:lang w:val="en-US" w:eastAsia="zh-CN"/>
        </w:rPr>
        <w:t>股份50万股股权</w:t>
      </w:r>
      <w:r>
        <w:rPr>
          <w:rFonts w:hint="eastAsia" w:ascii="宋体" w:hAnsi="宋体" w:eastAsia="宋体" w:cs="宋体"/>
          <w:color w:val="auto"/>
          <w:kern w:val="0"/>
          <w:sz w:val="24"/>
          <w:szCs w:val="24"/>
          <w:shd w:val="clear" w:color="auto" w:fill="FFFFFF"/>
          <w:lang w:val="en-US" w:eastAsia="zh-CN" w:bidi="ar-SA"/>
        </w:rPr>
        <w:t>确定合理市场价值进行评估，要综合考虑各因素，合法、客观、公正地进行评估，出具符合规范的评估报告。</w:t>
      </w:r>
    </w:p>
    <w:p>
      <w:pPr>
        <w:keepNext w:val="0"/>
        <w:keepLines w:val="0"/>
        <w:pageBreakBefore w:val="0"/>
        <w:widowControl/>
        <w:kinsoku/>
        <w:wordWrap/>
        <w:overflowPunct/>
        <w:topLinePunct w:val="0"/>
        <w:autoSpaceDE/>
        <w:autoSpaceDN/>
        <w:bidi w:val="0"/>
        <w:adjustRightInd/>
        <w:snapToGrid w:val="0"/>
        <w:spacing w:line="510" w:lineRule="exact"/>
        <w:ind w:left="14" w:firstLine="480" w:firstLineChars="200"/>
        <w:jc w:val="both"/>
        <w:textAlignment w:val="auto"/>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w:t>
      </w:r>
      <w:r>
        <w:rPr>
          <w:rFonts w:hint="eastAsia" w:ascii="宋体" w:hAnsi="宋体" w:cs="宋体"/>
          <w:color w:val="auto"/>
          <w:kern w:val="0"/>
          <w:sz w:val="24"/>
          <w:szCs w:val="24"/>
          <w:shd w:val="clear" w:color="auto" w:fill="FFFFFF"/>
          <w:lang w:val="en-US" w:eastAsia="zh-CN" w:bidi="ar-SA"/>
        </w:rPr>
        <w:t>3</w:t>
      </w:r>
      <w:r>
        <w:rPr>
          <w:rFonts w:hint="eastAsia" w:ascii="宋体" w:hAnsi="宋体" w:eastAsia="宋体" w:cs="宋体"/>
          <w:color w:val="auto"/>
          <w:kern w:val="0"/>
          <w:sz w:val="24"/>
          <w:szCs w:val="24"/>
          <w:shd w:val="clear" w:color="auto" w:fill="FFFFFF"/>
          <w:lang w:val="en-US" w:eastAsia="zh-CN" w:bidi="ar-SA"/>
        </w:rPr>
        <w:t>）评估机构及签字的注册评估师对出具的评估报告的客观性、真实性、公正性承担法律责任。</w:t>
      </w:r>
    </w:p>
    <w:p>
      <w:pPr>
        <w:keepNext w:val="0"/>
        <w:keepLines w:val="0"/>
        <w:pageBreakBefore w:val="0"/>
        <w:widowControl/>
        <w:kinsoku/>
        <w:wordWrap/>
        <w:overflowPunct/>
        <w:topLinePunct w:val="0"/>
        <w:autoSpaceDE/>
        <w:autoSpaceDN/>
        <w:bidi w:val="0"/>
        <w:adjustRightInd/>
        <w:snapToGrid w:val="0"/>
        <w:spacing w:line="510" w:lineRule="exact"/>
        <w:ind w:left="14" w:firstLine="480" w:firstLineChars="200"/>
        <w:jc w:val="both"/>
        <w:textAlignment w:val="auto"/>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w:t>
      </w:r>
      <w:r>
        <w:rPr>
          <w:rFonts w:hint="eastAsia" w:ascii="宋体" w:hAnsi="宋体" w:cs="宋体"/>
          <w:color w:val="auto"/>
          <w:kern w:val="0"/>
          <w:sz w:val="24"/>
          <w:szCs w:val="24"/>
          <w:shd w:val="clear" w:color="auto" w:fill="FFFFFF"/>
          <w:lang w:val="en-US" w:eastAsia="zh-CN" w:bidi="ar-SA"/>
        </w:rPr>
        <w:t>4</w:t>
      </w:r>
      <w:r>
        <w:rPr>
          <w:rFonts w:hint="eastAsia" w:ascii="宋体" w:hAnsi="宋体" w:eastAsia="宋体" w:cs="宋体"/>
          <w:color w:val="auto"/>
          <w:kern w:val="0"/>
          <w:sz w:val="24"/>
          <w:szCs w:val="24"/>
          <w:shd w:val="clear" w:color="auto" w:fill="FFFFFF"/>
          <w:lang w:val="en-US" w:eastAsia="zh-CN" w:bidi="ar-SA"/>
        </w:rPr>
        <w:t>）在收到评估业务通知后，成交人须安排评估师到现场与</w:t>
      </w:r>
      <w:r>
        <w:rPr>
          <w:rFonts w:hint="eastAsia" w:ascii="宋体" w:hAnsi="宋体" w:cs="宋体"/>
          <w:color w:val="auto"/>
          <w:kern w:val="0"/>
          <w:sz w:val="24"/>
          <w:szCs w:val="24"/>
          <w:shd w:val="clear" w:color="auto" w:fill="FFFFFF"/>
          <w:lang w:val="en-US" w:eastAsia="zh-CN" w:bidi="ar-SA"/>
        </w:rPr>
        <w:t>委托方</w:t>
      </w:r>
      <w:r>
        <w:rPr>
          <w:rFonts w:hint="eastAsia" w:ascii="宋体" w:hAnsi="宋体" w:eastAsia="宋体" w:cs="宋体"/>
          <w:color w:val="auto"/>
          <w:kern w:val="0"/>
          <w:sz w:val="24"/>
          <w:szCs w:val="24"/>
          <w:shd w:val="clear" w:color="auto" w:fill="FFFFFF"/>
          <w:lang w:val="en-US" w:eastAsia="zh-CN" w:bidi="ar-SA"/>
        </w:rPr>
        <w:t>经办人员对接，并于收齐评估相关材料之日</w:t>
      </w:r>
      <w:r>
        <w:rPr>
          <w:rFonts w:hint="eastAsia" w:ascii="宋体" w:hAnsi="宋体" w:eastAsia="宋体" w:cs="宋体"/>
          <w:b w:val="0"/>
          <w:bCs w:val="0"/>
          <w:color w:val="auto"/>
          <w:kern w:val="0"/>
          <w:sz w:val="24"/>
          <w:szCs w:val="24"/>
          <w:shd w:val="clear" w:color="auto" w:fill="FFFFFF"/>
          <w:lang w:val="en-US" w:eastAsia="zh-CN" w:bidi="ar-SA"/>
        </w:rPr>
        <w:t>起</w:t>
      </w:r>
      <w:r>
        <w:rPr>
          <w:rFonts w:hint="eastAsia" w:ascii="宋体" w:hAnsi="宋体" w:cs="宋体"/>
          <w:b w:val="0"/>
          <w:bCs w:val="0"/>
          <w:color w:val="0000FF"/>
          <w:kern w:val="0"/>
          <w:sz w:val="24"/>
          <w:szCs w:val="24"/>
          <w:shd w:val="clear" w:color="auto" w:fill="FFFFFF"/>
          <w:lang w:val="en-US" w:eastAsia="zh-CN"/>
        </w:rPr>
        <w:t>5个工作日内</w:t>
      </w:r>
      <w:r>
        <w:rPr>
          <w:rFonts w:hint="eastAsia" w:ascii="宋体" w:hAnsi="宋体" w:eastAsia="宋体" w:cs="宋体"/>
          <w:b w:val="0"/>
          <w:bCs w:val="0"/>
          <w:color w:val="auto"/>
          <w:kern w:val="0"/>
          <w:sz w:val="24"/>
          <w:szCs w:val="24"/>
          <w:shd w:val="clear" w:color="auto" w:fill="FFFFFF"/>
          <w:lang w:val="en-US" w:eastAsia="zh-CN" w:bidi="ar-SA"/>
        </w:rPr>
        <w:t>按</w:t>
      </w:r>
      <w:r>
        <w:rPr>
          <w:rFonts w:hint="eastAsia" w:ascii="宋体" w:hAnsi="宋体" w:eastAsia="宋体" w:cs="宋体"/>
          <w:color w:val="auto"/>
          <w:kern w:val="0"/>
          <w:sz w:val="24"/>
          <w:szCs w:val="24"/>
          <w:shd w:val="clear" w:color="auto" w:fill="FFFFFF"/>
          <w:lang w:val="en-US" w:eastAsia="zh-CN" w:bidi="ar-SA"/>
        </w:rPr>
        <w:t>时完成预评估工作并提交预评估报告，预评估报告由</w:t>
      </w:r>
      <w:r>
        <w:rPr>
          <w:rFonts w:hint="eastAsia" w:ascii="宋体" w:hAnsi="宋体" w:cs="宋体"/>
          <w:color w:val="auto"/>
          <w:kern w:val="0"/>
          <w:sz w:val="24"/>
          <w:szCs w:val="24"/>
          <w:shd w:val="clear" w:color="auto" w:fill="FFFFFF"/>
          <w:lang w:val="en-US" w:eastAsia="zh-CN" w:bidi="ar-SA"/>
        </w:rPr>
        <w:t>委托方</w:t>
      </w:r>
      <w:r>
        <w:rPr>
          <w:rFonts w:hint="eastAsia" w:ascii="宋体" w:hAnsi="宋体" w:eastAsia="宋体" w:cs="宋体"/>
          <w:color w:val="auto"/>
          <w:kern w:val="0"/>
          <w:sz w:val="24"/>
          <w:szCs w:val="24"/>
          <w:shd w:val="clear" w:color="auto" w:fill="FFFFFF"/>
          <w:lang w:val="en-US" w:eastAsia="zh-CN" w:bidi="ar-SA"/>
        </w:rPr>
        <w:t>审核无误后再出具正式评估报告，无正当理由不得拖延，如因项目复杂可根据具体情况另行商定完成时间。</w:t>
      </w:r>
    </w:p>
    <w:p>
      <w:pPr>
        <w:keepNext w:val="0"/>
        <w:keepLines w:val="0"/>
        <w:pageBreakBefore w:val="0"/>
        <w:widowControl/>
        <w:kinsoku/>
        <w:wordWrap/>
        <w:overflowPunct/>
        <w:topLinePunct w:val="0"/>
        <w:autoSpaceDE/>
        <w:autoSpaceDN/>
        <w:bidi w:val="0"/>
        <w:adjustRightInd/>
        <w:snapToGrid w:val="0"/>
        <w:spacing w:line="510" w:lineRule="exact"/>
        <w:ind w:left="14" w:firstLine="480" w:firstLineChars="200"/>
        <w:jc w:val="both"/>
        <w:textAlignment w:val="auto"/>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w:t>
      </w:r>
      <w:r>
        <w:rPr>
          <w:rFonts w:hint="eastAsia" w:ascii="宋体" w:hAnsi="宋体" w:cs="宋体"/>
          <w:color w:val="auto"/>
          <w:kern w:val="0"/>
          <w:sz w:val="24"/>
          <w:szCs w:val="24"/>
          <w:shd w:val="clear" w:color="auto" w:fill="FFFFFF"/>
          <w:lang w:val="en-US" w:eastAsia="zh-CN" w:bidi="ar-SA"/>
        </w:rPr>
        <w:t>5</w:t>
      </w:r>
      <w:r>
        <w:rPr>
          <w:rFonts w:hint="eastAsia" w:ascii="宋体" w:hAnsi="宋体" w:eastAsia="宋体" w:cs="宋体"/>
          <w:color w:val="auto"/>
          <w:kern w:val="0"/>
          <w:sz w:val="24"/>
          <w:szCs w:val="24"/>
          <w:shd w:val="clear" w:color="auto" w:fill="FFFFFF"/>
          <w:lang w:val="en-US" w:eastAsia="zh-CN" w:bidi="ar-SA"/>
        </w:rPr>
        <w:t>）对委托方提供的有关资料和评估结果保密。</w:t>
      </w:r>
    </w:p>
    <w:p>
      <w:pPr>
        <w:widowControl/>
        <w:shd w:val="clear" w:color="auto" w:fill="FFFFFF"/>
        <w:snapToGrid w:val="0"/>
        <w:spacing w:before="225" w:line="440" w:lineRule="exact"/>
        <w:ind w:firstLine="482" w:firstLineChars="200"/>
        <w:rPr>
          <w:rFonts w:hint="eastAsia" w:ascii="宋体" w:hAnsi="宋体" w:eastAsia="宋体" w:cs="宋体"/>
          <w:b/>
          <w:bCs/>
          <w:color w:val="000000"/>
          <w:kern w:val="0"/>
          <w:sz w:val="24"/>
          <w:szCs w:val="24"/>
          <w:shd w:val="clear" w:color="auto" w:fill="FFFFFF"/>
        </w:rPr>
      </w:pPr>
      <w:r>
        <w:rPr>
          <w:rFonts w:hint="eastAsia" w:ascii="宋体" w:hAnsi="宋体" w:eastAsia="宋体" w:cs="宋体"/>
          <w:b/>
          <w:bCs/>
          <w:color w:val="000000"/>
          <w:kern w:val="0"/>
          <w:sz w:val="24"/>
          <w:szCs w:val="24"/>
          <w:shd w:val="clear" w:color="auto" w:fill="FFFFFF"/>
        </w:rPr>
        <w:t>三、竞价资格</w:t>
      </w:r>
    </w:p>
    <w:p>
      <w:pPr>
        <w:keepNext w:val="0"/>
        <w:keepLines w:val="0"/>
        <w:pageBreakBefore w:val="0"/>
        <w:widowControl/>
        <w:shd w:val="clear" w:color="auto" w:fill="FFFFFF"/>
        <w:kinsoku/>
        <w:wordWrap/>
        <w:overflowPunct/>
        <w:topLinePunct w:val="0"/>
        <w:autoSpaceDE/>
        <w:autoSpaceDN/>
        <w:bidi w:val="0"/>
        <w:adjustRightInd/>
        <w:snapToGrid w:val="0"/>
        <w:spacing w:before="100" w:beforeAutospacing="1" w:after="100" w:afterAutospacing="1" w:line="440" w:lineRule="exact"/>
        <w:ind w:firstLine="480" w:firstLineChars="200"/>
        <w:jc w:val="both"/>
        <w:textAlignment w:val="auto"/>
        <w:rPr>
          <w:rFonts w:hint="eastAsia" w:ascii="宋体" w:hAnsi="宋体" w:eastAsia="宋体" w:cs="宋体"/>
          <w:color w:val="0000FF"/>
          <w:kern w:val="0"/>
          <w:sz w:val="24"/>
          <w:szCs w:val="24"/>
          <w:shd w:val="clear" w:color="auto" w:fill="FFFFFF"/>
          <w:lang w:val="en-US" w:eastAsia="zh-CN" w:bidi="ar-SA"/>
        </w:rPr>
      </w:pPr>
      <w:r>
        <w:rPr>
          <w:rFonts w:hint="eastAsia" w:ascii="宋体" w:hAnsi="宋体" w:eastAsia="宋体" w:cs="宋体"/>
          <w:color w:val="000000" w:themeColor="text1"/>
          <w:kern w:val="0"/>
          <w:sz w:val="24"/>
          <w:szCs w:val="24"/>
          <w:shd w:val="clear" w:color="auto" w:fill="FFFFFF"/>
          <w:lang w:val="en-US" w:eastAsia="zh-CN" w:bidi="ar-SA"/>
        </w:rPr>
        <w:t>1.遵守中华人民共和国法律、法规，且能够诚信经营，具有</w:t>
      </w:r>
      <w:r>
        <w:rPr>
          <w:rFonts w:hint="eastAsia" w:ascii="宋体" w:hAnsi="宋体" w:cs="宋体"/>
          <w:b/>
          <w:bCs/>
          <w:color w:val="0000FF"/>
          <w:kern w:val="0"/>
          <w:sz w:val="24"/>
          <w:szCs w:val="24"/>
          <w:u w:val="single"/>
          <w:shd w:val="clear" w:color="auto" w:fill="FFFFFF"/>
          <w:lang w:val="en-US" w:eastAsia="zh-CN" w:bidi="ar-SA"/>
        </w:rPr>
        <w:t>资产</w:t>
      </w:r>
      <w:r>
        <w:rPr>
          <w:rFonts w:hint="eastAsia" w:ascii="宋体" w:hAnsi="宋体" w:eastAsia="宋体" w:cs="宋体"/>
          <w:color w:val="000000" w:themeColor="text1"/>
          <w:kern w:val="0"/>
          <w:sz w:val="24"/>
          <w:szCs w:val="24"/>
          <w:shd w:val="clear" w:color="auto" w:fill="FFFFFF"/>
          <w:lang w:val="en-US" w:eastAsia="zh-CN" w:bidi="ar-SA"/>
        </w:rPr>
        <w:t>评估资质，独立法人资格的国内企业。同时入选连城县国有资产监督管理委员会设立的《连城县国资委中介机构备选库》</w:t>
      </w:r>
      <w:r>
        <w:rPr>
          <w:rFonts w:hint="eastAsia" w:ascii="宋体" w:hAnsi="宋体" w:eastAsia="宋体" w:cs="宋体"/>
          <w:b/>
          <w:bCs/>
          <w:color w:val="0000FF"/>
          <w:kern w:val="0"/>
          <w:sz w:val="24"/>
          <w:szCs w:val="24"/>
          <w:u w:val="single"/>
          <w:shd w:val="clear" w:color="auto" w:fill="FFFFFF"/>
          <w:lang w:val="en-US" w:eastAsia="zh-CN" w:bidi="ar-SA"/>
        </w:rPr>
        <w:t>评估类</w:t>
      </w:r>
      <w:r>
        <w:rPr>
          <w:rFonts w:hint="eastAsia" w:ascii="宋体" w:hAnsi="宋体" w:eastAsia="宋体" w:cs="宋体"/>
          <w:color w:val="000000" w:themeColor="text1"/>
          <w:kern w:val="0"/>
          <w:sz w:val="24"/>
          <w:szCs w:val="24"/>
          <w:shd w:val="clear" w:color="auto" w:fill="FFFFFF"/>
          <w:lang w:val="en-US" w:eastAsia="zh-CN" w:bidi="ar-SA"/>
        </w:rPr>
        <w:t>名单。</w:t>
      </w:r>
    </w:p>
    <w:p>
      <w:pPr>
        <w:pStyle w:val="6"/>
        <w:widowControl/>
        <w:shd w:val="clear" w:color="auto" w:fill="FFFFFF"/>
        <w:snapToGrid w:val="0"/>
        <w:spacing w:beforeAutospacing="0" w:afterAutospacing="0" w:line="440" w:lineRule="exact"/>
        <w:ind w:firstLine="480" w:firstLineChars="200"/>
        <w:jc w:val="both"/>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2.竞价资格（及限制性条件）认定由</w:t>
      </w:r>
      <w:r>
        <w:rPr>
          <w:rFonts w:hint="eastAsia" w:ascii="宋体" w:hAnsi="宋体" w:eastAsia="宋体" w:cs="宋体"/>
          <w:color w:val="000000"/>
          <w:sz w:val="24"/>
          <w:szCs w:val="24"/>
          <w:highlight w:val="none"/>
          <w:shd w:val="clear" w:color="auto" w:fill="FFFFFF"/>
        </w:rPr>
        <w:t>竞价人</w:t>
      </w:r>
      <w:r>
        <w:rPr>
          <w:rFonts w:hint="eastAsia" w:ascii="宋体" w:hAnsi="宋体" w:eastAsia="宋体" w:cs="宋体"/>
          <w:color w:val="000000"/>
          <w:sz w:val="24"/>
          <w:szCs w:val="24"/>
          <w:shd w:val="clear" w:color="auto" w:fill="FFFFFF"/>
        </w:rPr>
        <w:t>自行审查,因此产生委托人不予签订合同及其它一切后果由</w:t>
      </w:r>
      <w:r>
        <w:rPr>
          <w:rFonts w:hint="eastAsia" w:ascii="宋体" w:hAnsi="宋体" w:eastAsia="宋体" w:cs="宋体"/>
          <w:color w:val="000000"/>
          <w:sz w:val="24"/>
          <w:szCs w:val="24"/>
          <w:highlight w:val="none"/>
          <w:shd w:val="clear" w:color="auto" w:fill="FFFFFF"/>
        </w:rPr>
        <w:t>竞价人</w:t>
      </w:r>
      <w:r>
        <w:rPr>
          <w:rFonts w:hint="eastAsia" w:ascii="宋体" w:hAnsi="宋体" w:eastAsia="宋体" w:cs="宋体"/>
          <w:color w:val="000000"/>
          <w:sz w:val="24"/>
          <w:szCs w:val="24"/>
          <w:shd w:val="clear" w:color="auto" w:fill="FFFFFF"/>
        </w:rPr>
        <w:t>自行负责。</w:t>
      </w:r>
      <w:r>
        <w:rPr>
          <w:rFonts w:hint="eastAsia" w:ascii="宋体" w:hAnsi="宋体" w:eastAsia="宋体" w:cs="宋体"/>
          <w:color w:val="000000"/>
          <w:sz w:val="24"/>
          <w:szCs w:val="24"/>
          <w:highlight w:val="none"/>
          <w:shd w:val="clear" w:color="auto" w:fill="FFFFFF"/>
        </w:rPr>
        <w:t>竞价人</w:t>
      </w:r>
      <w:r>
        <w:rPr>
          <w:rFonts w:hint="eastAsia" w:ascii="宋体" w:hAnsi="宋体" w:eastAsia="宋体" w:cs="宋体"/>
          <w:color w:val="000000"/>
          <w:sz w:val="24"/>
          <w:szCs w:val="24"/>
          <w:shd w:val="clear" w:color="auto" w:fill="FFFFFF"/>
        </w:rPr>
        <w:t>提供虚假材料或资质不符合条件的，视为恶意</w:t>
      </w:r>
      <w:r>
        <w:rPr>
          <w:rFonts w:hint="eastAsia" w:ascii="宋体" w:hAnsi="宋体" w:eastAsia="宋体" w:cs="宋体"/>
          <w:color w:val="000000"/>
          <w:sz w:val="24"/>
          <w:szCs w:val="24"/>
          <w:highlight w:val="none"/>
          <w:shd w:val="clear" w:color="auto" w:fill="FFFFFF"/>
        </w:rPr>
        <w:t>竞价</w:t>
      </w:r>
      <w:r>
        <w:rPr>
          <w:rFonts w:hint="eastAsia" w:ascii="宋体" w:hAnsi="宋体" w:eastAsia="宋体" w:cs="宋体"/>
          <w:color w:val="000000"/>
          <w:sz w:val="24"/>
          <w:szCs w:val="24"/>
          <w:shd w:val="clear" w:color="auto" w:fill="FFFFFF"/>
        </w:rPr>
        <w:t>，保证金不予退回，按违约处理，委托人可</w:t>
      </w:r>
      <w:r>
        <w:rPr>
          <w:rFonts w:hint="eastAsia" w:ascii="宋体" w:hAnsi="宋体" w:eastAsia="宋体" w:cs="宋体"/>
          <w:color w:val="000000"/>
          <w:sz w:val="24"/>
          <w:szCs w:val="24"/>
          <w:highlight w:val="none"/>
          <w:shd w:val="clear" w:color="auto" w:fill="FFFFFF"/>
        </w:rPr>
        <w:t>另行选取中介服务机构</w:t>
      </w:r>
      <w:r>
        <w:rPr>
          <w:rFonts w:hint="eastAsia" w:ascii="宋体" w:hAnsi="宋体" w:eastAsia="宋体" w:cs="宋体"/>
          <w:color w:val="000000"/>
          <w:sz w:val="24"/>
          <w:szCs w:val="24"/>
          <w:shd w:val="clear" w:color="auto" w:fill="FFFFFF"/>
        </w:rPr>
        <w:t>。</w:t>
      </w:r>
    </w:p>
    <w:p>
      <w:pPr>
        <w:pStyle w:val="6"/>
        <w:widowControl/>
        <w:shd w:val="clear" w:color="auto" w:fill="FFFFFF"/>
        <w:snapToGrid w:val="0"/>
        <w:spacing w:beforeAutospacing="0" w:afterAutospacing="0" w:line="440" w:lineRule="exact"/>
        <w:ind w:left="15" w:firstLine="465"/>
        <w:jc w:val="both"/>
        <w:rPr>
          <w:rFonts w:hint="eastAsia" w:ascii="宋体" w:hAnsi="宋体" w:eastAsia="宋体" w:cs="宋体"/>
          <w:color w:val="000000"/>
          <w:sz w:val="24"/>
          <w:szCs w:val="24"/>
          <w:shd w:val="clear" w:color="auto" w:fill="FFFFFF"/>
        </w:rPr>
      </w:pPr>
      <w:r>
        <w:rPr>
          <w:rFonts w:hint="eastAsia" w:ascii="宋体" w:hAnsi="宋体" w:eastAsia="宋体" w:cs="宋体"/>
          <w:b/>
          <w:bCs/>
          <w:color w:val="000000"/>
          <w:sz w:val="24"/>
          <w:szCs w:val="24"/>
          <w:shd w:val="clear" w:color="auto" w:fill="FFFFFF"/>
        </w:rPr>
        <w:t>四、竞价保证金</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1.</w:t>
      </w:r>
      <w:r>
        <w:rPr>
          <w:rFonts w:hint="eastAsia" w:ascii="宋体" w:hAnsi="宋体" w:cs="宋体"/>
          <w:color w:val="000000"/>
          <w:kern w:val="0"/>
          <w:sz w:val="24"/>
          <w:szCs w:val="24"/>
          <w:shd w:val="clear" w:color="auto" w:fill="FFFFFF"/>
          <w:lang w:eastAsia="zh-CN"/>
        </w:rPr>
        <w:t>竞价</w:t>
      </w:r>
      <w:r>
        <w:rPr>
          <w:rFonts w:hint="eastAsia" w:ascii="宋体" w:hAnsi="宋体" w:eastAsia="宋体" w:cs="宋体"/>
          <w:color w:val="000000"/>
          <w:kern w:val="0"/>
          <w:sz w:val="24"/>
          <w:szCs w:val="24"/>
          <w:shd w:val="clear" w:color="auto" w:fill="FFFFFF"/>
        </w:rPr>
        <w:t>保证金</w:t>
      </w:r>
      <w:r>
        <w:rPr>
          <w:rFonts w:hint="eastAsia" w:ascii="宋体" w:hAnsi="宋体" w:cs="宋体"/>
          <w:color w:val="0000FF"/>
          <w:kern w:val="0"/>
          <w:sz w:val="24"/>
          <w:szCs w:val="24"/>
          <w:u w:val="single"/>
          <w:shd w:val="clear" w:color="auto" w:fill="FFFFFF"/>
          <w:lang w:val="en-US" w:eastAsia="zh-CN"/>
        </w:rPr>
        <w:t>2000</w:t>
      </w:r>
      <w:r>
        <w:rPr>
          <w:rFonts w:hint="eastAsia" w:ascii="宋体" w:hAnsi="宋体" w:eastAsia="宋体" w:cs="宋体"/>
          <w:color w:val="000000"/>
          <w:kern w:val="0"/>
          <w:sz w:val="24"/>
          <w:szCs w:val="24"/>
          <w:shd w:val="clear" w:color="auto" w:fill="FFFFFF"/>
        </w:rPr>
        <w:t>元，必须于</w:t>
      </w:r>
      <w:r>
        <w:rPr>
          <w:rFonts w:hint="eastAsia" w:ascii="宋体" w:hAnsi="宋体" w:eastAsia="宋体" w:cs="宋体"/>
          <w:color w:val="0000FF"/>
          <w:kern w:val="0"/>
          <w:sz w:val="24"/>
          <w:szCs w:val="24"/>
          <w:shd w:val="clear" w:color="auto" w:fill="FFFFFF"/>
          <w:lang w:val="en-US" w:eastAsia="zh-CN"/>
        </w:rPr>
        <w:t>2022</w:t>
      </w:r>
      <w:r>
        <w:rPr>
          <w:rFonts w:hint="eastAsia" w:ascii="宋体" w:hAnsi="宋体" w:eastAsia="宋体" w:cs="宋体"/>
          <w:color w:val="0000FF"/>
          <w:kern w:val="0"/>
          <w:sz w:val="24"/>
          <w:szCs w:val="24"/>
          <w:shd w:val="clear" w:color="auto" w:fill="FFFFFF"/>
        </w:rPr>
        <w:t>年</w:t>
      </w:r>
      <w:r>
        <w:rPr>
          <w:rFonts w:hint="eastAsia" w:ascii="宋体" w:hAnsi="宋体" w:cs="宋体"/>
          <w:color w:val="0000FF"/>
          <w:kern w:val="0"/>
          <w:sz w:val="24"/>
          <w:szCs w:val="24"/>
          <w:shd w:val="clear" w:color="auto" w:fill="FFFFFF"/>
          <w:lang w:val="en-US" w:eastAsia="zh-CN"/>
        </w:rPr>
        <w:t>10</w:t>
      </w:r>
      <w:r>
        <w:rPr>
          <w:rFonts w:hint="eastAsia" w:ascii="宋体" w:hAnsi="宋体" w:eastAsia="宋体" w:cs="宋体"/>
          <w:color w:val="0000FF"/>
          <w:kern w:val="0"/>
          <w:sz w:val="24"/>
          <w:szCs w:val="24"/>
          <w:shd w:val="clear" w:color="auto" w:fill="FFFFFF"/>
        </w:rPr>
        <w:t>月</w:t>
      </w:r>
      <w:r>
        <w:rPr>
          <w:rFonts w:hint="eastAsia" w:ascii="宋体" w:hAnsi="宋体" w:cs="宋体"/>
          <w:color w:val="0000FF"/>
          <w:kern w:val="0"/>
          <w:sz w:val="24"/>
          <w:szCs w:val="24"/>
          <w:u w:val="single"/>
          <w:shd w:val="clear" w:color="auto" w:fill="FFFFFF"/>
          <w:lang w:val="en-US" w:eastAsia="zh-CN"/>
        </w:rPr>
        <w:t>25</w:t>
      </w:r>
      <w:r>
        <w:rPr>
          <w:rFonts w:hint="eastAsia" w:ascii="宋体" w:hAnsi="宋体" w:eastAsia="宋体" w:cs="宋体"/>
          <w:color w:val="0000FF"/>
          <w:kern w:val="0"/>
          <w:sz w:val="24"/>
          <w:szCs w:val="24"/>
          <w:shd w:val="clear" w:color="auto" w:fill="FFFFFF"/>
        </w:rPr>
        <w:t>日17时</w:t>
      </w:r>
      <w:r>
        <w:rPr>
          <w:rFonts w:hint="eastAsia" w:ascii="宋体" w:hAnsi="宋体" w:eastAsia="宋体" w:cs="宋体"/>
          <w:color w:val="000000"/>
          <w:kern w:val="0"/>
          <w:sz w:val="24"/>
          <w:szCs w:val="24"/>
          <w:shd w:val="clear" w:color="auto" w:fill="FFFFFF"/>
        </w:rPr>
        <w:t>前汇到本公司指定账户（户名：连城县国有资产产权交易服务有限公司，开户行：农业银行连城县支行，账号：1377 0101 0400 18263）。报名参加的竞价人与缴交竞价保证金的名称要一致。竞价保证金缴至以上账户时，交款单中“款项来源”或“用途”一栏内须填写“****人的竞价保证金”。</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2.竞价成交后，成交人必须在成交之日起</w:t>
      </w:r>
      <w:r>
        <w:rPr>
          <w:rFonts w:hint="eastAsia" w:ascii="宋体" w:hAnsi="宋体" w:cs="宋体"/>
          <w:color w:val="0000FF"/>
          <w:kern w:val="0"/>
          <w:sz w:val="24"/>
          <w:szCs w:val="24"/>
          <w:shd w:val="clear" w:color="auto" w:fill="FFFFFF"/>
          <w:lang w:val="en-US" w:eastAsia="zh-CN"/>
        </w:rPr>
        <w:t>1</w:t>
      </w:r>
      <w:r>
        <w:rPr>
          <w:rFonts w:hint="eastAsia" w:ascii="宋体" w:hAnsi="宋体" w:eastAsia="宋体" w:cs="宋体"/>
          <w:color w:val="0000FF"/>
          <w:kern w:val="0"/>
          <w:sz w:val="24"/>
          <w:szCs w:val="24"/>
          <w:shd w:val="clear" w:color="auto" w:fill="FFFFFF"/>
        </w:rPr>
        <w:t>个工作日内</w:t>
      </w:r>
      <w:r>
        <w:rPr>
          <w:rFonts w:hint="eastAsia" w:ascii="宋体" w:hAnsi="宋体" w:eastAsia="宋体" w:cs="宋体"/>
          <w:color w:val="000000"/>
          <w:kern w:val="0"/>
          <w:sz w:val="24"/>
          <w:szCs w:val="24"/>
          <w:shd w:val="clear" w:color="auto" w:fill="FFFFFF"/>
        </w:rPr>
        <w:t>与本公司签订《竞价结果通知书》，并</w:t>
      </w:r>
      <w:r>
        <w:rPr>
          <w:rFonts w:hint="eastAsia" w:ascii="宋体" w:hAnsi="宋体" w:eastAsia="宋体" w:cs="宋体"/>
          <w:color w:val="0000FF"/>
          <w:kern w:val="0"/>
          <w:sz w:val="24"/>
          <w:szCs w:val="24"/>
          <w:shd w:val="clear" w:color="auto" w:fill="FFFFFF"/>
        </w:rPr>
        <w:t>在签订《竞价结果通知书》</w:t>
      </w:r>
      <w:r>
        <w:rPr>
          <w:rFonts w:hint="eastAsia" w:ascii="宋体" w:hAnsi="宋体" w:cs="宋体"/>
          <w:color w:val="0000FF"/>
          <w:kern w:val="0"/>
          <w:sz w:val="24"/>
          <w:szCs w:val="24"/>
          <w:shd w:val="clear" w:color="auto" w:fill="FFFFFF"/>
          <w:lang w:val="en-US" w:eastAsia="zh-CN"/>
        </w:rPr>
        <w:t>1</w:t>
      </w:r>
      <w:r>
        <w:rPr>
          <w:rFonts w:hint="eastAsia" w:ascii="宋体" w:hAnsi="宋体" w:eastAsia="宋体" w:cs="宋体"/>
          <w:color w:val="0000FF"/>
          <w:kern w:val="0"/>
          <w:sz w:val="24"/>
          <w:szCs w:val="24"/>
          <w:shd w:val="clear" w:color="auto" w:fill="FFFFFF"/>
        </w:rPr>
        <w:t>个工作日内</w:t>
      </w:r>
      <w:r>
        <w:rPr>
          <w:rFonts w:hint="eastAsia" w:ascii="宋体" w:hAnsi="宋体" w:eastAsia="宋体" w:cs="宋体"/>
          <w:color w:val="000000"/>
          <w:kern w:val="0"/>
          <w:sz w:val="24"/>
          <w:szCs w:val="24"/>
          <w:shd w:val="clear" w:color="auto" w:fill="FFFFFF"/>
        </w:rPr>
        <w:t>向</w:t>
      </w:r>
      <w:r>
        <w:rPr>
          <w:rFonts w:hint="eastAsia" w:ascii="宋体" w:hAnsi="宋体" w:eastAsia="宋体" w:cs="宋体"/>
          <w:color w:val="000000"/>
          <w:kern w:val="0"/>
          <w:sz w:val="24"/>
          <w:szCs w:val="24"/>
          <w:shd w:val="clear" w:color="auto" w:fill="FFFFFF"/>
          <w:lang w:val="en-US"/>
        </w:rPr>
        <w:t>委托人</w:t>
      </w:r>
      <w:r>
        <w:rPr>
          <w:rFonts w:hint="eastAsia" w:ascii="宋体" w:hAnsi="宋体" w:eastAsia="宋体" w:cs="宋体"/>
          <w:color w:val="000000"/>
          <w:kern w:val="0"/>
          <w:sz w:val="24"/>
          <w:szCs w:val="24"/>
          <w:shd w:val="clear" w:color="auto" w:fill="FFFFFF"/>
        </w:rPr>
        <w:t>提供</w:t>
      </w:r>
      <w:r>
        <w:rPr>
          <w:rFonts w:hint="eastAsia" w:ascii="宋体" w:hAnsi="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委托</w:t>
      </w:r>
      <w:r>
        <w:rPr>
          <w:rFonts w:hint="eastAsia" w:ascii="宋体" w:hAnsi="宋体" w:cs="宋体"/>
          <w:color w:val="000000"/>
          <w:kern w:val="0"/>
          <w:sz w:val="24"/>
          <w:szCs w:val="24"/>
          <w:shd w:val="clear" w:color="auto" w:fill="FFFFFF"/>
          <w:lang w:val="en-US" w:eastAsia="zh-CN"/>
        </w:rPr>
        <w:t>评估</w:t>
      </w:r>
      <w:r>
        <w:rPr>
          <w:rFonts w:hint="eastAsia" w:ascii="宋体" w:hAnsi="宋体" w:eastAsia="宋体" w:cs="宋体"/>
          <w:color w:val="000000"/>
          <w:kern w:val="0"/>
          <w:sz w:val="24"/>
          <w:szCs w:val="24"/>
          <w:shd w:val="clear" w:color="auto" w:fill="FFFFFF"/>
        </w:rPr>
        <w:t>合同</w:t>
      </w:r>
      <w:r>
        <w:rPr>
          <w:rFonts w:hint="eastAsia" w:ascii="宋体" w:hAnsi="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，由</w:t>
      </w:r>
      <w:r>
        <w:rPr>
          <w:rFonts w:hint="eastAsia" w:ascii="宋体" w:hAnsi="宋体" w:eastAsia="宋体" w:cs="宋体"/>
          <w:color w:val="000000"/>
          <w:kern w:val="0"/>
          <w:sz w:val="24"/>
          <w:szCs w:val="24"/>
          <w:shd w:val="clear" w:color="auto" w:fill="FFFFFF"/>
          <w:lang w:val="en-US"/>
        </w:rPr>
        <w:t>委托人</w:t>
      </w:r>
      <w:r>
        <w:rPr>
          <w:rFonts w:hint="eastAsia" w:ascii="宋体" w:hAnsi="宋体" w:eastAsia="宋体" w:cs="宋体"/>
          <w:color w:val="000000"/>
          <w:kern w:val="0"/>
          <w:sz w:val="24"/>
          <w:szCs w:val="24"/>
          <w:shd w:val="clear" w:color="auto" w:fill="FFFFFF"/>
        </w:rPr>
        <w:t>经过相应审批程序后签订。</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3.成交人的竞价保证金在成交人与委托人签订委托合同后</w:t>
      </w:r>
      <w:r>
        <w:rPr>
          <w:rFonts w:hint="eastAsia" w:ascii="宋体" w:hAnsi="宋体" w:eastAsia="宋体" w:cs="宋体"/>
          <w:color w:val="000000"/>
          <w:kern w:val="0"/>
          <w:sz w:val="24"/>
          <w:szCs w:val="24"/>
          <w:u w:val="single"/>
          <w:shd w:val="clear" w:color="auto" w:fill="FFFFFF"/>
          <w:lang w:eastAsia="zh-CN"/>
        </w:rPr>
        <w:t>1</w:t>
      </w:r>
      <w:r>
        <w:rPr>
          <w:rFonts w:hint="eastAsia" w:ascii="宋体" w:hAnsi="宋体" w:eastAsia="宋体" w:cs="宋体"/>
          <w:color w:val="000000"/>
          <w:kern w:val="0"/>
          <w:sz w:val="24"/>
          <w:szCs w:val="24"/>
          <w:u w:val="single"/>
          <w:shd w:val="clear" w:color="auto" w:fill="FFFFFF"/>
          <w:lang w:val="en-US" w:eastAsia="zh-CN"/>
        </w:rPr>
        <w:t>0</w:t>
      </w:r>
      <w:r>
        <w:rPr>
          <w:rFonts w:hint="eastAsia" w:ascii="宋体" w:hAnsi="宋体" w:eastAsia="宋体" w:cs="宋体"/>
          <w:color w:val="000000"/>
          <w:kern w:val="0"/>
          <w:sz w:val="24"/>
          <w:szCs w:val="24"/>
          <w:shd w:val="clear" w:color="auto" w:fill="FFFFFF"/>
        </w:rPr>
        <w:t>个工作日内一次性无息退回。</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4.未成交人的保证金，在竞价结束后</w:t>
      </w:r>
      <w:r>
        <w:rPr>
          <w:rFonts w:hint="eastAsia" w:ascii="宋体" w:hAnsi="宋体" w:eastAsia="宋体" w:cs="宋体"/>
          <w:color w:val="000000"/>
          <w:kern w:val="0"/>
          <w:sz w:val="24"/>
          <w:szCs w:val="24"/>
          <w:u w:val="single"/>
          <w:shd w:val="clear" w:color="auto" w:fill="FFFFFF"/>
          <w:lang w:eastAsia="zh-CN"/>
        </w:rPr>
        <w:t>1</w:t>
      </w:r>
      <w:r>
        <w:rPr>
          <w:rFonts w:hint="eastAsia" w:ascii="宋体" w:hAnsi="宋体" w:eastAsia="宋体" w:cs="宋体"/>
          <w:color w:val="000000"/>
          <w:kern w:val="0"/>
          <w:sz w:val="24"/>
          <w:szCs w:val="24"/>
          <w:u w:val="single"/>
          <w:shd w:val="clear" w:color="auto" w:fill="FFFFFF"/>
          <w:lang w:val="en-US" w:eastAsia="zh-CN"/>
        </w:rPr>
        <w:t>0</w:t>
      </w:r>
      <w:r>
        <w:rPr>
          <w:rFonts w:hint="eastAsia" w:ascii="宋体" w:hAnsi="宋体" w:eastAsia="宋体" w:cs="宋体"/>
          <w:color w:val="000000"/>
          <w:kern w:val="0"/>
          <w:sz w:val="24"/>
          <w:szCs w:val="24"/>
          <w:shd w:val="clear" w:color="auto" w:fill="FFFFFF"/>
        </w:rPr>
        <w:t>个工作日内（遇法定节假日顺延）无息退回。</w:t>
      </w:r>
    </w:p>
    <w:p>
      <w:pPr>
        <w:widowControl/>
        <w:shd w:val="clear" w:color="auto" w:fill="FFFFFF"/>
        <w:snapToGrid w:val="0"/>
        <w:spacing w:before="225" w:line="440" w:lineRule="exact"/>
        <w:ind w:left="14" w:firstLine="482"/>
        <w:rPr>
          <w:rFonts w:hint="eastAsia" w:ascii="宋体" w:hAnsi="宋体" w:eastAsia="宋体" w:cs="宋体"/>
          <w:color w:val="000000"/>
          <w:sz w:val="24"/>
          <w:szCs w:val="24"/>
        </w:rPr>
      </w:pPr>
      <w:r>
        <w:rPr>
          <w:rFonts w:hint="eastAsia" w:ascii="宋体" w:hAnsi="宋体" w:eastAsia="宋体" w:cs="宋体"/>
          <w:b/>
          <w:bCs/>
          <w:color w:val="000000"/>
          <w:kern w:val="0"/>
          <w:sz w:val="24"/>
          <w:szCs w:val="24"/>
          <w:shd w:val="clear" w:color="auto" w:fill="FFFFFF"/>
        </w:rPr>
        <w:t>五、竞价手续</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1.有意参加竞价人应提供如下有效证照复印件：</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（1）营业执照副本、法定代表人身份证复印件；</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（2）资质证书或备案证明复印件；</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（3）签订完整的承诺书。</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如法定代表人无法亲自到现场办理竞价手续的，应提供《授权委托书》原件和委托代理人身份证复印件。</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以上材料复印件须注明与原件相符并加盖公章。</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2.报名方式</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参加本次竞价会的竞价人需在规定的时间前交纳竞价保证金并登录权益云交易平台办理竞价登记手续，同时将报名资料递交给我司，材料可以采用现场或邮件方式递交。</w:t>
      </w:r>
    </w:p>
    <w:p>
      <w:pPr>
        <w:widowControl/>
        <w:shd w:val="clear" w:color="auto" w:fill="FFFFFF"/>
        <w:snapToGrid w:val="0"/>
        <w:spacing w:before="225" w:line="440" w:lineRule="exact"/>
        <w:ind w:left="14" w:firstLine="480"/>
        <w:rPr>
          <w:rFonts w:hint="eastAsia" w:ascii="宋体" w:hAnsi="宋体" w:eastAsia="宋体" w:cs="宋体"/>
          <w:color w:val="000000"/>
          <w:sz w:val="24"/>
          <w:szCs w:val="24"/>
        </w:rPr>
      </w:pPr>
      <w:r>
        <w:rPr>
          <w:rFonts w:hint="eastAsia" w:ascii="宋体" w:hAnsi="宋体" w:eastAsia="宋体" w:cs="宋体"/>
          <w:color w:val="000000"/>
          <w:kern w:val="0"/>
          <w:sz w:val="24"/>
          <w:szCs w:val="24"/>
          <w:shd w:val="clear" w:color="auto" w:fill="FFFFFF"/>
        </w:rPr>
        <w:t>3.竞价人应自行至权益云网站学习竞价流程，注册竞价系统账号并在报名截止时间之前登录竞价系统申请竞价（支持微信公众号“权益云交易平台”），根据流程上传相关资料，若有疑问应及时咨询本公司业务部门；由于竞价人竞价材料未按时提交、或者竞价申请未按时提交而导致本公司无法进行资格审核、或者竞价账号未注册或者未激活的，均视为竞价人放弃本次竞价报名。</w:t>
      </w:r>
    </w:p>
    <w:p>
      <w:pPr>
        <w:widowControl/>
        <w:shd w:val="clear" w:color="auto" w:fill="FFFFFF"/>
        <w:snapToGrid w:val="0"/>
        <w:spacing w:before="225" w:line="440" w:lineRule="exact"/>
        <w:ind w:left="14" w:firstLine="480"/>
        <w:rPr>
          <w:rFonts w:hint="eastAsia" w:ascii="宋体" w:hAnsi="宋体" w:eastAsia="宋体" w:cs="宋体"/>
          <w:color w:val="000000"/>
          <w:sz w:val="24"/>
          <w:szCs w:val="24"/>
        </w:rPr>
      </w:pPr>
      <w:r>
        <w:rPr>
          <w:rFonts w:hint="eastAsia" w:ascii="宋体" w:hAnsi="宋体" w:eastAsia="宋体" w:cs="宋体"/>
          <w:color w:val="000000"/>
          <w:kern w:val="0"/>
          <w:sz w:val="24"/>
          <w:szCs w:val="24"/>
          <w:shd w:val="clear" w:color="auto" w:fill="FFFFFF"/>
        </w:rPr>
        <w:t>4.如委托人撤回竞价标的，竞价人已经交保证金的，保证金即予无息退还，竞价人对此不得有异议，且本公司不对竞价人承担任何损失，此是竞价人参与本次竞价的先决条件。竞价人一旦报名成功，即视为同意本公司的前述免责内容。</w:t>
      </w:r>
    </w:p>
    <w:p>
      <w:pPr>
        <w:widowControl/>
        <w:shd w:val="clear" w:color="auto" w:fill="FFFFFF"/>
        <w:snapToGrid w:val="0"/>
        <w:spacing w:before="225" w:line="440" w:lineRule="exact"/>
        <w:ind w:left="14" w:firstLine="482"/>
        <w:rPr>
          <w:rFonts w:hint="eastAsia" w:ascii="宋体" w:hAnsi="宋体" w:eastAsia="宋体" w:cs="宋体"/>
          <w:color w:val="000000"/>
          <w:sz w:val="24"/>
          <w:szCs w:val="24"/>
        </w:rPr>
      </w:pPr>
      <w:r>
        <w:rPr>
          <w:rFonts w:hint="eastAsia" w:ascii="宋体" w:hAnsi="宋体" w:eastAsia="宋体" w:cs="宋体"/>
          <w:b/>
          <w:bCs/>
          <w:color w:val="000000"/>
          <w:kern w:val="0"/>
          <w:sz w:val="24"/>
          <w:szCs w:val="24"/>
          <w:shd w:val="clear" w:color="auto" w:fill="FFFFFF"/>
        </w:rPr>
        <w:t>六、竞价程序</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1.意向竞价人应至权益云网站或微信公众号“权益云交易平台”注册用户名，并于报名截止时间前至本公司办理报名竞价手续，登录到权益云报价大厅申请参与本场竞价。</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cs="宋体"/>
          <w:color w:val="0000FF"/>
          <w:kern w:val="0"/>
          <w:sz w:val="24"/>
          <w:szCs w:val="24"/>
          <w:highlight w:val="none"/>
          <w:u w:val="none"/>
          <w:lang w:val="en-US" w:eastAsia="zh-CN" w:bidi="ar"/>
        </w:rPr>
      </w:pPr>
      <w:r>
        <w:rPr>
          <w:rFonts w:hint="eastAsia" w:ascii="宋体" w:hAnsi="宋体" w:eastAsia="宋体" w:cs="宋体"/>
          <w:color w:val="000000"/>
          <w:kern w:val="0"/>
          <w:sz w:val="24"/>
          <w:szCs w:val="24"/>
          <w:shd w:val="clear" w:color="auto" w:fill="FFFFFF"/>
        </w:rPr>
        <w:t>2.采用网络反向一次性报价、价低者得的交易方式，以“价格优先，时间优先”（即同等价格时，以报价时间优先）确定本次竞价标的的成交人。</w:t>
      </w:r>
      <w:r>
        <w:rPr>
          <w:rFonts w:hint="eastAsia" w:ascii="宋体" w:hAnsi="宋体" w:cs="宋体"/>
          <w:color w:val="0000FF"/>
          <w:kern w:val="0"/>
          <w:sz w:val="24"/>
          <w:szCs w:val="24"/>
          <w:highlight w:val="none"/>
          <w:u w:val="none"/>
          <w:lang w:val="en-US" w:eastAsia="zh-CN" w:bidi="ar"/>
        </w:rPr>
        <w:t>若有两个或两个以上的报价相等时，以先报价的竞价人为成交人；若有两个或两个以上的报价相等，报价时间相同时，则以报名时先缴纳竞价保证的竞价人为成交人；若有两个或两个以上的报价相等，报价时间相同，且缴纳竞价保证金时间相同时，则以报名时先提交报名材料的竞价人为成交人。</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3.报价只要不高于最高限价即为有效报价。</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4.特别提示：标的经公开征集到的合格竞价人,应以不高于最高限价进行报价，同时成交人应签署《竞价结果通知书》等相关文件，否则视同为违约。</w:t>
      </w:r>
    </w:p>
    <w:p>
      <w:pPr>
        <w:widowControl/>
        <w:shd w:val="clear" w:color="auto" w:fill="FFFFFF"/>
        <w:snapToGrid w:val="0"/>
        <w:spacing w:before="225" w:line="440" w:lineRule="exact"/>
        <w:ind w:left="14" w:firstLine="480"/>
        <w:rPr>
          <w:rFonts w:hint="eastAsia" w:ascii="宋体" w:hAnsi="宋体" w:eastAsia="宋体" w:cs="宋体"/>
          <w:color w:val="000000"/>
          <w:sz w:val="24"/>
          <w:szCs w:val="24"/>
        </w:rPr>
      </w:pPr>
      <w:r>
        <w:rPr>
          <w:rFonts w:hint="eastAsia" w:ascii="宋体" w:hAnsi="宋体" w:eastAsia="宋体" w:cs="宋体"/>
          <w:color w:val="000000"/>
          <w:kern w:val="0"/>
          <w:sz w:val="24"/>
          <w:szCs w:val="24"/>
          <w:shd w:val="clear" w:color="auto" w:fill="FFFFFF"/>
        </w:rPr>
        <w:t>5.本公司有权就竞价时间做出调整，如有调整将在本公司网站进行公告。</w:t>
      </w:r>
    </w:p>
    <w:p>
      <w:pPr>
        <w:pStyle w:val="6"/>
        <w:widowControl/>
        <w:shd w:val="clear" w:color="auto" w:fill="FFFFFF"/>
        <w:snapToGrid w:val="0"/>
        <w:spacing w:before="225" w:beforeAutospacing="0" w:after="0" w:afterAutospacing="0" w:line="440" w:lineRule="exact"/>
        <w:ind w:left="28" w:firstLine="482"/>
        <w:jc w:val="both"/>
        <w:rPr>
          <w:rFonts w:hint="eastAsia" w:ascii="宋体" w:hAnsi="宋体" w:eastAsia="宋体" w:cs="宋体"/>
          <w:color w:val="000000"/>
          <w:sz w:val="24"/>
          <w:szCs w:val="24"/>
        </w:rPr>
      </w:pPr>
      <w:r>
        <w:rPr>
          <w:rFonts w:hint="eastAsia" w:ascii="宋体" w:hAnsi="宋体" w:eastAsia="宋体" w:cs="宋体"/>
          <w:b/>
          <w:bCs/>
          <w:color w:val="000000"/>
          <w:sz w:val="24"/>
          <w:szCs w:val="24"/>
          <w:shd w:val="clear" w:color="auto" w:fill="FFFFFF"/>
        </w:rPr>
        <w:t>七、交易服务费</w:t>
      </w:r>
    </w:p>
    <w:p>
      <w:pPr>
        <w:widowControl/>
        <w:shd w:val="clear" w:color="auto" w:fill="FFFFFF"/>
        <w:snapToGrid w:val="0"/>
        <w:spacing w:before="225" w:line="44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竞价成交后，成交人应按以下标准向本公司支付交易服务费，交易服务费直接由本公司从成交人缴纳的竞价保证金中扣收，不足的，成交人必须在成交之日起2个工作日内补齐。交易服务费未按期付清的，视成交人根本违约，竞价保证金不予退回。</w:t>
      </w:r>
    </w:p>
    <w:p>
      <w:pPr>
        <w:widowControl/>
        <w:shd w:val="clear" w:color="auto" w:fill="FFFFFF"/>
        <w:snapToGrid w:val="0"/>
        <w:spacing w:before="225" w:line="44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成交人以成交价参照原龙发改价管[2018]27号文规定的标准向本公司支付交易服务费，成交价在2000元（含2000元）以下免收服务费，上述交易服务费分档累进计算，并开具交易服务费发票。</w:t>
      </w:r>
    </w:p>
    <w:p>
      <w:pPr>
        <w:widowControl/>
        <w:shd w:val="clear" w:color="auto" w:fill="FFFFFF"/>
        <w:snapToGrid w:val="0"/>
        <w:spacing w:before="225" w:line="44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交易服务费收费表：</w:t>
      </w:r>
    </w:p>
    <w:tbl>
      <w:tblPr>
        <w:tblStyle w:val="7"/>
        <w:tblW w:w="0" w:type="auto"/>
        <w:jc w:val="center"/>
        <w:shd w:val="clear" w:color="auto" w:fill="FFFFFF"/>
        <w:tblLayout w:type="autofit"/>
        <w:tblCellMar>
          <w:top w:w="0" w:type="dxa"/>
          <w:left w:w="0" w:type="dxa"/>
          <w:bottom w:w="0" w:type="dxa"/>
          <w:right w:w="0" w:type="dxa"/>
        </w:tblCellMar>
      </w:tblPr>
      <w:tblGrid>
        <w:gridCol w:w="1134"/>
        <w:gridCol w:w="4664"/>
        <w:gridCol w:w="3015"/>
      </w:tblGrid>
      <w:tr>
        <w:tblPrEx>
          <w:shd w:val="clear" w:color="auto" w:fill="FFFFFF"/>
          <w:tblCellMar>
            <w:top w:w="0" w:type="dxa"/>
            <w:left w:w="0" w:type="dxa"/>
            <w:bottom w:w="0" w:type="dxa"/>
            <w:right w:w="0" w:type="dxa"/>
          </w:tblCellMar>
        </w:tblPrEx>
        <w:trPr>
          <w:trHeight w:val="538" w:hRule="atLeast"/>
          <w:jc w:val="center"/>
        </w:trPr>
        <w:tc>
          <w:tcPr>
            <w:tcW w:w="5798" w:type="dxa"/>
            <w:gridSpan w:val="2"/>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tcPr>
          <w:p>
            <w:pPr>
              <w:widowControl/>
              <w:shd w:val="clear" w:color="auto" w:fill="FFFFFF"/>
              <w:snapToGrid w:val="0"/>
              <w:spacing w:before="225" w:line="44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交易服务费总额</w:t>
            </w:r>
          </w:p>
        </w:tc>
        <w:tc>
          <w:tcPr>
            <w:tcW w:w="3015" w:type="dxa"/>
            <w:tcBorders>
              <w:top w:val="single" w:color="000000" w:sz="8" w:space="0"/>
              <w:left w:val="nil"/>
              <w:bottom w:val="single" w:color="000000" w:sz="8" w:space="0"/>
              <w:right w:val="single" w:color="000000" w:sz="8" w:space="0"/>
            </w:tcBorders>
            <w:shd w:val="clear" w:color="auto" w:fill="FFFFFF"/>
            <w:tcMar>
              <w:left w:w="105" w:type="dxa"/>
              <w:right w:w="105" w:type="dxa"/>
            </w:tcMar>
          </w:tcPr>
          <w:p>
            <w:pPr>
              <w:widowControl/>
              <w:shd w:val="clear" w:color="auto" w:fill="FFFFFF"/>
              <w:snapToGrid w:val="0"/>
              <w:spacing w:before="225" w:line="44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分档费率</w:t>
            </w:r>
          </w:p>
        </w:tc>
      </w:tr>
      <w:tr>
        <w:tblPrEx>
          <w:shd w:val="clear" w:color="auto" w:fill="FFFFFF"/>
          <w:tblCellMar>
            <w:top w:w="0" w:type="dxa"/>
            <w:left w:w="0" w:type="dxa"/>
            <w:bottom w:w="0" w:type="dxa"/>
            <w:right w:w="0" w:type="dxa"/>
          </w:tblCellMar>
        </w:tblPrEx>
        <w:trPr>
          <w:trHeight w:val="711" w:hRule="atLeast"/>
          <w:jc w:val="center"/>
        </w:trPr>
        <w:tc>
          <w:tcPr>
            <w:tcW w:w="1134" w:type="dxa"/>
            <w:tcBorders>
              <w:top w:val="nil"/>
              <w:left w:val="single" w:color="000000" w:sz="8" w:space="0"/>
              <w:bottom w:val="single" w:color="000000" w:sz="8" w:space="0"/>
              <w:right w:val="single" w:color="000000" w:sz="8" w:space="0"/>
            </w:tcBorders>
            <w:shd w:val="clear" w:color="auto" w:fill="FFFFFF"/>
            <w:tcMar>
              <w:left w:w="105" w:type="dxa"/>
              <w:right w:w="105" w:type="dxa"/>
            </w:tcMar>
          </w:tcPr>
          <w:p>
            <w:pPr>
              <w:widowControl/>
              <w:shd w:val="clear" w:color="auto" w:fill="FFFFFF"/>
              <w:snapToGrid w:val="0"/>
              <w:spacing w:before="225" w:line="44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1</w:t>
            </w:r>
          </w:p>
        </w:tc>
        <w:tc>
          <w:tcPr>
            <w:tcW w:w="4664" w:type="dxa"/>
            <w:tcBorders>
              <w:top w:val="nil"/>
              <w:left w:val="nil"/>
              <w:bottom w:val="single" w:color="000000" w:sz="8" w:space="0"/>
              <w:right w:val="single" w:color="000000" w:sz="8" w:space="0"/>
            </w:tcBorders>
            <w:shd w:val="clear" w:color="auto" w:fill="FFFFFF"/>
            <w:tcMar>
              <w:left w:w="105" w:type="dxa"/>
              <w:right w:w="105" w:type="dxa"/>
            </w:tcMar>
          </w:tcPr>
          <w:p>
            <w:pPr>
              <w:widowControl/>
              <w:shd w:val="clear" w:color="auto" w:fill="FFFFFF"/>
              <w:snapToGrid w:val="0"/>
              <w:spacing w:before="225" w:line="44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100万元以下（含100万元）</w:t>
            </w:r>
          </w:p>
        </w:tc>
        <w:tc>
          <w:tcPr>
            <w:tcW w:w="3015" w:type="dxa"/>
            <w:tcBorders>
              <w:top w:val="nil"/>
              <w:left w:val="nil"/>
              <w:bottom w:val="single" w:color="000000" w:sz="8" w:space="0"/>
              <w:right w:val="single" w:color="000000" w:sz="8" w:space="0"/>
            </w:tcBorders>
            <w:shd w:val="clear" w:color="auto" w:fill="FFFFFF"/>
            <w:tcMar>
              <w:left w:w="105" w:type="dxa"/>
              <w:right w:w="105" w:type="dxa"/>
            </w:tcMar>
          </w:tcPr>
          <w:p>
            <w:pPr>
              <w:widowControl/>
              <w:shd w:val="clear" w:color="auto" w:fill="FFFFFF"/>
              <w:snapToGrid w:val="0"/>
              <w:spacing w:before="225" w:line="44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2.5%</w:t>
            </w:r>
          </w:p>
        </w:tc>
      </w:tr>
      <w:tr>
        <w:tblPrEx>
          <w:shd w:val="clear" w:color="auto" w:fill="FFFFFF"/>
          <w:tblCellMar>
            <w:top w:w="0" w:type="dxa"/>
            <w:left w:w="0" w:type="dxa"/>
            <w:bottom w:w="0" w:type="dxa"/>
            <w:right w:w="0" w:type="dxa"/>
          </w:tblCellMar>
        </w:tblPrEx>
        <w:trPr>
          <w:jc w:val="center"/>
        </w:trPr>
        <w:tc>
          <w:tcPr>
            <w:tcW w:w="1134" w:type="dxa"/>
            <w:tcBorders>
              <w:top w:val="nil"/>
              <w:left w:val="single" w:color="000000" w:sz="8" w:space="0"/>
              <w:bottom w:val="single" w:color="000000" w:sz="8" w:space="0"/>
              <w:right w:val="single" w:color="000000" w:sz="8" w:space="0"/>
            </w:tcBorders>
            <w:shd w:val="clear" w:color="auto" w:fill="FFFFFF"/>
            <w:tcMar>
              <w:left w:w="105" w:type="dxa"/>
              <w:right w:w="105" w:type="dxa"/>
            </w:tcMar>
          </w:tcPr>
          <w:p>
            <w:pPr>
              <w:widowControl/>
              <w:shd w:val="clear" w:color="auto" w:fill="FFFFFF"/>
              <w:snapToGrid w:val="0"/>
              <w:spacing w:before="225" w:line="44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2</w:t>
            </w:r>
          </w:p>
        </w:tc>
        <w:tc>
          <w:tcPr>
            <w:tcW w:w="4664" w:type="dxa"/>
            <w:tcBorders>
              <w:top w:val="nil"/>
              <w:left w:val="nil"/>
              <w:bottom w:val="single" w:color="000000" w:sz="8" w:space="0"/>
              <w:right w:val="single" w:color="000000" w:sz="8" w:space="0"/>
            </w:tcBorders>
            <w:shd w:val="clear" w:color="auto" w:fill="FFFFFF"/>
            <w:tcMar>
              <w:left w:w="105" w:type="dxa"/>
              <w:right w:w="105" w:type="dxa"/>
            </w:tcMar>
          </w:tcPr>
          <w:p>
            <w:pPr>
              <w:widowControl/>
              <w:shd w:val="clear" w:color="auto" w:fill="FFFFFF"/>
              <w:snapToGrid w:val="0"/>
              <w:spacing w:before="225" w:line="44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101-200万元</w:t>
            </w:r>
          </w:p>
        </w:tc>
        <w:tc>
          <w:tcPr>
            <w:tcW w:w="3015" w:type="dxa"/>
            <w:tcBorders>
              <w:top w:val="nil"/>
              <w:left w:val="nil"/>
              <w:bottom w:val="single" w:color="000000" w:sz="8" w:space="0"/>
              <w:right w:val="single" w:color="000000" w:sz="8" w:space="0"/>
            </w:tcBorders>
            <w:shd w:val="clear" w:color="auto" w:fill="FFFFFF"/>
            <w:tcMar>
              <w:left w:w="105" w:type="dxa"/>
              <w:right w:w="105" w:type="dxa"/>
            </w:tcMar>
          </w:tcPr>
          <w:p>
            <w:pPr>
              <w:widowControl/>
              <w:shd w:val="clear" w:color="auto" w:fill="FFFFFF"/>
              <w:snapToGrid w:val="0"/>
              <w:spacing w:before="225" w:line="44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2.0%</w:t>
            </w:r>
          </w:p>
        </w:tc>
      </w:tr>
      <w:tr>
        <w:tblPrEx>
          <w:tblCellMar>
            <w:top w:w="0" w:type="dxa"/>
            <w:left w:w="0" w:type="dxa"/>
            <w:bottom w:w="0" w:type="dxa"/>
            <w:right w:w="0" w:type="dxa"/>
          </w:tblCellMar>
        </w:tblPrEx>
        <w:trPr>
          <w:jc w:val="center"/>
        </w:trPr>
        <w:tc>
          <w:tcPr>
            <w:tcW w:w="1134" w:type="dxa"/>
            <w:tcBorders>
              <w:top w:val="nil"/>
              <w:left w:val="single" w:color="000000" w:sz="8" w:space="0"/>
              <w:bottom w:val="single" w:color="000000" w:sz="8" w:space="0"/>
              <w:right w:val="single" w:color="000000" w:sz="8" w:space="0"/>
            </w:tcBorders>
            <w:shd w:val="clear" w:color="auto" w:fill="FFFFFF"/>
            <w:tcMar>
              <w:left w:w="105" w:type="dxa"/>
              <w:right w:w="105" w:type="dxa"/>
            </w:tcMar>
          </w:tcPr>
          <w:p>
            <w:pPr>
              <w:widowControl/>
              <w:shd w:val="clear" w:color="auto" w:fill="FFFFFF"/>
              <w:snapToGrid w:val="0"/>
              <w:spacing w:before="225" w:line="44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3</w:t>
            </w:r>
          </w:p>
        </w:tc>
        <w:tc>
          <w:tcPr>
            <w:tcW w:w="4664" w:type="dxa"/>
            <w:tcBorders>
              <w:top w:val="nil"/>
              <w:left w:val="nil"/>
              <w:bottom w:val="single" w:color="000000" w:sz="8" w:space="0"/>
              <w:right w:val="single" w:color="000000" w:sz="8" w:space="0"/>
            </w:tcBorders>
            <w:shd w:val="clear" w:color="auto" w:fill="FFFFFF"/>
            <w:tcMar>
              <w:left w:w="105" w:type="dxa"/>
              <w:right w:w="105" w:type="dxa"/>
            </w:tcMar>
          </w:tcPr>
          <w:p>
            <w:pPr>
              <w:widowControl/>
              <w:shd w:val="clear" w:color="auto" w:fill="FFFFFF"/>
              <w:snapToGrid w:val="0"/>
              <w:spacing w:before="225" w:line="44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201-500万元</w:t>
            </w:r>
          </w:p>
        </w:tc>
        <w:tc>
          <w:tcPr>
            <w:tcW w:w="3015" w:type="dxa"/>
            <w:tcBorders>
              <w:top w:val="nil"/>
              <w:left w:val="nil"/>
              <w:bottom w:val="single" w:color="000000" w:sz="8" w:space="0"/>
              <w:right w:val="single" w:color="000000" w:sz="8" w:space="0"/>
            </w:tcBorders>
            <w:shd w:val="clear" w:color="auto" w:fill="FFFFFF"/>
            <w:tcMar>
              <w:left w:w="105" w:type="dxa"/>
              <w:right w:w="105" w:type="dxa"/>
            </w:tcMar>
          </w:tcPr>
          <w:p>
            <w:pPr>
              <w:widowControl/>
              <w:shd w:val="clear" w:color="auto" w:fill="FFFFFF"/>
              <w:snapToGrid w:val="0"/>
              <w:spacing w:before="225" w:line="44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1.5%</w:t>
            </w:r>
          </w:p>
        </w:tc>
      </w:tr>
    </w:tbl>
    <w:p>
      <w:pPr>
        <w:widowControl/>
        <w:shd w:val="clear" w:color="auto" w:fill="FFFFFF"/>
        <w:snapToGrid w:val="0"/>
        <w:spacing w:before="225" w:line="440" w:lineRule="exact"/>
        <w:ind w:left="11" w:firstLine="482"/>
        <w:rPr>
          <w:rFonts w:hint="eastAsia" w:ascii="宋体" w:hAnsi="宋体" w:eastAsia="宋体" w:cs="宋体"/>
          <w:b/>
          <w:bCs/>
          <w:color w:val="000000"/>
          <w:kern w:val="0"/>
          <w:sz w:val="24"/>
          <w:szCs w:val="24"/>
          <w:shd w:val="clear" w:color="auto" w:fill="FFFFFF"/>
        </w:rPr>
      </w:pPr>
      <w:r>
        <w:rPr>
          <w:rFonts w:hint="eastAsia" w:ascii="宋体" w:hAnsi="宋体" w:eastAsia="宋体" w:cs="宋体"/>
          <w:b/>
          <w:bCs/>
          <w:color w:val="000000"/>
          <w:kern w:val="0"/>
          <w:sz w:val="24"/>
          <w:szCs w:val="24"/>
          <w:shd w:val="clear" w:color="auto" w:fill="FFFFFF"/>
        </w:rPr>
        <w:t>八、付款方式</w:t>
      </w:r>
    </w:p>
    <w:p>
      <w:pPr>
        <w:widowControl/>
        <w:shd w:val="clear" w:color="auto" w:fill="FFFFFF"/>
        <w:snapToGrid w:val="0"/>
        <w:spacing w:before="225" w:line="440" w:lineRule="exact"/>
        <w:ind w:left="11"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FF"/>
          <w:kern w:val="0"/>
          <w:sz w:val="24"/>
          <w:szCs w:val="24"/>
          <w:shd w:val="clear" w:color="auto" w:fill="FFFFFF"/>
        </w:rPr>
        <w:t>成交人提供</w:t>
      </w:r>
      <w:r>
        <w:rPr>
          <w:rFonts w:hint="eastAsia" w:ascii="宋体" w:hAnsi="宋体" w:cs="宋体"/>
          <w:color w:val="0000FF"/>
          <w:kern w:val="0"/>
          <w:sz w:val="24"/>
          <w:szCs w:val="24"/>
          <w:shd w:val="clear" w:color="auto" w:fill="FFFFFF"/>
          <w:lang w:val="en-US" w:eastAsia="zh-CN"/>
        </w:rPr>
        <w:t>全部的</w:t>
      </w:r>
      <w:r>
        <w:rPr>
          <w:rFonts w:hint="eastAsia" w:ascii="宋体" w:hAnsi="宋体" w:eastAsia="宋体" w:cs="宋体"/>
          <w:color w:val="0000FF"/>
          <w:kern w:val="0"/>
          <w:sz w:val="24"/>
          <w:szCs w:val="24"/>
          <w:shd w:val="clear" w:color="auto" w:fill="FFFFFF"/>
        </w:rPr>
        <w:t>正式评估报告和正规增值税发票给</w:t>
      </w:r>
      <w:r>
        <w:rPr>
          <w:rFonts w:hint="eastAsia" w:ascii="宋体" w:hAnsi="宋体" w:cs="宋体"/>
          <w:color w:val="0000FF"/>
          <w:kern w:val="0"/>
          <w:sz w:val="24"/>
          <w:szCs w:val="24"/>
          <w:shd w:val="clear" w:color="auto" w:fill="FFFFFF"/>
          <w:lang w:val="en-US" w:eastAsia="zh-CN"/>
        </w:rPr>
        <w:t>委托方</w:t>
      </w:r>
      <w:r>
        <w:rPr>
          <w:rFonts w:hint="eastAsia" w:ascii="宋体" w:hAnsi="宋体" w:eastAsia="宋体" w:cs="宋体"/>
          <w:color w:val="0000FF"/>
          <w:kern w:val="0"/>
          <w:sz w:val="24"/>
          <w:szCs w:val="24"/>
          <w:shd w:val="clear" w:color="auto" w:fill="FFFFFF"/>
        </w:rPr>
        <w:t>，</w:t>
      </w:r>
      <w:r>
        <w:rPr>
          <w:rFonts w:hint="eastAsia" w:ascii="宋体" w:hAnsi="宋体" w:cs="宋体"/>
          <w:color w:val="0000FF"/>
          <w:kern w:val="0"/>
          <w:sz w:val="24"/>
          <w:szCs w:val="24"/>
          <w:shd w:val="clear" w:color="auto" w:fill="FFFFFF"/>
          <w:lang w:val="en-US" w:eastAsia="zh-CN"/>
        </w:rPr>
        <w:t>委托方</w:t>
      </w:r>
      <w:r>
        <w:rPr>
          <w:rFonts w:hint="eastAsia" w:ascii="宋体" w:hAnsi="宋体" w:eastAsia="宋体" w:cs="宋体"/>
          <w:color w:val="0000FF"/>
          <w:kern w:val="0"/>
          <w:sz w:val="24"/>
          <w:szCs w:val="24"/>
          <w:shd w:val="clear" w:color="auto" w:fill="FFFFFF"/>
        </w:rPr>
        <w:t>收到</w:t>
      </w:r>
      <w:r>
        <w:rPr>
          <w:rFonts w:hint="eastAsia" w:ascii="宋体" w:hAnsi="宋体" w:cs="宋体"/>
          <w:color w:val="0000FF"/>
          <w:kern w:val="0"/>
          <w:sz w:val="24"/>
          <w:szCs w:val="24"/>
          <w:shd w:val="clear" w:color="auto" w:fill="FFFFFF"/>
          <w:lang w:val="en-US" w:eastAsia="zh-CN"/>
        </w:rPr>
        <w:t>成交人提供的</w:t>
      </w:r>
      <w:r>
        <w:rPr>
          <w:rFonts w:hint="eastAsia" w:ascii="宋体" w:hAnsi="宋体" w:eastAsia="宋体" w:cs="宋体"/>
          <w:color w:val="0000FF"/>
          <w:kern w:val="0"/>
          <w:sz w:val="24"/>
          <w:szCs w:val="24"/>
          <w:shd w:val="clear" w:color="auto" w:fill="FFFFFF"/>
        </w:rPr>
        <w:t>正式评估报告和发票后</w:t>
      </w:r>
      <w:r>
        <w:rPr>
          <w:rFonts w:hint="eastAsia" w:ascii="宋体" w:hAnsi="宋体" w:cs="宋体"/>
          <w:color w:val="0000FF"/>
          <w:kern w:val="0"/>
          <w:sz w:val="24"/>
          <w:szCs w:val="24"/>
          <w:shd w:val="clear" w:color="auto" w:fill="FFFFFF"/>
          <w:lang w:val="en-US" w:eastAsia="zh-CN"/>
        </w:rPr>
        <w:t>10个工作日内</w:t>
      </w:r>
      <w:r>
        <w:rPr>
          <w:rFonts w:hint="eastAsia" w:ascii="宋体" w:hAnsi="宋体" w:eastAsia="宋体" w:cs="宋体"/>
          <w:color w:val="0000FF"/>
          <w:kern w:val="0"/>
          <w:sz w:val="24"/>
          <w:szCs w:val="24"/>
          <w:shd w:val="clear" w:color="auto" w:fill="FFFFFF"/>
        </w:rPr>
        <w:t>付清评估费。</w:t>
      </w:r>
      <w:r>
        <w:rPr>
          <w:rFonts w:hint="eastAsia" w:ascii="宋体" w:hAnsi="宋体" w:eastAsia="宋体" w:cs="宋体"/>
          <w:color w:val="000000"/>
          <w:kern w:val="0"/>
          <w:sz w:val="24"/>
          <w:szCs w:val="24"/>
          <w:shd w:val="clear" w:color="auto" w:fill="FFFFFF"/>
          <w:lang w:val="en-US" w:eastAsia="zh-CN"/>
        </w:rPr>
        <w:t xml:space="preserve"> </w:t>
      </w:r>
    </w:p>
    <w:p>
      <w:pPr>
        <w:widowControl/>
        <w:shd w:val="clear" w:color="auto" w:fill="FFFFFF"/>
        <w:snapToGrid w:val="0"/>
        <w:spacing w:before="225" w:line="440" w:lineRule="exact"/>
        <w:ind w:left="11" w:firstLine="482"/>
        <w:rPr>
          <w:rFonts w:hint="eastAsia" w:ascii="宋体" w:hAnsi="宋体" w:eastAsia="宋体" w:cs="宋体"/>
          <w:color w:val="000000"/>
          <w:sz w:val="24"/>
          <w:szCs w:val="24"/>
        </w:rPr>
      </w:pPr>
      <w:r>
        <w:rPr>
          <w:rFonts w:hint="eastAsia" w:ascii="宋体" w:hAnsi="宋体" w:eastAsia="宋体" w:cs="宋体"/>
          <w:b/>
          <w:bCs/>
          <w:color w:val="000000"/>
          <w:kern w:val="0"/>
          <w:sz w:val="24"/>
          <w:szCs w:val="24"/>
          <w:shd w:val="clear" w:color="auto" w:fill="FFFFFF"/>
        </w:rPr>
        <w:t>九、费用承担</w:t>
      </w:r>
    </w:p>
    <w:p>
      <w:pPr>
        <w:widowControl/>
        <w:shd w:val="clear" w:color="auto" w:fill="FFFFFF"/>
        <w:snapToGrid w:val="0"/>
        <w:spacing w:before="225" w:line="440" w:lineRule="exact"/>
        <w:ind w:left="11" w:firstLine="480"/>
        <w:rPr>
          <w:rFonts w:hint="eastAsia" w:ascii="宋体" w:hAnsi="宋体" w:eastAsia="宋体" w:cs="宋体"/>
          <w:color w:val="000000"/>
          <w:sz w:val="24"/>
          <w:szCs w:val="24"/>
        </w:rPr>
      </w:pPr>
      <w:r>
        <w:rPr>
          <w:rFonts w:hint="eastAsia" w:ascii="宋体" w:hAnsi="宋体" w:eastAsia="宋体" w:cs="宋体"/>
          <w:color w:val="000000"/>
          <w:kern w:val="0"/>
          <w:sz w:val="24"/>
          <w:szCs w:val="24"/>
          <w:shd w:val="clear" w:color="auto" w:fill="FFFFFF"/>
        </w:rPr>
        <w:t>竞价人自行承担参加竞价会有关的全部费用（包括但不限于差旅费、邮寄费、资料费等）。</w:t>
      </w:r>
    </w:p>
    <w:p>
      <w:pPr>
        <w:widowControl/>
        <w:shd w:val="clear" w:color="auto" w:fill="FFFFFF"/>
        <w:snapToGrid w:val="0"/>
        <w:spacing w:before="225" w:line="440" w:lineRule="exact"/>
        <w:ind w:left="11" w:firstLine="482"/>
        <w:rPr>
          <w:rFonts w:hint="eastAsia" w:ascii="宋体" w:hAnsi="宋体" w:eastAsia="宋体" w:cs="宋体"/>
          <w:color w:val="000000"/>
          <w:sz w:val="24"/>
          <w:szCs w:val="24"/>
        </w:rPr>
      </w:pPr>
      <w:r>
        <w:rPr>
          <w:rFonts w:hint="eastAsia" w:ascii="宋体" w:hAnsi="宋体" w:eastAsia="宋体" w:cs="宋体"/>
          <w:b/>
          <w:bCs/>
          <w:color w:val="000000"/>
          <w:kern w:val="0"/>
          <w:sz w:val="24"/>
          <w:szCs w:val="24"/>
          <w:shd w:val="clear" w:color="auto" w:fill="FFFFFF"/>
        </w:rPr>
        <w:t>十、违约责任</w:t>
      </w:r>
    </w:p>
    <w:p>
      <w:pPr>
        <w:widowControl/>
        <w:shd w:val="clear" w:color="auto" w:fill="FFFFFF"/>
        <w:snapToGrid w:val="0"/>
        <w:spacing w:before="225" w:line="440" w:lineRule="exact"/>
        <w:ind w:left="11" w:firstLine="480"/>
        <w:rPr>
          <w:rFonts w:hint="eastAsia" w:ascii="宋体" w:hAnsi="宋体" w:eastAsia="宋体" w:cs="宋体"/>
          <w:color w:val="000000"/>
          <w:sz w:val="24"/>
          <w:szCs w:val="24"/>
        </w:rPr>
      </w:pPr>
      <w:r>
        <w:rPr>
          <w:rFonts w:hint="eastAsia" w:ascii="宋体" w:hAnsi="宋体" w:eastAsia="宋体" w:cs="宋体"/>
          <w:color w:val="000000"/>
          <w:kern w:val="0"/>
          <w:sz w:val="24"/>
          <w:szCs w:val="24"/>
          <w:shd w:val="clear" w:color="auto" w:fill="FFFFFF"/>
        </w:rPr>
        <w:t>成交人应价后反悔的，或不即时签订</w:t>
      </w:r>
      <w:r>
        <w:rPr>
          <w:rFonts w:hint="eastAsia" w:ascii="宋体" w:hAnsi="宋体" w:eastAsia="宋体" w:cs="宋体"/>
          <w:color w:val="000000"/>
          <w:sz w:val="24"/>
          <w:szCs w:val="24"/>
        </w:rPr>
        <w:t>《</w:t>
      </w:r>
      <w:r>
        <w:rPr>
          <w:rFonts w:hint="eastAsia" w:ascii="宋体" w:hAnsi="宋体" w:eastAsia="宋体" w:cs="宋体"/>
          <w:color w:val="000000"/>
          <w:kern w:val="0"/>
          <w:sz w:val="24"/>
          <w:szCs w:val="24"/>
          <w:shd w:val="clear" w:color="auto" w:fill="FFFFFF"/>
        </w:rPr>
        <w:t>竞价结果通知书</w:t>
      </w:r>
      <w:r>
        <w:rPr>
          <w:rFonts w:hint="eastAsia" w:ascii="宋体" w:hAnsi="宋体" w:eastAsia="宋体" w:cs="宋体"/>
          <w:color w:val="000000"/>
          <w:sz w:val="24"/>
          <w:szCs w:val="24"/>
        </w:rPr>
        <w:t>》</w:t>
      </w:r>
      <w:r>
        <w:rPr>
          <w:rFonts w:hint="eastAsia" w:ascii="宋体" w:hAnsi="宋体" w:eastAsia="宋体" w:cs="宋体"/>
          <w:color w:val="000000"/>
          <w:kern w:val="0"/>
          <w:sz w:val="24"/>
          <w:szCs w:val="24"/>
          <w:shd w:val="clear" w:color="auto" w:fill="FFFFFF"/>
        </w:rPr>
        <w:t>，或逾期未缴纳交易服务费，本公司按违约处理，保证金不予退回，同时《竞价结果通知书》自动失效，并视情对竞价标的再次竞价或处理，本公司将保留向该成交人提起赔偿诉讼的权利。</w:t>
      </w:r>
    </w:p>
    <w:p>
      <w:pPr>
        <w:widowControl/>
        <w:shd w:val="clear" w:color="auto" w:fill="FFFFFF"/>
        <w:snapToGrid w:val="0"/>
        <w:spacing w:before="225" w:line="440" w:lineRule="exact"/>
        <w:ind w:left="11" w:firstLine="482"/>
        <w:rPr>
          <w:rFonts w:hint="eastAsia" w:ascii="宋体" w:hAnsi="宋体" w:eastAsia="宋体" w:cs="宋体"/>
          <w:color w:val="000000"/>
          <w:sz w:val="24"/>
          <w:szCs w:val="24"/>
        </w:rPr>
      </w:pPr>
      <w:r>
        <w:rPr>
          <w:rFonts w:hint="eastAsia" w:ascii="宋体" w:hAnsi="宋体" w:eastAsia="宋体" w:cs="宋体"/>
          <w:b/>
          <w:bCs/>
          <w:color w:val="000000"/>
          <w:kern w:val="0"/>
          <w:sz w:val="24"/>
          <w:szCs w:val="24"/>
          <w:shd w:val="clear" w:color="auto" w:fill="FFFFFF"/>
        </w:rPr>
        <w:t>十一、注意事项</w:t>
      </w:r>
    </w:p>
    <w:p>
      <w:pPr>
        <w:widowControl/>
        <w:shd w:val="clear" w:color="auto" w:fill="FFFFFF"/>
        <w:snapToGrid w:val="0"/>
        <w:spacing w:before="225" w:line="440" w:lineRule="exact"/>
        <w:ind w:left="11" w:firstLine="480"/>
        <w:rPr>
          <w:rFonts w:hint="eastAsia" w:ascii="宋体" w:hAnsi="宋体" w:eastAsia="宋体" w:cs="宋体"/>
          <w:color w:val="000000"/>
          <w:sz w:val="24"/>
          <w:szCs w:val="24"/>
        </w:rPr>
      </w:pPr>
      <w:r>
        <w:rPr>
          <w:rFonts w:hint="eastAsia" w:ascii="宋体" w:hAnsi="宋体" w:eastAsia="宋体" w:cs="宋体"/>
          <w:color w:val="000000"/>
          <w:kern w:val="0"/>
          <w:sz w:val="24"/>
          <w:szCs w:val="24"/>
          <w:shd w:val="clear" w:color="auto" w:fill="FFFFFF"/>
        </w:rPr>
        <w:t>1.因不可预见的原因导致上述竞价交易方式不能正常进行的，本公司有权中止交易或临时决定采用其它竞价方式和竞价交易规则，竞价人对此不得有异议。</w:t>
      </w:r>
    </w:p>
    <w:p>
      <w:pPr>
        <w:widowControl/>
        <w:shd w:val="clear" w:color="auto" w:fill="FFFFFF"/>
        <w:snapToGrid w:val="0"/>
        <w:spacing w:before="225" w:line="440" w:lineRule="exact"/>
        <w:ind w:left="11" w:firstLine="467"/>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2.竞价人应妥善保管好用户名及密码，用户名为竞价人参加网络竞价的唯一合法身份，所有用户登录后的报价均视为竞价人本人真实意愿的表示。如用户名丢失或被他人盗用所造成的一切后果均由竞价人负责。</w:t>
      </w:r>
    </w:p>
    <w:p>
      <w:pPr>
        <w:spacing w:line="52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3.成交后，成交人应当与委托人签订《委托</w:t>
      </w:r>
      <w:r>
        <w:rPr>
          <w:rFonts w:hint="eastAsia" w:ascii="宋体" w:hAnsi="宋体" w:cs="宋体"/>
          <w:color w:val="000000"/>
          <w:kern w:val="0"/>
          <w:sz w:val="24"/>
          <w:szCs w:val="24"/>
          <w:shd w:val="clear" w:color="auto" w:fill="FFFFFF"/>
          <w:lang w:val="en-US" w:eastAsia="zh-CN"/>
        </w:rPr>
        <w:t>评估</w:t>
      </w:r>
      <w:r>
        <w:rPr>
          <w:rFonts w:hint="eastAsia" w:ascii="宋体" w:hAnsi="宋体" w:eastAsia="宋体" w:cs="宋体"/>
          <w:color w:val="000000"/>
          <w:kern w:val="0"/>
          <w:sz w:val="24"/>
          <w:szCs w:val="24"/>
          <w:shd w:val="clear" w:color="auto" w:fill="FFFFFF"/>
        </w:rPr>
        <w:t>合同》，并严格履行，双方的权利、义务以《委托</w:t>
      </w:r>
      <w:r>
        <w:rPr>
          <w:rFonts w:hint="eastAsia" w:ascii="宋体" w:hAnsi="宋体" w:cs="宋体"/>
          <w:color w:val="000000"/>
          <w:kern w:val="0"/>
          <w:sz w:val="24"/>
          <w:szCs w:val="24"/>
          <w:shd w:val="clear" w:color="auto" w:fill="FFFFFF"/>
          <w:lang w:val="en-US" w:eastAsia="zh-CN"/>
        </w:rPr>
        <w:t>评估</w:t>
      </w:r>
      <w:r>
        <w:rPr>
          <w:rFonts w:hint="eastAsia" w:ascii="宋体" w:hAnsi="宋体" w:eastAsia="宋体" w:cs="宋体"/>
          <w:color w:val="000000"/>
          <w:kern w:val="0"/>
          <w:sz w:val="24"/>
          <w:szCs w:val="24"/>
          <w:shd w:val="clear" w:color="auto" w:fill="FFFFFF"/>
        </w:rPr>
        <w:t>合同》约定为准。</w:t>
      </w:r>
    </w:p>
    <w:p>
      <w:pPr>
        <w:spacing w:line="440" w:lineRule="exact"/>
        <w:ind w:firstLine="480" w:firstLineChars="200"/>
        <w:rPr>
          <w:rFonts w:hint="eastAsia" w:ascii="宋体" w:hAnsi="宋体" w:eastAsia="宋体" w:cs="宋体"/>
          <w:b w:val="0"/>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4.因委托人</w:t>
      </w:r>
      <w:r>
        <w:rPr>
          <w:rFonts w:hint="eastAsia" w:ascii="宋体" w:hAnsi="宋体" w:eastAsia="宋体" w:cs="宋体"/>
          <w:b w:val="0"/>
          <w:color w:val="000000"/>
          <w:kern w:val="0"/>
          <w:sz w:val="24"/>
          <w:szCs w:val="24"/>
          <w:shd w:val="clear" w:color="auto" w:fill="FFFFFF"/>
        </w:rPr>
        <w:t>、成交人的原因造成不能</w:t>
      </w:r>
      <w:r>
        <w:rPr>
          <w:rFonts w:hint="eastAsia" w:ascii="宋体" w:hAnsi="宋体" w:eastAsia="宋体" w:cs="宋体"/>
          <w:color w:val="000000"/>
          <w:kern w:val="0"/>
          <w:sz w:val="24"/>
          <w:szCs w:val="24"/>
          <w:shd w:val="clear" w:color="auto" w:fill="FFFFFF"/>
        </w:rPr>
        <w:t>签订相应的合同或</w:t>
      </w:r>
      <w:r>
        <w:rPr>
          <w:rFonts w:hint="eastAsia" w:ascii="宋体" w:hAnsi="宋体" w:eastAsia="宋体" w:cs="宋体"/>
          <w:b w:val="0"/>
          <w:color w:val="000000"/>
          <w:kern w:val="0"/>
          <w:sz w:val="24"/>
          <w:szCs w:val="24"/>
          <w:shd w:val="clear" w:color="auto" w:fill="FFFFFF"/>
        </w:rPr>
        <w:t>解除合同、合同无效的，我司不承担任何责任。</w:t>
      </w:r>
      <w:r>
        <w:rPr>
          <w:rFonts w:hint="eastAsia" w:ascii="宋体" w:hAnsi="宋体" w:eastAsia="宋体" w:cs="宋体"/>
          <w:color w:val="000000"/>
          <w:kern w:val="0"/>
          <w:sz w:val="24"/>
          <w:szCs w:val="24"/>
          <w:shd w:val="clear" w:color="auto" w:fill="FFFFFF"/>
        </w:rPr>
        <w:t>签订《竞价结果通知书》</w:t>
      </w:r>
      <w:r>
        <w:rPr>
          <w:rFonts w:hint="eastAsia" w:ascii="宋体" w:hAnsi="宋体" w:eastAsia="宋体" w:cs="宋体"/>
          <w:b w:val="0"/>
          <w:color w:val="000000"/>
          <w:kern w:val="0"/>
          <w:sz w:val="24"/>
          <w:szCs w:val="24"/>
          <w:shd w:val="clear" w:color="auto" w:fill="FFFFFF"/>
        </w:rPr>
        <w:t>视为我司对成交人的合同义务履行完毕。</w:t>
      </w:r>
    </w:p>
    <w:p>
      <w:pPr>
        <w:widowControl/>
        <w:shd w:val="clear" w:color="auto" w:fill="FFFFFF"/>
        <w:snapToGrid w:val="0"/>
        <w:spacing w:before="225" w:line="440" w:lineRule="exact"/>
        <w:ind w:left="11" w:firstLine="467"/>
        <w:rPr>
          <w:rFonts w:hint="eastAsia" w:ascii="宋体" w:hAnsi="宋体" w:eastAsia="宋体" w:cs="宋体"/>
          <w:color w:val="000000"/>
          <w:sz w:val="24"/>
          <w:szCs w:val="24"/>
        </w:rPr>
      </w:pPr>
      <w:r>
        <w:rPr>
          <w:rFonts w:hint="eastAsia" w:ascii="宋体" w:hAnsi="宋体" w:eastAsia="宋体" w:cs="宋体"/>
          <w:b/>
          <w:bCs/>
          <w:color w:val="000000"/>
          <w:kern w:val="0"/>
          <w:sz w:val="24"/>
          <w:szCs w:val="24"/>
          <w:shd w:val="clear" w:color="auto" w:fill="FFFFFF"/>
        </w:rPr>
        <w:t>十二、特别提示</w:t>
      </w:r>
    </w:p>
    <w:tbl>
      <w:tblPr>
        <w:tblStyle w:val="7"/>
        <w:tblW w:w="9071" w:type="dxa"/>
        <w:jc w:val="center"/>
        <w:shd w:val="clear" w:color="auto" w:fill="FFFFFF"/>
        <w:tblLayout w:type="autofit"/>
        <w:tblCellMar>
          <w:top w:w="0" w:type="dxa"/>
          <w:left w:w="0" w:type="dxa"/>
          <w:bottom w:w="0" w:type="dxa"/>
          <w:right w:w="0" w:type="dxa"/>
        </w:tblCellMar>
      </w:tblPr>
      <w:tblGrid>
        <w:gridCol w:w="9071"/>
      </w:tblGrid>
      <w:tr>
        <w:trPr>
          <w:jc w:val="center"/>
        </w:trPr>
        <w:tc>
          <w:tcPr>
            <w:tcW w:w="5000"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pPr>
              <w:widowControl/>
              <w:shd w:val="clear" w:color="auto" w:fill="FFFFFF"/>
              <w:snapToGrid w:val="0"/>
              <w:spacing w:before="225" w:line="440" w:lineRule="exact"/>
              <w:ind w:left="11" w:firstLine="467"/>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1.申请人必须对本项目情况及竞价流程进行充分的咨询和了解，一旦参与竞价，视为无异议，并对项目存在或可能存在的瑕疵表示认可，自行承担由此造成的风险。</w:t>
            </w:r>
          </w:p>
          <w:p>
            <w:pPr>
              <w:widowControl/>
              <w:shd w:val="clear" w:color="auto" w:fill="FFFFFF"/>
              <w:snapToGrid w:val="0"/>
              <w:spacing w:before="225" w:line="440" w:lineRule="exact"/>
              <w:ind w:left="11" w:firstLine="467"/>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2.竞价文件如有更正修改，公告将在</w:t>
            </w:r>
            <w:r>
              <w:rPr>
                <w:rFonts w:hint="eastAsia" w:ascii="宋体" w:hAnsi="宋体" w:eastAsia="宋体" w:cs="宋体"/>
                <w:b/>
                <w:bCs/>
                <w:color w:val="000000"/>
                <w:kern w:val="0"/>
                <w:sz w:val="24"/>
                <w:szCs w:val="24"/>
                <w:shd w:val="clear" w:color="auto" w:fill="FFFFFF"/>
              </w:rPr>
              <w:t>连城产权交易网（网址：http://www.lcxcqjy.com/）、龙岩市公共资源交易中心网（网址：https://ggzy.longyan.gov.cn/lyztb/）</w:t>
            </w:r>
            <w:r>
              <w:rPr>
                <w:rFonts w:hint="eastAsia" w:ascii="宋体" w:hAnsi="宋体" w:eastAsia="宋体" w:cs="宋体"/>
                <w:color w:val="000000"/>
                <w:kern w:val="0"/>
                <w:sz w:val="24"/>
                <w:szCs w:val="24"/>
                <w:shd w:val="clear" w:color="auto" w:fill="FFFFFF"/>
              </w:rPr>
              <w:t>上发布，请潜在竞价人随时密切关注上述网站并下载相关信息，本公司不再另行通知（相同内容如有多次修改，以最后一次修改为准）。潜在竞价人未查看、下载修改内容的，后果自行承担。</w:t>
            </w:r>
          </w:p>
          <w:p>
            <w:pPr>
              <w:widowControl/>
              <w:shd w:val="clear" w:color="auto" w:fill="FFFFFF"/>
              <w:snapToGrid w:val="0"/>
              <w:spacing w:before="225" w:line="440" w:lineRule="exact"/>
              <w:ind w:left="11" w:firstLine="467"/>
              <w:rPr>
                <w:rFonts w:hint="eastAsia" w:ascii="宋体" w:hAnsi="宋体" w:eastAsia="宋体" w:cs="宋体"/>
                <w:color w:val="000000"/>
                <w:sz w:val="24"/>
                <w:szCs w:val="24"/>
              </w:rPr>
            </w:pPr>
            <w:r>
              <w:rPr>
                <w:rFonts w:hint="eastAsia" w:ascii="宋体" w:hAnsi="宋体" w:eastAsia="宋体" w:cs="宋体"/>
                <w:color w:val="000000"/>
                <w:kern w:val="0"/>
                <w:sz w:val="24"/>
                <w:szCs w:val="24"/>
                <w:shd w:val="clear" w:color="auto" w:fill="FFFFFF"/>
              </w:rPr>
              <w:t>3.有需要通知事项时，本公司以竞价人报名时载明的联系电话、联系地址（未另外注明的以身份证为准）作为联系依据，通过邮件或语音、短信的方式通知竞价人，即使竞价人不签收或未收到通知，均视为竞价人已收到通知，由此造成的后果由竞价人自行负责。竞价人成为成交人参照此条款执行。</w:t>
            </w:r>
          </w:p>
        </w:tc>
      </w:tr>
    </w:tbl>
    <w:p>
      <w:pPr>
        <w:widowControl/>
        <w:shd w:val="clear" w:color="auto" w:fill="FFFFFF"/>
        <w:snapToGrid w:val="0"/>
        <w:spacing w:before="225" w:line="440" w:lineRule="exact"/>
        <w:rPr>
          <w:rFonts w:hint="eastAsia" w:ascii="宋体" w:hAnsi="宋体" w:eastAsia="宋体" w:cs="宋体"/>
          <w:color w:val="000000"/>
          <w:sz w:val="24"/>
          <w:szCs w:val="24"/>
        </w:rPr>
      </w:pPr>
      <w:r>
        <w:rPr>
          <w:rFonts w:hint="eastAsia" w:ascii="宋体" w:hAnsi="宋体" w:eastAsia="宋体" w:cs="宋体"/>
          <w:color w:val="000000"/>
          <w:sz w:val="24"/>
          <w:szCs w:val="24"/>
        </w:rPr>
        <w:drawing>
          <wp:anchor distT="0" distB="0" distL="114300" distR="114300" simplePos="0" relativeHeight="251660288" behindDoc="0" locked="0" layoutInCell="1" allowOverlap="1">
            <wp:simplePos x="0" y="0"/>
            <wp:positionH relativeFrom="column">
              <wp:posOffset>431165</wp:posOffset>
            </wp:positionH>
            <wp:positionV relativeFrom="paragraph">
              <wp:posOffset>288925</wp:posOffset>
            </wp:positionV>
            <wp:extent cx="1008380" cy="1210310"/>
            <wp:effectExtent l="0" t="0" r="1270" b="889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cstate="print"/>
                    <a:stretch>
                      <a:fillRect/>
                    </a:stretch>
                  </pic:blipFill>
                  <pic:spPr>
                    <a:xfrm>
                      <a:off x="0" y="0"/>
                      <a:ext cx="1008380" cy="1210310"/>
                    </a:xfrm>
                    <a:prstGeom prst="rect">
                      <a:avLst/>
                    </a:prstGeom>
                    <a:noFill/>
                    <a:ln>
                      <a:noFill/>
                    </a:ln>
                  </pic:spPr>
                </pic:pic>
              </a:graphicData>
            </a:graphic>
          </wp:anchor>
        </w:drawing>
      </w:r>
      <w:r>
        <w:rPr>
          <w:rFonts w:hint="eastAsia" w:ascii="宋体" w:hAnsi="宋体" w:eastAsia="宋体" w:cs="宋体"/>
          <w:color w:val="000000"/>
          <w:kern w:val="0"/>
          <w:sz w:val="24"/>
          <w:szCs w:val="24"/>
          <w:shd w:val="clear" w:color="auto" w:fill="FFFFFF"/>
        </w:rPr>
        <w:t> </w:t>
      </w:r>
    </w:p>
    <w:p>
      <w:pPr>
        <w:widowControl/>
        <w:shd w:val="clear" w:color="auto" w:fill="FFFFFF"/>
        <w:snapToGrid w:val="0"/>
        <w:spacing w:before="225" w:line="440" w:lineRule="exact"/>
        <w:ind w:left="11" w:firstLine="465"/>
        <w:rPr>
          <w:rFonts w:hint="eastAsia" w:ascii="宋体" w:hAnsi="宋体" w:eastAsia="宋体" w:cs="宋体"/>
          <w:color w:val="000000"/>
          <w:sz w:val="24"/>
          <w:szCs w:val="24"/>
        </w:rPr>
      </w:pPr>
      <w:r>
        <w:rPr>
          <w:rFonts w:hint="eastAsia" w:ascii="宋体" w:hAnsi="宋体" w:eastAsia="宋体" w:cs="宋体"/>
          <w:color w:val="000000"/>
          <w:kern w:val="0"/>
          <w:sz w:val="24"/>
          <w:szCs w:val="24"/>
          <w:shd w:val="clear" w:color="auto" w:fill="FFFFFF"/>
        </w:rPr>
        <w:t> </w:t>
      </w:r>
    </w:p>
    <w:p>
      <w:pPr>
        <w:snapToGrid w:val="0"/>
        <w:spacing w:line="440" w:lineRule="exact"/>
        <w:ind w:firstLine="420"/>
        <w:rPr>
          <w:rFonts w:hint="eastAsia" w:ascii="宋体" w:hAnsi="宋体" w:eastAsia="宋体" w:cs="宋体"/>
          <w:color w:val="000000"/>
          <w:sz w:val="24"/>
          <w:szCs w:val="24"/>
        </w:rPr>
      </w:pPr>
      <w:r>
        <w:rPr>
          <w:rFonts w:hint="eastAsia" w:ascii="宋体" w:hAnsi="宋体" w:eastAsia="宋体" w:cs="宋体"/>
          <w:color w:val="000000"/>
          <w:kern w:val="0"/>
          <w:sz w:val="24"/>
          <w:szCs w:val="24"/>
          <w:shd w:val="clear" w:color="auto" w:fill="FFFFFF"/>
        </w:rPr>
        <w:t>              </w:t>
      </w:r>
      <w:r>
        <w:rPr>
          <w:rFonts w:hint="eastAsia" w:ascii="宋体" w:hAnsi="宋体" w:eastAsia="宋体" w:cs="宋体"/>
          <w:b/>
          <w:bCs/>
          <w:color w:val="000000"/>
          <w:sz w:val="24"/>
          <w:szCs w:val="24"/>
        </w:rPr>
        <w:t>连城县国有资产产权交易服务有限公司</w:t>
      </w:r>
    </w:p>
    <w:p>
      <w:pPr>
        <w:widowControl/>
        <w:shd w:val="clear" w:color="auto" w:fill="FFFFFF"/>
        <w:snapToGrid w:val="0"/>
        <w:spacing w:before="225" w:line="440" w:lineRule="exact"/>
        <w:ind w:left="11" w:firstLine="465"/>
        <w:jc w:val="center"/>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 xml:space="preserve">                    </w:t>
      </w:r>
      <w:r>
        <w:rPr>
          <w:rFonts w:hint="eastAsia" w:ascii="宋体" w:hAnsi="宋体" w:eastAsia="宋体" w:cs="宋体"/>
          <w:color w:val="0000FF"/>
          <w:kern w:val="0"/>
          <w:sz w:val="24"/>
          <w:szCs w:val="24"/>
          <w:shd w:val="clear" w:color="auto" w:fill="FFFFFF"/>
        </w:rPr>
        <w:t xml:space="preserve">        </w:t>
      </w:r>
      <w:r>
        <w:rPr>
          <w:rFonts w:hint="eastAsia" w:ascii="宋体" w:hAnsi="宋体" w:eastAsia="宋体" w:cs="宋体"/>
          <w:color w:val="0000FF"/>
          <w:kern w:val="0"/>
          <w:sz w:val="24"/>
          <w:szCs w:val="24"/>
          <w:shd w:val="clear" w:color="auto" w:fill="FFFFFF"/>
          <w:lang w:val="en-US" w:eastAsia="zh-CN"/>
        </w:rPr>
        <w:t>2022</w:t>
      </w:r>
      <w:r>
        <w:rPr>
          <w:rFonts w:hint="eastAsia" w:ascii="宋体" w:hAnsi="宋体" w:eastAsia="宋体" w:cs="宋体"/>
          <w:color w:val="0000FF"/>
          <w:kern w:val="0"/>
          <w:sz w:val="24"/>
          <w:szCs w:val="24"/>
          <w:shd w:val="clear" w:color="auto" w:fill="FFFFFF"/>
        </w:rPr>
        <w:t>年</w:t>
      </w:r>
      <w:r>
        <w:rPr>
          <w:rFonts w:hint="eastAsia" w:ascii="宋体" w:hAnsi="宋体" w:cs="宋体"/>
          <w:color w:val="0000FF"/>
          <w:kern w:val="0"/>
          <w:sz w:val="24"/>
          <w:szCs w:val="24"/>
          <w:shd w:val="clear" w:color="auto" w:fill="FFFFFF"/>
          <w:lang w:val="en-US" w:eastAsia="zh-CN"/>
        </w:rPr>
        <w:t>10</w:t>
      </w:r>
      <w:r>
        <w:rPr>
          <w:rFonts w:hint="eastAsia" w:ascii="宋体" w:hAnsi="宋体" w:eastAsia="宋体" w:cs="宋体"/>
          <w:color w:val="0000FF"/>
          <w:kern w:val="0"/>
          <w:sz w:val="24"/>
          <w:szCs w:val="24"/>
          <w:shd w:val="clear" w:color="auto" w:fill="FFFFFF"/>
        </w:rPr>
        <w:t>月</w:t>
      </w:r>
      <w:r>
        <w:rPr>
          <w:rFonts w:hint="eastAsia" w:ascii="宋体" w:hAnsi="宋体" w:cs="宋体"/>
          <w:color w:val="0000FF"/>
          <w:kern w:val="0"/>
          <w:sz w:val="24"/>
          <w:szCs w:val="24"/>
          <w:shd w:val="clear" w:color="auto" w:fill="FFFFFF"/>
          <w:lang w:val="en-US" w:eastAsia="zh-CN"/>
        </w:rPr>
        <w:t>20</w:t>
      </w:r>
      <w:r>
        <w:rPr>
          <w:rFonts w:hint="eastAsia" w:ascii="宋体" w:hAnsi="宋体" w:eastAsia="宋体" w:cs="宋体"/>
          <w:color w:val="0000FF"/>
          <w:kern w:val="0"/>
          <w:sz w:val="24"/>
          <w:szCs w:val="24"/>
          <w:shd w:val="clear" w:color="auto" w:fill="FFFFFF"/>
        </w:rPr>
        <w:t>日</w:t>
      </w:r>
    </w:p>
    <w:p>
      <w:pPr>
        <w:pStyle w:val="2"/>
        <w:spacing w:line="440" w:lineRule="exact"/>
        <w:rPr>
          <w:rFonts w:hint="eastAsia" w:ascii="宋体" w:hAnsi="宋体" w:eastAsia="宋体" w:cs="宋体"/>
          <w:color w:val="000000"/>
          <w:kern w:val="0"/>
          <w:sz w:val="24"/>
          <w:szCs w:val="24"/>
          <w:shd w:val="clear" w:color="auto" w:fill="FFFFFF"/>
        </w:rPr>
      </w:pPr>
    </w:p>
    <w:p>
      <w:pPr>
        <w:pStyle w:val="2"/>
        <w:spacing w:line="440" w:lineRule="exact"/>
        <w:rPr>
          <w:rFonts w:hint="eastAsia" w:ascii="宋体" w:hAnsi="宋体" w:eastAsia="宋体" w:cs="宋体"/>
          <w:color w:val="000000"/>
          <w:kern w:val="0"/>
          <w:sz w:val="24"/>
          <w:szCs w:val="24"/>
          <w:shd w:val="clear" w:color="auto" w:fill="FFFFFF"/>
        </w:rPr>
      </w:pPr>
    </w:p>
    <w:p>
      <w:pPr>
        <w:spacing w:line="440" w:lineRule="exact"/>
        <w:ind w:firstLine="883"/>
        <w:jc w:val="center"/>
        <w:rPr>
          <w:rFonts w:hint="eastAsia" w:ascii="宋体" w:hAnsi="宋体" w:eastAsia="宋体" w:cs="宋体"/>
          <w:b/>
          <w:color w:val="000000"/>
          <w:sz w:val="24"/>
          <w:szCs w:val="24"/>
        </w:rPr>
      </w:pPr>
      <w:bookmarkStart w:id="0" w:name="OLE_LINK2"/>
      <w:r>
        <w:rPr>
          <w:rFonts w:hint="eastAsia" w:ascii="宋体" w:hAnsi="宋体" w:eastAsia="宋体" w:cs="宋体"/>
          <w:b/>
          <w:color w:val="000000"/>
          <w:sz w:val="24"/>
          <w:szCs w:val="24"/>
        </w:rPr>
        <w:t>承 诺 书</w:t>
      </w:r>
    </w:p>
    <w:p>
      <w:pPr>
        <w:spacing w:line="440" w:lineRule="exact"/>
        <w:ind w:firstLine="5040" w:firstLineChars="2100"/>
        <w:jc w:val="left"/>
        <w:rPr>
          <w:rFonts w:hint="eastAsia" w:ascii="宋体" w:hAnsi="宋体" w:eastAsia="宋体" w:cs="宋体"/>
          <w:color w:val="000000"/>
          <w:sz w:val="24"/>
          <w:szCs w:val="24"/>
        </w:rPr>
      </w:pPr>
    </w:p>
    <w:p>
      <w:pPr>
        <w:spacing w:beforeLines="50" w:line="440" w:lineRule="exact"/>
        <w:rPr>
          <w:rFonts w:hint="eastAsia" w:ascii="宋体" w:hAnsi="宋体" w:eastAsia="宋体" w:cs="宋体"/>
          <w:color w:val="000000"/>
          <w:sz w:val="24"/>
          <w:szCs w:val="24"/>
          <w:u w:val="single"/>
        </w:rPr>
      </w:pPr>
      <w:r>
        <w:rPr>
          <w:rFonts w:hint="eastAsia" w:ascii="宋体" w:hAnsi="宋体" w:eastAsia="宋体" w:cs="宋体"/>
          <w:b/>
          <w:bCs/>
          <w:color w:val="000000"/>
          <w:sz w:val="24"/>
          <w:szCs w:val="24"/>
        </w:rPr>
        <w:t>连城县国有资产产权交易服务有限公司</w:t>
      </w:r>
      <w:r>
        <w:rPr>
          <w:rFonts w:hint="eastAsia" w:ascii="宋体" w:hAnsi="宋体" w:eastAsia="宋体" w:cs="宋体"/>
          <w:color w:val="000000"/>
          <w:sz w:val="24"/>
          <w:szCs w:val="24"/>
        </w:rPr>
        <w:t>：</w:t>
      </w:r>
    </w:p>
    <w:p>
      <w:pPr>
        <w:spacing w:line="440" w:lineRule="exac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本人（公司）承诺提供的报名材料真实、合法、有效，自愿报名参加贵司于</w:t>
      </w:r>
      <w:r>
        <w:rPr>
          <w:rFonts w:hint="eastAsia" w:ascii="宋体" w:hAnsi="宋体" w:eastAsia="宋体" w:cs="宋体"/>
          <w:color w:val="0000FF"/>
          <w:sz w:val="24"/>
          <w:szCs w:val="24"/>
          <w:u w:val="single"/>
        </w:rPr>
        <w:t xml:space="preserve"> </w:t>
      </w:r>
      <w:r>
        <w:rPr>
          <w:rFonts w:hint="eastAsia" w:ascii="宋体" w:hAnsi="宋体" w:eastAsia="宋体" w:cs="宋体"/>
          <w:color w:val="0000FF"/>
          <w:sz w:val="24"/>
          <w:szCs w:val="24"/>
          <w:u w:val="single"/>
          <w:lang w:val="en-US" w:eastAsia="zh-CN"/>
        </w:rPr>
        <w:t xml:space="preserve">2022 </w:t>
      </w:r>
      <w:r>
        <w:rPr>
          <w:rFonts w:hint="eastAsia" w:ascii="宋体" w:hAnsi="宋体" w:eastAsia="宋体" w:cs="宋体"/>
          <w:color w:val="0000FF"/>
          <w:sz w:val="24"/>
          <w:szCs w:val="24"/>
        </w:rPr>
        <w:t>年</w:t>
      </w:r>
      <w:r>
        <w:rPr>
          <w:rFonts w:hint="eastAsia" w:ascii="宋体" w:hAnsi="宋体" w:cs="宋体"/>
          <w:color w:val="0000FF"/>
          <w:sz w:val="24"/>
          <w:szCs w:val="24"/>
          <w:lang w:val="en-US" w:eastAsia="zh-CN"/>
        </w:rPr>
        <w:t xml:space="preserve"> 10</w:t>
      </w:r>
      <w:r>
        <w:rPr>
          <w:rFonts w:hint="eastAsia" w:ascii="宋体" w:hAnsi="宋体" w:eastAsia="宋体" w:cs="宋体"/>
          <w:color w:val="0000FF"/>
          <w:sz w:val="24"/>
          <w:szCs w:val="24"/>
        </w:rPr>
        <w:t>月</w:t>
      </w:r>
      <w:r>
        <w:rPr>
          <w:rFonts w:hint="eastAsia" w:ascii="宋体" w:hAnsi="宋体" w:cs="宋体"/>
          <w:color w:val="0000FF"/>
          <w:sz w:val="24"/>
          <w:szCs w:val="24"/>
          <w:lang w:val="en-US" w:eastAsia="zh-CN"/>
        </w:rPr>
        <w:t>26</w:t>
      </w:r>
      <w:r>
        <w:rPr>
          <w:rFonts w:hint="eastAsia" w:ascii="宋体" w:hAnsi="宋体" w:eastAsia="宋体" w:cs="宋体"/>
          <w:color w:val="0000FF"/>
          <w:sz w:val="24"/>
          <w:szCs w:val="24"/>
        </w:rPr>
        <w:t>日</w:t>
      </w:r>
      <w:r>
        <w:rPr>
          <w:rFonts w:hint="eastAsia" w:ascii="宋体" w:hAnsi="宋体" w:eastAsia="宋体" w:cs="宋体"/>
          <w:color w:val="000000"/>
          <w:sz w:val="24"/>
          <w:szCs w:val="24"/>
        </w:rPr>
        <w:t>上午举行的 “权益云</w:t>
      </w:r>
      <w:r>
        <w:rPr>
          <w:rFonts w:hint="eastAsia" w:ascii="宋体" w:hAnsi="宋体" w:cs="宋体"/>
          <w:b/>
          <w:bCs/>
          <w:color w:val="0000FF"/>
          <w:sz w:val="24"/>
          <w:szCs w:val="24"/>
          <w:lang w:val="en-US" w:eastAsia="zh-CN"/>
        </w:rPr>
        <w:t>反</w:t>
      </w:r>
      <w:r>
        <w:rPr>
          <w:rFonts w:hint="eastAsia" w:ascii="宋体" w:hAnsi="宋体" w:eastAsia="宋体" w:cs="宋体"/>
          <w:color w:val="000000"/>
          <w:sz w:val="24"/>
          <w:szCs w:val="24"/>
        </w:rPr>
        <w:t>向一次报价”</w:t>
      </w:r>
      <w:r>
        <w:rPr>
          <w:rFonts w:hint="eastAsia" w:ascii="宋体" w:hAnsi="宋体" w:cs="宋体"/>
          <w:color w:val="000000"/>
          <w:sz w:val="24"/>
          <w:szCs w:val="24"/>
          <w:u w:val="single"/>
          <w:lang w:val="en-US" w:eastAsia="zh-CN"/>
        </w:rPr>
        <w:t>评估</w:t>
      </w:r>
      <w:r>
        <w:rPr>
          <w:rFonts w:hint="eastAsia" w:ascii="宋体" w:hAnsi="宋体" w:eastAsia="宋体" w:cs="宋体"/>
          <w:color w:val="000000"/>
          <w:sz w:val="24"/>
          <w:szCs w:val="24"/>
        </w:rPr>
        <w:t>服务竞价。收悉项目编号为</w:t>
      </w:r>
      <w:r>
        <w:rPr>
          <w:rFonts w:hint="eastAsia" w:ascii="宋体" w:hAnsi="宋体" w:eastAsia="宋体" w:cs="宋体"/>
          <w:color w:val="0000FF"/>
          <w:sz w:val="24"/>
          <w:szCs w:val="24"/>
          <w:u w:val="single"/>
        </w:rPr>
        <w:t>GK</w:t>
      </w:r>
      <w:r>
        <w:rPr>
          <w:rFonts w:hint="eastAsia" w:ascii="宋体" w:hAnsi="宋体" w:cs="宋体"/>
          <w:color w:val="0000FF"/>
          <w:sz w:val="24"/>
          <w:szCs w:val="24"/>
          <w:u w:val="single"/>
          <w:lang w:val="en-US" w:eastAsia="zh-CN"/>
        </w:rPr>
        <w:t>PG</w:t>
      </w:r>
      <w:r>
        <w:rPr>
          <w:rFonts w:hint="eastAsia" w:ascii="宋体" w:hAnsi="宋体" w:eastAsia="宋体" w:cs="宋体"/>
          <w:color w:val="0000FF"/>
          <w:sz w:val="24"/>
          <w:szCs w:val="24"/>
          <w:u w:val="single"/>
          <w:lang w:val="en-US" w:eastAsia="zh-CN"/>
        </w:rPr>
        <w:t>2022</w:t>
      </w:r>
      <w:r>
        <w:rPr>
          <w:rFonts w:hint="eastAsia" w:ascii="宋体" w:hAnsi="宋体" w:cs="宋体"/>
          <w:color w:val="0000FF"/>
          <w:sz w:val="24"/>
          <w:szCs w:val="24"/>
          <w:u w:val="single"/>
          <w:lang w:val="en-US" w:eastAsia="zh-CN"/>
        </w:rPr>
        <w:t>1026</w:t>
      </w:r>
      <w:r>
        <w:rPr>
          <w:rFonts w:hint="eastAsia" w:ascii="宋体" w:hAnsi="宋体" w:eastAsia="宋体" w:cs="宋体"/>
          <w:color w:val="000000"/>
          <w:sz w:val="24"/>
          <w:szCs w:val="24"/>
        </w:rPr>
        <w:t>的《网络竞价须知》，并保证遵守和全面履行该次《网络竞价须知》中的各项条款。若有违反该次《网络竞价须知》条款的行为，申请人愿被取消竞价资格，已交保证金作为违约金归贵公司所有（不予退回），若造成贵公司损失的，由本承诺人承担赔偿责任。</w:t>
      </w:r>
    </w:p>
    <w:p>
      <w:pPr>
        <w:spacing w:line="440" w:lineRule="exact"/>
        <w:ind w:firstLine="3840" w:firstLineChars="1600"/>
        <w:rPr>
          <w:rFonts w:hint="eastAsia" w:ascii="宋体" w:hAnsi="宋体" w:eastAsia="宋体" w:cs="宋体"/>
          <w:color w:val="000000"/>
          <w:sz w:val="24"/>
          <w:szCs w:val="24"/>
        </w:rPr>
      </w:pPr>
      <w:r>
        <w:rPr>
          <w:rFonts w:hint="eastAsia" w:ascii="宋体" w:hAnsi="宋体" w:eastAsia="宋体" w:cs="宋体"/>
          <w:color w:val="000000"/>
          <w:sz w:val="24"/>
          <w:szCs w:val="24"/>
        </w:rPr>
        <w:t>承诺人（申请人签章）：</w:t>
      </w:r>
    </w:p>
    <w:p>
      <w:pPr>
        <w:spacing w:line="440" w:lineRule="exact"/>
        <w:rPr>
          <w:rFonts w:hint="eastAsia" w:ascii="宋体" w:hAnsi="宋体" w:eastAsia="宋体" w:cs="宋体"/>
          <w:color w:val="000000"/>
          <w:sz w:val="24"/>
          <w:szCs w:val="24"/>
        </w:rPr>
      </w:pPr>
    </w:p>
    <w:p>
      <w:pPr>
        <w:spacing w:line="440" w:lineRule="exact"/>
        <w:ind w:firstLine="3840" w:firstLineChars="16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法定代表人或授权代理人（签章）： </w:t>
      </w:r>
    </w:p>
    <w:p>
      <w:pPr>
        <w:spacing w:line="440" w:lineRule="exact"/>
        <w:rPr>
          <w:rFonts w:hint="eastAsia" w:ascii="宋体" w:hAnsi="宋体" w:eastAsia="宋体" w:cs="宋体"/>
          <w:color w:val="000000"/>
          <w:sz w:val="24"/>
          <w:szCs w:val="24"/>
        </w:rPr>
      </w:pPr>
    </w:p>
    <w:p>
      <w:pPr>
        <w:spacing w:line="440" w:lineRule="exact"/>
        <w:ind w:firstLine="3840" w:firstLineChars="1600"/>
        <w:rPr>
          <w:rFonts w:hint="eastAsia" w:ascii="宋体" w:hAnsi="宋体" w:eastAsia="宋体" w:cs="宋体"/>
          <w:color w:val="000000"/>
          <w:sz w:val="24"/>
          <w:szCs w:val="24"/>
        </w:rPr>
      </w:pPr>
      <w:r>
        <w:rPr>
          <w:rFonts w:hint="eastAsia" w:ascii="宋体" w:hAnsi="宋体" w:eastAsia="宋体" w:cs="宋体"/>
          <w:color w:val="000000"/>
          <w:sz w:val="24"/>
          <w:szCs w:val="24"/>
        </w:rPr>
        <w:t>联系电话：</w:t>
      </w:r>
    </w:p>
    <w:p>
      <w:pPr>
        <w:spacing w:line="440" w:lineRule="exact"/>
        <w:rPr>
          <w:rFonts w:hint="eastAsia" w:ascii="宋体" w:hAnsi="宋体" w:eastAsia="宋体" w:cs="宋体"/>
          <w:color w:val="000000"/>
          <w:sz w:val="24"/>
          <w:szCs w:val="24"/>
        </w:rPr>
      </w:pPr>
    </w:p>
    <w:p>
      <w:pPr>
        <w:spacing w:line="440" w:lineRule="exact"/>
        <w:ind w:firstLine="0" w:firstLineChars="0"/>
        <w:jc w:val="right"/>
        <w:rPr>
          <w:rFonts w:hint="eastAsia" w:ascii="宋体" w:hAnsi="宋体" w:eastAsia="宋体" w:cs="宋体"/>
          <w:sz w:val="24"/>
          <w:szCs w:val="24"/>
        </w:rPr>
      </w:pPr>
      <w:r>
        <w:rPr>
          <w:rFonts w:hint="eastAsia" w:ascii="宋体" w:hAnsi="宋体" w:eastAsia="宋体" w:cs="宋体"/>
          <w:color w:val="000000"/>
          <w:sz w:val="24"/>
          <w:szCs w:val="24"/>
        </w:rPr>
        <w:t>年    月    日</w:t>
      </w:r>
      <w:bookmarkEnd w:id="0"/>
    </w:p>
    <w:sectPr>
      <w:footerReference r:id="rId3" w:type="default"/>
      <w:pgSz w:w="11906" w:h="16838"/>
      <w:pgMar w:top="1440" w:right="1133" w:bottom="1440" w:left="141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path/>
          <v:fill on="f" focussize="0,0"/>
          <v:stroke on="f" weight="0.5pt" joinstyle="miter"/>
          <v:imagedata o:title=""/>
          <o:lock v:ext="edit"/>
          <v:textbox inset="0mm,0mm,0mm,0mm" style="mso-fit-shape-to-text:t;">
            <w:txbxContent>
              <w:p>
                <w:pPr>
                  <w:pStyle w:val="4"/>
                </w:pPr>
                <w:r>
                  <w:fldChar w:fldCharType="begin"/>
                </w:r>
                <w:r>
                  <w:instrText xml:space="preserve"> PAGE  \* MERGEFORMAT </w:instrText>
                </w:r>
                <w:r>
                  <w:fldChar w:fldCharType="separate"/>
                </w:r>
                <w:r>
                  <w:t>- 3 -</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5C59C9"/>
    <w:multiLevelType w:val="singleLevel"/>
    <w:tmpl w:val="575C59C9"/>
    <w:lvl w:ilvl="0" w:tentative="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VhMTc4Y2M1NTQ3YWQ2ZjI5ZWRmNTZjODgzM2M1M2EifQ=="/>
  </w:docVars>
  <w:rsids>
    <w:rsidRoot w:val="3062140F"/>
    <w:rsid w:val="00061656"/>
    <w:rsid w:val="00072DF4"/>
    <w:rsid w:val="000F1B6A"/>
    <w:rsid w:val="001457F7"/>
    <w:rsid w:val="00160F00"/>
    <w:rsid w:val="003802F9"/>
    <w:rsid w:val="003F1AE5"/>
    <w:rsid w:val="004B7539"/>
    <w:rsid w:val="0077378A"/>
    <w:rsid w:val="007F0860"/>
    <w:rsid w:val="00814231"/>
    <w:rsid w:val="00826B3E"/>
    <w:rsid w:val="008A6B20"/>
    <w:rsid w:val="00911739"/>
    <w:rsid w:val="00954405"/>
    <w:rsid w:val="00A73D90"/>
    <w:rsid w:val="00A90421"/>
    <w:rsid w:val="00B37402"/>
    <w:rsid w:val="00C353E3"/>
    <w:rsid w:val="00CD4699"/>
    <w:rsid w:val="00D17796"/>
    <w:rsid w:val="00DA2F8E"/>
    <w:rsid w:val="00F84E41"/>
    <w:rsid w:val="039E3DB5"/>
    <w:rsid w:val="0804406F"/>
    <w:rsid w:val="081C4C9C"/>
    <w:rsid w:val="0CDA1129"/>
    <w:rsid w:val="0D0C3638"/>
    <w:rsid w:val="0D5E27AA"/>
    <w:rsid w:val="0E8467A8"/>
    <w:rsid w:val="0EFD2C63"/>
    <w:rsid w:val="0F153787"/>
    <w:rsid w:val="10554859"/>
    <w:rsid w:val="115251AE"/>
    <w:rsid w:val="137205A3"/>
    <w:rsid w:val="16052A7F"/>
    <w:rsid w:val="183B56FD"/>
    <w:rsid w:val="18421D2C"/>
    <w:rsid w:val="18EF3710"/>
    <w:rsid w:val="1B215742"/>
    <w:rsid w:val="1E303C84"/>
    <w:rsid w:val="1EF00CA7"/>
    <w:rsid w:val="1F633F72"/>
    <w:rsid w:val="226244CC"/>
    <w:rsid w:val="22950329"/>
    <w:rsid w:val="22A30872"/>
    <w:rsid w:val="238775DF"/>
    <w:rsid w:val="246A52EB"/>
    <w:rsid w:val="249C78F6"/>
    <w:rsid w:val="25AD5A5E"/>
    <w:rsid w:val="25F64131"/>
    <w:rsid w:val="264C78A7"/>
    <w:rsid w:val="26945745"/>
    <w:rsid w:val="26F56760"/>
    <w:rsid w:val="2892098A"/>
    <w:rsid w:val="2A8C2B55"/>
    <w:rsid w:val="2AC415FD"/>
    <w:rsid w:val="2B023949"/>
    <w:rsid w:val="2B9065B4"/>
    <w:rsid w:val="2C2A04A0"/>
    <w:rsid w:val="2C4C065B"/>
    <w:rsid w:val="2D697A29"/>
    <w:rsid w:val="2DA86E1E"/>
    <w:rsid w:val="2E7E609A"/>
    <w:rsid w:val="2F043F88"/>
    <w:rsid w:val="2FF9333B"/>
    <w:rsid w:val="3062140F"/>
    <w:rsid w:val="33BB5A80"/>
    <w:rsid w:val="371B5B3B"/>
    <w:rsid w:val="3741602B"/>
    <w:rsid w:val="39C752B8"/>
    <w:rsid w:val="3A0C4B4E"/>
    <w:rsid w:val="3D3F6CF4"/>
    <w:rsid w:val="3DC87AC0"/>
    <w:rsid w:val="3FA56A13"/>
    <w:rsid w:val="410835EE"/>
    <w:rsid w:val="41872959"/>
    <w:rsid w:val="42E9200F"/>
    <w:rsid w:val="44E55E41"/>
    <w:rsid w:val="45A2046C"/>
    <w:rsid w:val="46797B93"/>
    <w:rsid w:val="4758626E"/>
    <w:rsid w:val="47ED28F0"/>
    <w:rsid w:val="48556CDA"/>
    <w:rsid w:val="485D0F10"/>
    <w:rsid w:val="49397130"/>
    <w:rsid w:val="4A58410E"/>
    <w:rsid w:val="4B42467C"/>
    <w:rsid w:val="4C6355B6"/>
    <w:rsid w:val="4D235499"/>
    <w:rsid w:val="4D2550DF"/>
    <w:rsid w:val="4D515A96"/>
    <w:rsid w:val="4DA2556F"/>
    <w:rsid w:val="4E143612"/>
    <w:rsid w:val="4E2A0863"/>
    <w:rsid w:val="4E997C57"/>
    <w:rsid w:val="4E9D3635"/>
    <w:rsid w:val="4F4F373F"/>
    <w:rsid w:val="524A20F8"/>
    <w:rsid w:val="524E2EDF"/>
    <w:rsid w:val="53550624"/>
    <w:rsid w:val="53CB6FAB"/>
    <w:rsid w:val="542826BF"/>
    <w:rsid w:val="545B5616"/>
    <w:rsid w:val="55915C48"/>
    <w:rsid w:val="55C85997"/>
    <w:rsid w:val="59E02F96"/>
    <w:rsid w:val="5A244F70"/>
    <w:rsid w:val="5B280C0A"/>
    <w:rsid w:val="5C2441D3"/>
    <w:rsid w:val="5C9245A9"/>
    <w:rsid w:val="5D434E88"/>
    <w:rsid w:val="5DBB508D"/>
    <w:rsid w:val="5E047FD0"/>
    <w:rsid w:val="5F1519BF"/>
    <w:rsid w:val="602A7EDE"/>
    <w:rsid w:val="63F56C8F"/>
    <w:rsid w:val="63F81C8C"/>
    <w:rsid w:val="640D0C57"/>
    <w:rsid w:val="64354B59"/>
    <w:rsid w:val="64433D8E"/>
    <w:rsid w:val="654E5D60"/>
    <w:rsid w:val="67B160B6"/>
    <w:rsid w:val="6B776A6D"/>
    <w:rsid w:val="6CEC129F"/>
    <w:rsid w:val="6D7B66F3"/>
    <w:rsid w:val="6DB36A59"/>
    <w:rsid w:val="6E9704C7"/>
    <w:rsid w:val="7007345D"/>
    <w:rsid w:val="729A0B48"/>
    <w:rsid w:val="729B4033"/>
    <w:rsid w:val="742F65BB"/>
    <w:rsid w:val="77CE5972"/>
    <w:rsid w:val="78F75F2F"/>
    <w:rsid w:val="79B76855"/>
    <w:rsid w:val="7AD35D80"/>
    <w:rsid w:val="7AD654A8"/>
    <w:rsid w:val="7B676C5D"/>
    <w:rsid w:val="7B7B1D2B"/>
    <w:rsid w:val="7C435390"/>
    <w:rsid w:val="7FDC10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Fließtext"/>
    <w:basedOn w:val="1"/>
    <w:qFormat/>
    <w:uiPriority w:val="0"/>
    <w:pPr>
      <w:overflowPunct w:val="0"/>
      <w:autoSpaceDE w:val="0"/>
      <w:autoSpaceDN w:val="0"/>
      <w:adjustRightInd w:val="0"/>
      <w:textAlignment w:val="baseline"/>
    </w:pPr>
    <w:rPr>
      <w:kern w:val="28"/>
      <w:szCs w:val="20"/>
    </w:rPr>
  </w:style>
  <w:style w:type="paragraph" w:styleId="3">
    <w:name w:val="Balloon Text"/>
    <w:basedOn w:val="1"/>
    <w:link w:val="10"/>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100" w:beforeAutospacing="1" w:after="100" w:afterAutospacing="1"/>
      <w:jc w:val="left"/>
    </w:pPr>
    <w:rPr>
      <w:rFonts w:cs="Times New Roman"/>
      <w:kern w:val="0"/>
      <w:sz w:val="24"/>
    </w:rPr>
  </w:style>
  <w:style w:type="paragraph" w:customStyle="1" w:styleId="9">
    <w:name w:val="Heading #2|1"/>
    <w:basedOn w:val="1"/>
    <w:qFormat/>
    <w:uiPriority w:val="0"/>
    <w:pPr>
      <w:spacing w:after="280" w:line="538" w:lineRule="exact"/>
      <w:jc w:val="center"/>
      <w:outlineLvl w:val="1"/>
    </w:pPr>
    <w:rPr>
      <w:rFonts w:ascii="宋体" w:hAnsi="宋体" w:cs="宋体"/>
      <w:sz w:val="42"/>
      <w:szCs w:val="42"/>
      <w:lang w:val="zh-TW" w:eastAsia="zh-TW" w:bidi="zh-TW"/>
    </w:rPr>
  </w:style>
  <w:style w:type="character" w:customStyle="1" w:styleId="10">
    <w:name w:val="批注框文本 Char"/>
    <w:basedOn w:val="8"/>
    <w:link w:val="3"/>
    <w:qFormat/>
    <w:uiPriority w:val="0"/>
    <w:rPr>
      <w:rFonts w:ascii="Calibri" w:hAnsi="Calibri" w:eastAsia="宋体" w:cs="Arial"/>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3515</Words>
  <Characters>3750</Characters>
  <Lines>4</Lines>
  <Paragraphs>7</Paragraphs>
  <TotalTime>2</TotalTime>
  <ScaleCrop>false</ScaleCrop>
  <LinksUpToDate>false</LinksUpToDate>
  <CharactersWithSpaces>3819</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2022-01-11T01:10:00Z</dcterms:created>
  <dc:creator>Administrator</dc:creator>
  <cp:lastModifiedBy>Smile   everyday</cp:lastModifiedBy>
  <cp:lastPrinted>2022-03-09T07:40:00Z</cp:lastPrinted>
  <dcterms:modified xsi:type="dcterms:W3CDTF">2022-10-19T09:16:23Z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916B0A382F254096ACFC205746AF6B1B</vt:lpwstr>
  </property>
</Properties>
</file>