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GKJC202</w:t>
      </w:r>
      <w:r>
        <w:rPr>
          <w:rFonts w:hint="eastAsia" w:ascii="宋体" w:hAnsi="宋体" w:cs="宋体"/>
          <w:b/>
          <w:bCs/>
          <w:color w:val="0000FF"/>
          <w:kern w:val="0"/>
          <w:sz w:val="28"/>
          <w:szCs w:val="28"/>
          <w:shd w:val="clear" w:color="auto" w:fill="FFFFFF"/>
          <w:lang w:val="en-US" w:eastAsia="zh-CN"/>
        </w:rPr>
        <w:t>20330</w:t>
      </w:r>
      <w:r>
        <w:rPr>
          <w:rFonts w:hint="eastAsia" w:ascii="宋体" w:hAnsi="宋体" w:cs="宋体"/>
          <w:b/>
          <w:bCs/>
          <w:color w:val="000000"/>
          <w:kern w:val="0"/>
          <w:sz w:val="28"/>
          <w:szCs w:val="28"/>
          <w:shd w:val="clear" w:color="auto" w:fill="FFFFFF"/>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lang w:eastAsia="zh-CN"/>
        </w:rPr>
        <w:t>年</w:t>
      </w:r>
      <w:r>
        <w:rPr>
          <w:rFonts w:hint="eastAsia" w:ascii="宋体" w:hAnsi="宋体" w:cs="宋体"/>
          <w:color w:val="0000FF"/>
          <w:kern w:val="0"/>
          <w:sz w:val="24"/>
          <w:szCs w:val="24"/>
          <w:shd w:val="clear" w:color="auto" w:fill="FFFFFF"/>
          <w:lang w:val="en-US" w:eastAsia="zh-CN"/>
        </w:rPr>
        <w:t>3月30日</w:t>
      </w:r>
      <w:r>
        <w:rPr>
          <w:rFonts w:hint="eastAsia" w:ascii="宋体" w:hAnsi="宋体" w:cs="宋体"/>
          <w:color w:val="0000FF"/>
          <w:kern w:val="0"/>
          <w:sz w:val="24"/>
          <w:szCs w:val="24"/>
          <w:shd w:val="clear" w:color="auto" w:fill="FFFFFF"/>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25</w:t>
      </w:r>
      <w:r>
        <w:rPr>
          <w:rFonts w:hint="eastAsia" w:ascii="宋体" w:hAnsi="宋体" w:cs="宋体"/>
          <w:color w:val="0000FF"/>
          <w:kern w:val="0"/>
          <w:sz w:val="24"/>
          <w:szCs w:val="24"/>
          <w:shd w:val="clear" w:color="auto" w:fill="FFFFFF"/>
        </w:rPr>
        <w:t>日至20</w:t>
      </w:r>
      <w:r>
        <w:rPr>
          <w:rFonts w:hint="eastAsia" w:ascii="宋体" w:hAnsi="宋体" w:cs="宋体"/>
          <w:color w:val="0000FF"/>
          <w:kern w:val="0"/>
          <w:sz w:val="24"/>
          <w:szCs w:val="24"/>
          <w:shd w:val="clear" w:color="auto" w:fill="FFFFFF"/>
          <w:lang w:val="en-US" w:eastAsia="zh-CN"/>
        </w:rPr>
        <w:t>22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29</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cs="宋体"/>
          <w:color w:val="000000"/>
          <w:shd w:val="clear" w:color="auto" w:fill="FFFFFF"/>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w:t>
      </w:r>
      <w:r>
        <w:rPr>
          <w:rFonts w:hint="eastAsia" w:ascii="宋体" w:hAnsi="宋体" w:cs="宋体"/>
          <w:b/>
          <w:bCs/>
          <w:color w:val="000000"/>
          <w:kern w:val="0"/>
          <w:sz w:val="24"/>
          <w:szCs w:val="24"/>
          <w:shd w:val="clear" w:color="auto" w:fill="FFFFFF"/>
          <w:lang w:eastAsia="zh-CN"/>
        </w:rPr>
        <w:t>概况</w:t>
      </w:r>
      <w:r>
        <w:rPr>
          <w:rFonts w:hint="eastAsia" w:ascii="宋体" w:hAnsi="宋体" w:cs="宋体"/>
          <w:b/>
          <w:bCs/>
          <w:color w:val="000000"/>
          <w:kern w:val="0"/>
          <w:sz w:val="24"/>
          <w:szCs w:val="24"/>
          <w:shd w:val="clear" w:color="auto" w:fill="FFFFFF"/>
        </w:rPr>
        <w:t>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FF"/>
          <w:kern w:val="0"/>
          <w:sz w:val="24"/>
          <w:szCs w:val="24"/>
          <w:u w:val="single"/>
          <w:lang w:val="en-US" w:eastAsia="zh-CN"/>
        </w:rPr>
        <w:t>连城县莲达水务投资有限公司公开竞价选取汀江防洪工程（二期）连城县朋口内坎堤段项目法人全过程检测工程检测服务机构。</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FF"/>
          <w:sz w:val="24"/>
          <w:szCs w:val="24"/>
          <w:shd w:val="clear" w:color="auto" w:fill="FFFFFF"/>
          <w:lang w:val="en-US" w:eastAsia="zh-CN"/>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FF"/>
          <w:kern w:val="0"/>
          <w:sz w:val="24"/>
          <w:szCs w:val="24"/>
          <w:u w:val="single"/>
          <w:lang w:val="en-US" w:eastAsia="zh-CN"/>
        </w:rPr>
        <w:t xml:space="preserve">连城县朋口内坎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cs="宋体" w:eastAsiaTheme="minorEastAsia"/>
          <w:color w:val="000000" w:themeColor="text1"/>
          <w:sz w:val="24"/>
          <w:szCs w:val="24"/>
          <w:shd w:val="clear" w:color="auto" w:fill="FFFFFF"/>
          <w14:textFill>
            <w14:solidFill>
              <w14:schemeClr w14:val="tx1"/>
            </w14:solidFill>
          </w14:textFill>
        </w:rPr>
        <w:t>.本项目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检测费用最高限价：</w:t>
      </w:r>
      <w:r>
        <w:rPr>
          <w:rFonts w:hint="eastAsia" w:ascii="宋体" w:hAnsi="宋体" w:cs="宋体"/>
          <w:color w:val="0000FF"/>
          <w:sz w:val="24"/>
          <w:szCs w:val="24"/>
          <w:u w:val="single"/>
          <w:shd w:val="clear" w:color="auto" w:fill="FFFFFF"/>
          <w:lang w:val="en-US" w:eastAsia="zh-CN"/>
        </w:rPr>
        <w:t>36215</w:t>
      </w:r>
      <w:r>
        <w:rPr>
          <w:rFonts w:hint="eastAsia" w:ascii="宋体" w:hAnsi="宋体" w:cs="宋体" w:eastAsiaTheme="minorEastAsia"/>
          <w:color w:val="0000FF"/>
          <w:sz w:val="24"/>
          <w:szCs w:val="24"/>
          <w:u w:val="single"/>
          <w:shd w:val="clear" w:color="auto" w:fill="FFFFFF"/>
          <w:lang w:val="en-US" w:eastAsia="zh-CN"/>
        </w:rPr>
        <w:t>元</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w:t>
      </w:r>
      <w:r>
        <w:rPr>
          <w:rFonts w:hint="eastAsia" w:ascii="宋体" w:hAnsi="宋体" w:cs="宋体"/>
          <w:color w:val="0000FF"/>
          <w:sz w:val="24"/>
          <w:szCs w:val="24"/>
          <w:u w:val="none"/>
          <w:shd w:val="clear" w:color="auto" w:fill="FFFFFF"/>
          <w:lang w:val="en-US" w:eastAsia="zh-CN"/>
        </w:rPr>
        <w:t>竞价保证金</w:t>
      </w:r>
      <w:r>
        <w:rPr>
          <w:rFonts w:hint="eastAsia" w:ascii="宋体" w:hAnsi="宋体" w:cs="宋体"/>
          <w:color w:val="0000FF"/>
          <w:sz w:val="24"/>
          <w:szCs w:val="24"/>
          <w:u w:val="single"/>
          <w:shd w:val="clear" w:color="auto" w:fill="FFFFFF"/>
          <w:lang w:val="en-US" w:eastAsia="zh-CN"/>
        </w:rPr>
        <w:t>4000元</w:t>
      </w:r>
      <w:r>
        <w:rPr>
          <w:rFonts w:hint="eastAsia" w:ascii="宋体" w:hAnsi="宋体" w:cs="宋体"/>
          <w:color w:val="0000FF"/>
          <w:sz w:val="24"/>
          <w:szCs w:val="24"/>
          <w:u w:val="none"/>
          <w:shd w:val="clear" w:color="auto" w:fill="FFFFFF"/>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cs="宋体" w:eastAsiaTheme="minorEastAsia"/>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cs="宋体" w:eastAsiaTheme="minorEastAsia"/>
          <w:color w:val="000000" w:themeColor="text1"/>
          <w:kern w:val="0"/>
          <w:sz w:val="24"/>
          <w:szCs w:val="24"/>
          <w:shd w:val="clear" w:color="auto" w:fill="FFFFFF"/>
          <w:lang w:val="en-US" w:eastAsia="zh-CN" w:bidi="ar-SA"/>
          <w14:textFill>
            <w14:solidFill>
              <w14:schemeClr w14:val="tx1"/>
            </w14:solidFill>
          </w14:textFill>
        </w:rPr>
        <w:t>4.项目检测内容：</w:t>
      </w:r>
      <w:r>
        <w:rPr>
          <w:rFonts w:hint="eastAsia" w:ascii="宋体" w:hAnsi="宋体" w:cs="宋体" w:eastAsiaTheme="minorEastAsia"/>
          <w:color w:val="0000FF"/>
          <w:kern w:val="0"/>
          <w:sz w:val="24"/>
          <w:szCs w:val="24"/>
          <w:u w:val="single"/>
          <w:shd w:val="clear" w:color="auto" w:fill="FFFFFF"/>
          <w:lang w:val="en-US" w:eastAsia="zh-CN" w:bidi="ar-SA"/>
        </w:rPr>
        <w:t>汀江防洪工程（二期）连城县朋口内坎堤段项目的各类水利工程实体及其所使用的水工材料、中间产品、实体结构等（项目法人全过程检测）</w:t>
      </w:r>
      <w:r>
        <w:rPr>
          <w:rFonts w:hint="eastAsia" w:ascii="宋体" w:hAnsi="宋体" w:cs="宋体" w:eastAsiaTheme="minorEastAsia"/>
          <w:color w:val="000000" w:themeColor="text1"/>
          <w:kern w:val="0"/>
          <w:sz w:val="24"/>
          <w:szCs w:val="24"/>
          <w:u w:val="single"/>
          <w:shd w:val="clear" w:color="auto" w:fill="FFFFFF"/>
          <w:lang w:val="en-US" w:eastAsia="zh-CN" w:bidi="ar-SA"/>
          <w14:textFill>
            <w14:solidFill>
              <w14:schemeClr w14:val="tx1"/>
            </w14:solidFill>
          </w14:textFill>
        </w:rPr>
        <w:t>，</w:t>
      </w:r>
      <w:r>
        <w:rPr>
          <w:rFonts w:hint="eastAsia" w:ascii="宋体" w:hAnsi="宋体" w:cs="宋体"/>
          <w:color w:val="000000" w:themeColor="text1"/>
          <w:kern w:val="0"/>
          <w:sz w:val="24"/>
          <w:szCs w:val="24"/>
          <w:u w:val="single"/>
          <w:shd w:val="clear" w:color="auto" w:fill="FFFFFF"/>
          <w:lang w:val="en-US" w:eastAsia="zh-CN" w:bidi="ar-SA"/>
          <w14:textFill>
            <w14:solidFill>
              <w14:schemeClr w14:val="tx1"/>
            </w14:solidFill>
          </w14:textFill>
        </w:rPr>
        <w:t>具体</w:t>
      </w:r>
      <w:r>
        <w:rPr>
          <w:rFonts w:hint="eastAsia" w:ascii="宋体" w:hAnsi="宋体" w:cs="宋体" w:eastAsiaTheme="minorEastAsia"/>
          <w:color w:val="000000" w:themeColor="text1"/>
          <w:kern w:val="0"/>
          <w:sz w:val="24"/>
          <w:szCs w:val="24"/>
          <w:u w:val="single"/>
          <w:shd w:val="clear" w:color="auto" w:fill="FFFFFF"/>
          <w:lang w:val="en-US" w:eastAsia="zh-CN" w:bidi="ar-SA"/>
          <w14:textFill>
            <w14:solidFill>
              <w14:schemeClr w14:val="tx1"/>
            </w14:solidFill>
          </w14:textFill>
        </w:rPr>
        <w:t>如下表：</w:t>
      </w:r>
    </w:p>
    <w:tbl>
      <w:tblPr>
        <w:tblStyle w:val="10"/>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1550"/>
        <w:gridCol w:w="3938"/>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取样项目</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rPr>
              <w:t>工程</w:t>
            </w:r>
            <w:r>
              <w:rPr>
                <w:rFonts w:hint="eastAsia" w:ascii="宋体" w:hAnsi="宋体" w:eastAsia="宋体" w:cs="宋体"/>
                <w:b/>
                <w:bCs w:val="0"/>
                <w:sz w:val="21"/>
                <w:szCs w:val="21"/>
                <w:lang w:eastAsia="zh-CN"/>
              </w:rPr>
              <w:t>量</w:t>
            </w:r>
          </w:p>
        </w:tc>
        <w:tc>
          <w:tcPr>
            <w:tcW w:w="2083"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检测项目</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应检测组数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1.水泥 42.5</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3000t</w:t>
            </w:r>
          </w:p>
        </w:tc>
        <w:tc>
          <w:tcPr>
            <w:tcW w:w="2083" w:type="pc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细度、比面积、标准稠度用水量、凝结时间、安定性</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2.水泥32.5</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p>
        </w:tc>
        <w:tc>
          <w:tcPr>
            <w:tcW w:w="2083" w:type="pc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细度、比面积、标准稠度用水量、凝结时间、安定性</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3.中粗砂</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8000m³</w:t>
            </w:r>
          </w:p>
        </w:tc>
        <w:tc>
          <w:tcPr>
            <w:tcW w:w="2083" w:type="pc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颗粒集配、表观密度、堆积密度、含水率、含泥量、云母含量、振实度</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4.钢筋</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63.52t</w:t>
            </w:r>
          </w:p>
        </w:tc>
        <w:tc>
          <w:tcPr>
            <w:tcW w:w="2083" w:type="pc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抗拉强度、屈服强度、伸长率、弯曲性能</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Merge w:val="restar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5.混凝土试块</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C15</w:t>
            </w:r>
          </w:p>
        </w:tc>
        <w:tc>
          <w:tcPr>
            <w:tcW w:w="2083" w:type="pct"/>
            <w:vMerge w:val="restar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抗压强度</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7" w:type="pct"/>
            <w:vMerge w:val="continue"/>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C20</w:t>
            </w:r>
          </w:p>
        </w:tc>
        <w:tc>
          <w:tcPr>
            <w:tcW w:w="2083" w:type="pct"/>
            <w:vMerge w:val="continue"/>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eastAsia="zh-CN"/>
              </w:rPr>
            </w:pP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37" w:type="pct"/>
            <w:vMerge w:val="continue"/>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eastAsia="zh-CN"/>
              </w:rPr>
            </w:pP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C25</w:t>
            </w:r>
          </w:p>
        </w:tc>
        <w:tc>
          <w:tcPr>
            <w:tcW w:w="2083" w:type="pct"/>
            <w:vMerge w:val="continue"/>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eastAsia="zh-CN"/>
              </w:rPr>
            </w:pP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7" w:type="pct"/>
            <w:vMerge w:val="continue"/>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M10</w:t>
            </w:r>
          </w:p>
        </w:tc>
        <w:tc>
          <w:tcPr>
            <w:tcW w:w="2083" w:type="pct"/>
            <w:vMerge w:val="continue"/>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kern w:val="2"/>
                <w:sz w:val="21"/>
                <w:szCs w:val="21"/>
                <w:lang w:val="en-US" w:eastAsia="zh-CN" w:bidi="ar-SA"/>
              </w:rPr>
            </w:pP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37" w:type="pct"/>
            <w:vMerge w:val="restar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6.配合比</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C15</w:t>
            </w:r>
          </w:p>
        </w:tc>
        <w:tc>
          <w:tcPr>
            <w:tcW w:w="2083" w:type="pct"/>
            <w:vMerge w:val="restar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抗压强度</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7" w:type="pct"/>
            <w:vMerge w:val="continue"/>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C20</w:t>
            </w:r>
          </w:p>
        </w:tc>
        <w:tc>
          <w:tcPr>
            <w:tcW w:w="2083" w:type="pct"/>
            <w:vMerge w:val="continue"/>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37" w:type="pct"/>
            <w:vMerge w:val="continue"/>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C25</w:t>
            </w:r>
          </w:p>
        </w:tc>
        <w:tc>
          <w:tcPr>
            <w:tcW w:w="2083" w:type="pct"/>
            <w:vMerge w:val="continue"/>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7.碎石</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color w:val="0000FF"/>
                <w:sz w:val="21"/>
                <w:szCs w:val="21"/>
                <w:lang w:val="en-US" w:eastAsia="zh-CN"/>
              </w:rPr>
            </w:pPr>
            <w:r>
              <w:rPr>
                <w:rFonts w:hint="eastAsia" w:ascii="宋体" w:hAnsi="宋体" w:eastAsia="宋体" w:cs="宋体"/>
                <w:bCs/>
                <w:color w:val="auto"/>
                <w:sz w:val="21"/>
                <w:szCs w:val="21"/>
                <w:lang w:val="en-US" w:eastAsia="zh-CN"/>
              </w:rPr>
              <w:t>9600m³</w:t>
            </w:r>
          </w:p>
        </w:tc>
        <w:tc>
          <w:tcPr>
            <w:tcW w:w="2083" w:type="pc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color w:val="0000FF"/>
                <w:sz w:val="21"/>
                <w:szCs w:val="21"/>
                <w:lang w:val="en-US" w:eastAsia="zh-CN"/>
              </w:rPr>
            </w:pPr>
            <w:r>
              <w:rPr>
                <w:rFonts w:hint="eastAsia" w:ascii="宋体" w:hAnsi="宋体" w:eastAsia="宋体" w:cs="宋体"/>
                <w:bCs/>
                <w:sz w:val="21"/>
                <w:szCs w:val="21"/>
                <w:lang w:val="en-US" w:eastAsia="zh-CN"/>
              </w:rPr>
              <w:t>饱和抗压强度、软化系数、块体密度</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8.取芯</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p>
        </w:tc>
        <w:tc>
          <w:tcPr>
            <w:tcW w:w="2083" w:type="pc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r>
              <w:rPr>
                <w:rFonts w:hint="eastAsia" w:ascii="宋体" w:hAnsi="宋体" w:eastAsia="宋体" w:cs="宋体"/>
                <w:bCs/>
                <w:kern w:val="2"/>
                <w:sz w:val="21"/>
                <w:szCs w:val="21"/>
                <w:lang w:val="en-US" w:eastAsia="zh-CN" w:bidi="ar-SA"/>
              </w:rPr>
              <w:t>抗压强度，暂定5次，结算按工程实际需要为准。</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9.进场取样、现场检测发电、车旅费</w:t>
            </w:r>
          </w:p>
        </w:tc>
        <w:tc>
          <w:tcPr>
            <w:tcW w:w="820"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p>
        </w:tc>
        <w:tc>
          <w:tcPr>
            <w:tcW w:w="2083" w:type="pct"/>
            <w:noWrap w:val="0"/>
            <w:vAlign w:val="center"/>
          </w:tcPr>
          <w:p>
            <w:pPr>
              <w:pageBreakBefore w:val="0"/>
              <w:kinsoku/>
              <w:wordWrap/>
              <w:overflowPunct/>
              <w:topLinePunct w:val="0"/>
              <w:autoSpaceDE/>
              <w:autoSpaceDN/>
              <w:bidi w:val="0"/>
              <w:adjustRightInd/>
              <w:spacing w:line="360" w:lineRule="auto"/>
              <w:ind w:left="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暂定3次，结算按工程实际需要为准</w:t>
            </w:r>
          </w:p>
        </w:tc>
        <w:tc>
          <w:tcPr>
            <w:tcW w:w="758" w:type="pct"/>
            <w:noWrap w:val="0"/>
            <w:vAlign w:val="center"/>
          </w:tcPr>
          <w:p>
            <w:pPr>
              <w:pageBreakBefore w:val="0"/>
              <w:kinsoku/>
              <w:wordWrap/>
              <w:overflowPunct/>
              <w:topLinePunct w:val="0"/>
              <w:autoSpaceDE/>
              <w:autoSpaceDN/>
              <w:bidi w:val="0"/>
              <w:adjustRightInd/>
              <w:spacing w:line="360" w:lineRule="auto"/>
              <w:ind w:lef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3次</w:t>
            </w: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color w:val="0000FF"/>
          <w:sz w:val="24"/>
          <w:szCs w:val="24"/>
          <w:shd w:val="clear" w:color="auto" w:fill="FFFFFF"/>
        </w:rPr>
      </w:pPr>
      <w:r>
        <w:rPr>
          <w:rFonts w:hint="eastAsia" w:cs="宋体"/>
          <w:color w:val="0000FF"/>
          <w:sz w:val="24"/>
          <w:szCs w:val="24"/>
          <w:shd w:val="clear" w:color="auto" w:fill="FFFFFF"/>
          <w:lang w:val="en-US" w:eastAsia="zh-CN"/>
        </w:rPr>
        <w:t>5</w:t>
      </w:r>
      <w:r>
        <w:rPr>
          <w:rFonts w:hint="eastAsia" w:ascii="宋体" w:hAnsi="宋体" w:cs="宋体"/>
          <w:color w:val="0000FF"/>
          <w:sz w:val="24"/>
          <w:szCs w:val="24"/>
          <w:shd w:val="clear" w:color="auto" w:fill="FFFFFF"/>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FF"/>
          <w:sz w:val="24"/>
          <w:szCs w:val="24"/>
          <w:shd w:val="clear" w:color="auto" w:fill="FFFFFF"/>
          <w:lang w:val="en-US" w:eastAsia="zh-CN"/>
        </w:rPr>
      </w:pPr>
      <w:r>
        <w:rPr>
          <w:rFonts w:hint="eastAsia" w:ascii="宋体" w:hAnsi="宋体" w:cs="宋体" w:eastAsiaTheme="minorEastAsia"/>
          <w:color w:val="0000FF"/>
          <w:sz w:val="24"/>
          <w:szCs w:val="24"/>
          <w:shd w:val="clear" w:color="auto" w:fill="FFFFFF"/>
          <w:lang w:val="en-US" w:eastAsia="zh-CN"/>
        </w:rPr>
        <w:t>(1)</w:t>
      </w:r>
      <w:r>
        <w:rPr>
          <w:rFonts w:hint="eastAsia" w:cs="宋体"/>
          <w:color w:val="0000FF"/>
          <w:sz w:val="24"/>
          <w:szCs w:val="24"/>
          <w:shd w:val="clear" w:color="auto" w:fill="FFFFFF"/>
          <w:lang w:val="en-US" w:eastAsia="zh-CN"/>
        </w:rPr>
        <w:t>验收标准：</w:t>
      </w:r>
      <w:r>
        <w:rPr>
          <w:rFonts w:hint="eastAsia" w:ascii="宋体" w:hAnsi="宋体" w:cs="宋体" w:eastAsiaTheme="minorEastAsia"/>
          <w:color w:val="0000FF"/>
          <w:sz w:val="24"/>
          <w:szCs w:val="24"/>
          <w:shd w:val="clear" w:color="auto" w:fill="FFFFFF"/>
          <w:lang w:val="en-US" w:eastAsia="zh-CN"/>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FF"/>
          <w:sz w:val="24"/>
          <w:szCs w:val="24"/>
          <w:shd w:val="clear" w:color="auto" w:fill="FFFFFF"/>
          <w:lang w:val="en-US" w:eastAsia="zh-CN"/>
        </w:rPr>
      </w:pPr>
      <w:r>
        <w:rPr>
          <w:rFonts w:hint="eastAsia" w:ascii="宋体" w:hAnsi="宋体" w:cs="宋体" w:eastAsiaTheme="minorEastAsia"/>
          <w:color w:val="0000FF"/>
          <w:sz w:val="24"/>
          <w:szCs w:val="24"/>
          <w:shd w:val="clear" w:color="auto" w:fill="FFFFFF"/>
          <w:lang w:val="en-US" w:eastAsia="zh-CN"/>
        </w:rPr>
        <w:t>(2)</w:t>
      </w:r>
      <w:r>
        <w:rPr>
          <w:rFonts w:hint="eastAsia" w:cs="宋体"/>
          <w:color w:val="0000FF"/>
          <w:sz w:val="24"/>
          <w:szCs w:val="24"/>
          <w:shd w:val="clear" w:color="auto" w:fill="FFFFFF"/>
          <w:lang w:val="en-US" w:eastAsia="zh-CN"/>
        </w:rPr>
        <w:t>工期要求：无</w:t>
      </w:r>
      <w:r>
        <w:rPr>
          <w:rFonts w:hint="eastAsia" w:ascii="宋体" w:hAnsi="宋体" w:cs="宋体" w:eastAsiaTheme="minorEastAsia"/>
          <w:color w:val="0000FF"/>
          <w:sz w:val="24"/>
          <w:szCs w:val="24"/>
          <w:shd w:val="clear" w:color="auto" w:fill="FFFFFF"/>
          <w:lang w:val="en-US" w:eastAsia="zh-CN"/>
        </w:rPr>
        <w:t>。</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rPr>
          <w:rFonts w:hint="eastAsia" w:ascii="宋体" w:hAnsi="宋体" w:cs="宋体" w:eastAsiaTheme="minorEastAsia"/>
          <w:color w:val="0000FF"/>
          <w:sz w:val="24"/>
          <w:szCs w:val="24"/>
          <w:shd w:val="clear" w:color="auto" w:fill="FFFFFF"/>
          <w:lang w:val="en-US" w:eastAsia="zh-CN"/>
        </w:rPr>
      </w:pPr>
      <w:r>
        <w:rPr>
          <w:rFonts w:hint="eastAsia" w:ascii="宋体" w:hAnsi="宋体" w:cs="宋体" w:eastAsiaTheme="minorEastAsia"/>
          <w:color w:val="0000FF"/>
          <w:sz w:val="24"/>
          <w:szCs w:val="24"/>
          <w:shd w:val="clear" w:color="auto" w:fill="FFFFFF"/>
          <w:lang w:val="en-US" w:eastAsia="zh-CN"/>
        </w:rPr>
        <w:t>(3)如该项目符合</w:t>
      </w:r>
      <w:r>
        <w:rPr>
          <w:rFonts w:hint="eastAsia" w:cs="宋体"/>
          <w:color w:val="0000FF"/>
          <w:sz w:val="24"/>
          <w:szCs w:val="24"/>
          <w:shd w:val="clear" w:color="auto" w:fill="FFFFFF"/>
          <w:lang w:val="en-US" w:eastAsia="zh-CN"/>
        </w:rPr>
        <w:t>相关</w:t>
      </w:r>
      <w:r>
        <w:rPr>
          <w:rFonts w:hint="eastAsia" w:ascii="宋体" w:hAnsi="宋体" w:cs="宋体" w:eastAsiaTheme="minorEastAsia"/>
          <w:color w:val="0000FF"/>
          <w:sz w:val="24"/>
          <w:szCs w:val="24"/>
          <w:shd w:val="clear" w:color="auto" w:fill="FFFFFF"/>
          <w:lang w:val="en-US" w:eastAsia="zh-CN"/>
        </w:rPr>
        <w:t>的技术要求，检测方应五日内</w:t>
      </w:r>
      <w:r>
        <w:rPr>
          <w:rFonts w:hint="eastAsia" w:cs="宋体"/>
          <w:color w:val="0000FF"/>
          <w:sz w:val="24"/>
          <w:szCs w:val="24"/>
          <w:shd w:val="clear" w:color="auto" w:fill="FFFFFF"/>
          <w:lang w:val="en-US" w:eastAsia="zh-CN"/>
        </w:rPr>
        <w:t>出具</w:t>
      </w:r>
      <w:r>
        <w:rPr>
          <w:rFonts w:hint="eastAsia" w:ascii="宋体" w:hAnsi="宋体" w:cs="宋体" w:eastAsiaTheme="minorEastAsia"/>
          <w:color w:val="0000FF"/>
          <w:sz w:val="24"/>
          <w:szCs w:val="24"/>
          <w:shd w:val="clear" w:color="auto" w:fill="FFFFFF"/>
          <w:lang w:val="en-US" w:eastAsia="zh-CN"/>
        </w:rPr>
        <w:t>合格的检测报告。如有整改项，检</w:t>
      </w:r>
      <w:r>
        <w:rPr>
          <w:rFonts w:hint="eastAsia" w:cs="宋体"/>
          <w:color w:val="0000FF"/>
          <w:sz w:val="24"/>
          <w:szCs w:val="24"/>
          <w:shd w:val="clear" w:color="auto" w:fill="FFFFFF"/>
          <w:lang w:val="en-US" w:eastAsia="zh-CN"/>
        </w:rPr>
        <w:t>测</w:t>
      </w:r>
      <w:r>
        <w:rPr>
          <w:rFonts w:hint="eastAsia" w:ascii="宋体" w:hAnsi="宋体" w:cs="宋体" w:eastAsiaTheme="minorEastAsia"/>
          <w:color w:val="0000FF"/>
          <w:sz w:val="24"/>
          <w:szCs w:val="24"/>
          <w:shd w:val="clear" w:color="auto" w:fill="FFFFFF"/>
          <w:lang w:val="en-US" w:eastAsia="zh-CN"/>
        </w:rPr>
        <w:t>方应在检测完成后三日内将整改项汇总递交</w:t>
      </w:r>
      <w:r>
        <w:rPr>
          <w:rFonts w:hint="eastAsia" w:cs="宋体"/>
          <w:color w:val="0000FF"/>
          <w:sz w:val="24"/>
          <w:szCs w:val="24"/>
          <w:shd w:val="clear" w:color="auto" w:fill="FFFFFF"/>
          <w:lang w:val="en-US" w:eastAsia="zh-CN"/>
        </w:rPr>
        <w:t>委托方，</w:t>
      </w:r>
      <w:r>
        <w:rPr>
          <w:rFonts w:hint="eastAsia" w:ascii="宋体" w:hAnsi="宋体" w:cs="宋体" w:eastAsiaTheme="minorEastAsia"/>
          <w:color w:val="0000FF"/>
          <w:sz w:val="24"/>
          <w:szCs w:val="24"/>
          <w:shd w:val="clear" w:color="auto" w:fill="FFFFFF"/>
          <w:lang w:val="en-US" w:eastAsia="zh-CN"/>
        </w:rPr>
        <w:t>以便</w:t>
      </w:r>
      <w:r>
        <w:rPr>
          <w:rFonts w:hint="eastAsia" w:cs="宋体"/>
          <w:color w:val="0000FF"/>
          <w:sz w:val="24"/>
          <w:szCs w:val="24"/>
          <w:shd w:val="clear" w:color="auto" w:fill="FFFFFF"/>
          <w:lang w:val="en-US" w:eastAsia="zh-CN"/>
        </w:rPr>
        <w:t>委托方</w:t>
      </w:r>
      <w:r>
        <w:rPr>
          <w:rFonts w:hint="eastAsia" w:ascii="宋体" w:hAnsi="宋体" w:cs="宋体" w:eastAsiaTheme="minorEastAsia"/>
          <w:color w:val="0000FF"/>
          <w:sz w:val="24"/>
          <w:szCs w:val="24"/>
          <w:shd w:val="clear" w:color="auto" w:fill="FFFFFF"/>
          <w:lang w:val="en-US" w:eastAsia="zh-CN"/>
        </w:rPr>
        <w:t>及时整改，</w:t>
      </w:r>
      <w:r>
        <w:rPr>
          <w:rFonts w:hint="eastAsia" w:cs="宋体"/>
          <w:color w:val="0000FF"/>
          <w:sz w:val="24"/>
          <w:szCs w:val="24"/>
          <w:shd w:val="clear" w:color="auto" w:fill="FFFFFF"/>
          <w:lang w:val="en-US" w:eastAsia="zh-CN"/>
        </w:rPr>
        <w:t>委托方</w:t>
      </w:r>
      <w:r>
        <w:rPr>
          <w:rFonts w:hint="eastAsia" w:ascii="宋体" w:hAnsi="宋体" w:cs="宋体" w:eastAsiaTheme="minorEastAsia"/>
          <w:color w:val="0000FF"/>
          <w:sz w:val="24"/>
          <w:szCs w:val="24"/>
          <w:shd w:val="clear" w:color="auto" w:fill="FFFFFF"/>
          <w:lang w:val="en-US" w:eastAsia="zh-CN"/>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hint="eastAsia" w:ascii="宋体" w:hAnsi="宋体" w:cs="宋体" w:eastAsiaTheme="minorEastAsia"/>
          <w:color w:val="000000"/>
          <w:kern w:val="0"/>
          <w:sz w:val="24"/>
          <w:szCs w:val="24"/>
          <w:lang w:val="en-US" w:eastAsia="zh-CN" w:bidi="ar-SA"/>
        </w:rPr>
      </w:pPr>
      <w:r>
        <w:rPr>
          <w:rFonts w:hint="eastAsia" w:eastAsia="宋体" w:cs="宋体"/>
          <w:color w:val="000000"/>
        </w:rPr>
        <w:t>1.遵守中华人民共和国法律、法规，且能够诚信经营，具有独立法人资格的国内企</w:t>
      </w:r>
      <w:r>
        <w:rPr>
          <w:rFonts w:hint="eastAsia" w:cs="宋体"/>
          <w:color w:val="000000"/>
        </w:rPr>
        <w:t>业</w:t>
      </w:r>
      <w:r>
        <w:rPr>
          <w:rFonts w:hint="eastAsia" w:ascii="宋体" w:hAnsi="宋体" w:cs="宋体" w:eastAsiaTheme="minorEastAsia"/>
          <w:color w:val="000000"/>
          <w:kern w:val="0"/>
          <w:sz w:val="24"/>
          <w:szCs w:val="24"/>
          <w:lang w:val="en-US" w:eastAsia="zh-CN" w:bidi="ar-SA"/>
        </w:rPr>
        <w:t>（失信被执行人除外）。</w:t>
      </w:r>
    </w:p>
    <w:p>
      <w:pPr>
        <w:pageBreakBefore w:val="0"/>
        <w:widowControl/>
        <w:kinsoku/>
        <w:wordWrap/>
        <w:topLinePunct w:val="0"/>
        <w:bidi w:val="0"/>
        <w:snapToGrid w:val="0"/>
        <w:spacing w:beforeAutospacing="0" w:afterAutospacing="0" w:line="360" w:lineRule="auto"/>
        <w:ind w:left="0" w:firstLine="480" w:firstLineChars="20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lang w:val="en-US" w:eastAsia="zh-CN" w:bidi="ar-SA"/>
        </w:rPr>
        <w:t>2.已入选福</w:t>
      </w:r>
      <w:r>
        <w:rPr>
          <w:rFonts w:hint="eastAsia" w:ascii="宋体" w:hAnsi="宋体" w:cs="宋体" w:eastAsiaTheme="minorEastAsia"/>
          <w:color w:val="000000"/>
          <w:kern w:val="0"/>
          <w:sz w:val="24"/>
          <w:szCs w:val="24"/>
        </w:rPr>
        <w:t>建连城国有投资集团有限公司设立的中介机构库</w:t>
      </w:r>
      <w:r>
        <w:rPr>
          <w:rFonts w:hint="eastAsia" w:ascii="宋体" w:hAnsi="宋体" w:cs="宋体"/>
          <w:color w:val="0000FF"/>
          <w:kern w:val="0"/>
          <w:sz w:val="24"/>
          <w:szCs w:val="24"/>
          <w:lang w:eastAsia="zh-CN"/>
        </w:rPr>
        <w:t>工程检测</w:t>
      </w:r>
      <w:r>
        <w:rPr>
          <w:rFonts w:hint="eastAsia" w:ascii="宋体" w:hAnsi="宋体" w:cs="宋体" w:eastAsiaTheme="minorEastAsia"/>
          <w:color w:val="0000FF"/>
          <w:kern w:val="0"/>
          <w:sz w:val="24"/>
          <w:szCs w:val="24"/>
        </w:rPr>
        <w:t>类</w:t>
      </w:r>
      <w:r>
        <w:rPr>
          <w:rFonts w:hint="eastAsia" w:ascii="宋体" w:hAnsi="宋体" w:cs="宋体" w:eastAsiaTheme="minorEastAsia"/>
          <w:color w:val="000000"/>
          <w:kern w:val="0"/>
          <w:sz w:val="24"/>
          <w:szCs w:val="24"/>
          <w:lang w:val="en-US" w:eastAsia="zh-CN"/>
        </w:rPr>
        <w:t>名单</w:t>
      </w:r>
      <w:r>
        <w:rPr>
          <w:rFonts w:hint="eastAsia" w:ascii="宋体" w:hAnsi="宋体" w:cs="宋体"/>
          <w:color w:val="000000"/>
          <w:kern w:val="0"/>
          <w:sz w:val="24"/>
          <w:szCs w:val="24"/>
          <w:lang w:val="en-US" w:eastAsia="zh-CN"/>
        </w:rPr>
        <w:t>，</w:t>
      </w:r>
      <w:r>
        <w:rPr>
          <w:rFonts w:hint="eastAsia" w:ascii="宋体" w:hAnsi="宋体" w:cs="宋体" w:eastAsiaTheme="minorEastAsia"/>
          <w:color w:val="000000"/>
          <w:kern w:val="0"/>
          <w:sz w:val="24"/>
          <w:szCs w:val="24"/>
        </w:rPr>
        <w:t>。</w:t>
      </w:r>
    </w:p>
    <w:p>
      <w:pPr>
        <w:pStyle w:val="9"/>
        <w:pageBreakBefore w:val="0"/>
        <w:kinsoku/>
        <w:wordWrap/>
        <w:topLinePunct w:val="0"/>
        <w:bidi w:val="0"/>
        <w:spacing w:line="360" w:lineRule="auto"/>
        <w:ind w:left="0"/>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竞价资格（及限制性条件）认定由竞价人自行审查,因此产生的无法为委托人提供服务的及其它一切后果由竞价人自行负责。竞价人提供虚假材料或资质不符合条件的，视为恶意竞价，保证金不予退回，按违约处理，委托人可另行</w:t>
      </w:r>
      <w:r>
        <w:rPr>
          <w:rFonts w:hint="eastAsia" w:ascii="宋体" w:hAnsi="宋体" w:cs="宋体"/>
          <w:color w:val="0000FF"/>
          <w:kern w:val="0"/>
          <w:sz w:val="24"/>
          <w:szCs w:val="24"/>
          <w:lang w:val="en-US" w:eastAsia="zh-CN"/>
        </w:rPr>
        <w:t>选取中介服务机构</w:t>
      </w:r>
      <w:r>
        <w:rPr>
          <w:rFonts w:hint="eastAsia" w:ascii="宋体" w:hAnsi="宋体" w:cs="宋体"/>
          <w:color w:val="000000"/>
          <w:kern w:val="0"/>
          <w:sz w:val="24"/>
          <w:szCs w:val="24"/>
          <w:lang w:val="en-US" w:eastAsia="zh-CN"/>
        </w:rPr>
        <w:t>。</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u w:val="single"/>
          <w:shd w:val="clear" w:color="auto" w:fill="FFFFFF"/>
          <w:lang w:val="en-US" w:eastAsia="zh-CN"/>
        </w:rPr>
        <w:t>4000</w:t>
      </w:r>
      <w:r>
        <w:rPr>
          <w:rFonts w:hint="eastAsia" w:eastAsia="宋体" w:cs="宋体"/>
          <w:color w:val="000000"/>
          <w:shd w:val="clear" w:color="auto" w:fill="FFFFFF"/>
        </w:rPr>
        <w:t>元，必须于</w:t>
      </w:r>
      <w:r>
        <w:rPr>
          <w:rFonts w:hint="eastAsia" w:eastAsia="宋体" w:cs="宋体"/>
          <w:color w:val="0000FF"/>
          <w:shd w:val="clear" w:color="auto" w:fill="FFFFFF"/>
        </w:rPr>
        <w:t>202</w:t>
      </w:r>
      <w:r>
        <w:rPr>
          <w:rFonts w:hint="eastAsia" w:eastAsia="宋体" w:cs="宋体"/>
          <w:color w:val="0000FF"/>
          <w:shd w:val="clear" w:color="auto" w:fill="FFFFFF"/>
          <w:lang w:val="en-US" w:eastAsia="zh-CN"/>
        </w:rPr>
        <w:t>2</w:t>
      </w:r>
      <w:r>
        <w:rPr>
          <w:rFonts w:hint="eastAsia" w:eastAsia="宋体" w:cs="宋体"/>
          <w:color w:val="0000FF"/>
          <w:shd w:val="clear" w:color="auto" w:fill="FFFFFF"/>
        </w:rPr>
        <w:t>年</w:t>
      </w:r>
      <w:r>
        <w:rPr>
          <w:rFonts w:hint="eastAsia" w:eastAsia="宋体" w:cs="宋体"/>
          <w:color w:val="0000FF"/>
          <w:shd w:val="clear" w:color="auto" w:fill="FFFFFF"/>
          <w:lang w:val="en-US" w:eastAsia="zh-CN"/>
        </w:rPr>
        <w:t>3</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29</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18263）报名参加的</w:t>
      </w:r>
      <w:r>
        <w:rPr>
          <w:rFonts w:hint="eastAsia" w:eastAsia="宋体" w:cs="宋体"/>
          <w:color w:val="000000"/>
          <w:shd w:val="clear" w:color="auto" w:fill="FFFFFF"/>
          <w:lang w:eastAsia="zh-CN"/>
        </w:rPr>
        <w:t>竞价人</w:t>
      </w:r>
      <w:r>
        <w:rPr>
          <w:rFonts w:hint="eastAsia" w:eastAsia="宋体" w:cs="宋体"/>
          <w:color w:val="000000"/>
          <w:shd w:val="clear" w:color="auto" w:fill="FFFFFF"/>
        </w:rPr>
        <w:t>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合同》后</w:t>
      </w:r>
      <w:r>
        <w:rPr>
          <w:rFonts w:hint="eastAsia" w:eastAsia="宋体" w:cs="宋体"/>
          <w:color w:val="0000FF"/>
          <w:shd w:val="clear" w:color="auto" w:fill="FFFFFF"/>
          <w:lang w:val="en-US" w:eastAsia="zh-CN"/>
        </w:rPr>
        <w:t>10</w:t>
      </w:r>
      <w:r>
        <w:rPr>
          <w:rFonts w:hint="eastAsia" w:eastAsia="宋体" w:cs="宋体"/>
          <w:color w:val="0000FF"/>
          <w:shd w:val="clear" w:color="auto" w:fill="FFFFFF"/>
        </w:rPr>
        <w:t>个</w:t>
      </w:r>
      <w:r>
        <w:rPr>
          <w:rFonts w:hint="eastAsia" w:eastAsia="宋体" w:cs="宋体"/>
          <w:color w:val="000000"/>
          <w:shd w:val="clear" w:color="auto" w:fill="FFFFFF"/>
        </w:rPr>
        <w:t>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w:t>
      </w:r>
      <w:r>
        <w:rPr>
          <w:rFonts w:hint="eastAsia" w:eastAsia="宋体" w:cs="宋体"/>
          <w:color w:val="0000FF"/>
          <w:shd w:val="clear" w:color="auto" w:fill="FFFFFF"/>
          <w:lang w:val="en-US" w:eastAsia="zh-CN"/>
        </w:rPr>
        <w:t>10</w:t>
      </w:r>
      <w:r>
        <w:rPr>
          <w:rFonts w:hint="eastAsia" w:eastAsia="宋体" w:cs="宋体"/>
          <w:color w:val="0000FF"/>
          <w:shd w:val="clear" w:color="auto" w:fill="FFFFFF"/>
        </w:rPr>
        <w:t>个</w:t>
      </w:r>
      <w:r>
        <w:rPr>
          <w:rFonts w:hint="eastAsia" w:eastAsia="宋体" w:cs="宋体"/>
          <w:color w:val="000000"/>
          <w:shd w:val="clear" w:color="auto" w:fill="FFFFFF"/>
        </w:rPr>
        <w:t>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竞价材料未按时提交、或者竞价申请未按时提交而导致本公司无法进行资格审核、或者竞价账号未注册或者未激活的，均视为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已经交保证金的，保证金即予无息退还，</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对此不得有异议，且本公司不对</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承担任何损失，此是</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参与本次竞价的先决条件。</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00"/>
          <w:kern w:val="0"/>
          <w:sz w:val="24"/>
          <w:szCs w:val="24"/>
          <w:shd w:val="clear" w:color="auto" w:fill="FFFFFF"/>
          <w:lang w:eastAsia="zh-CN"/>
        </w:rPr>
        <w:t>反向一次性报价</w:t>
      </w:r>
      <w:r>
        <w:rPr>
          <w:rFonts w:hint="eastAsia" w:ascii="宋体" w:hAnsi="宋体" w:cs="宋体"/>
          <w:color w:val="000000"/>
          <w:kern w:val="0"/>
          <w:sz w:val="24"/>
          <w:szCs w:val="24"/>
          <w:shd w:val="clear" w:color="auto" w:fill="FFFFFF"/>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highlight w:val="none"/>
          <w:shd w:val="clear" w:color="auto" w:fill="FFFFFF"/>
          <w:lang w:bidi="ar"/>
        </w:rPr>
        <w:t>4.特别提示：标的经公开征集到合格</w:t>
      </w:r>
      <w:r>
        <w:rPr>
          <w:rFonts w:hint="eastAsia" w:ascii="宋体" w:hAnsi="宋体" w:cs="宋体"/>
          <w:color w:val="000000"/>
          <w:kern w:val="0"/>
          <w:sz w:val="24"/>
          <w:szCs w:val="24"/>
          <w:highlight w:val="none"/>
          <w:shd w:val="clear" w:color="auto" w:fill="FFFFFF"/>
          <w:lang w:eastAsia="zh-CN" w:bidi="ar"/>
        </w:rPr>
        <w:t>竞价人</w:t>
      </w:r>
      <w:r>
        <w:rPr>
          <w:rFonts w:hint="eastAsia" w:ascii="宋体" w:hAnsi="宋体" w:cs="宋体"/>
          <w:color w:val="000000"/>
          <w:kern w:val="0"/>
          <w:sz w:val="24"/>
          <w:szCs w:val="24"/>
          <w:highlight w:val="none"/>
          <w:shd w:val="clear" w:color="auto" w:fill="FFFFFF"/>
          <w:lang w:bidi="ar"/>
        </w:rPr>
        <w:t>,则</w:t>
      </w:r>
      <w:r>
        <w:rPr>
          <w:rFonts w:hint="eastAsia" w:ascii="宋体" w:hAnsi="宋体" w:cs="宋体"/>
          <w:color w:val="000000"/>
          <w:kern w:val="0"/>
          <w:sz w:val="24"/>
          <w:szCs w:val="24"/>
          <w:highlight w:val="none"/>
          <w:shd w:val="clear" w:color="auto" w:fill="FFFFFF"/>
          <w:lang w:eastAsia="zh-CN" w:bidi="ar"/>
        </w:rPr>
        <w:t>竞价人</w:t>
      </w:r>
      <w:r>
        <w:rPr>
          <w:rFonts w:hint="eastAsia" w:ascii="宋体" w:hAnsi="宋体" w:cs="宋体"/>
          <w:color w:val="000000"/>
          <w:kern w:val="0"/>
          <w:sz w:val="24"/>
          <w:szCs w:val="24"/>
          <w:highlight w:val="none"/>
          <w:shd w:val="clear" w:color="auto" w:fill="FFFFFF"/>
          <w:lang w:bidi="ar"/>
        </w:rPr>
        <w:t>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rPr>
      </w:pPr>
      <w:r>
        <w:rPr>
          <w:rFonts w:hint="eastAsia" w:cs="宋体"/>
          <w:b/>
          <w:bCs/>
          <w:color w:val="000000"/>
          <w:shd w:val="clear" w:color="auto" w:fill="FFFFFF"/>
        </w:rPr>
        <w:t>七、交易服务费</w:t>
      </w:r>
    </w:p>
    <w:p>
      <w:pPr>
        <w:pageBreakBefore w:val="0"/>
        <w:kinsoku/>
        <w:wordWrap/>
        <w:topLinePunct w:val="0"/>
        <w:bidi w:val="0"/>
        <w:spacing w:line="360" w:lineRule="auto"/>
        <w:ind w:lef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竞价成交后，成交人应按</w:t>
      </w:r>
      <w:r>
        <w:rPr>
          <w:rFonts w:hint="eastAsia" w:cs="宋体" w:asciiTheme="minorEastAsia" w:hAnsiTheme="minorEastAsia" w:eastAsiaTheme="minorEastAsia"/>
          <w:color w:val="000000"/>
          <w:sz w:val="24"/>
          <w:szCs w:val="24"/>
        </w:rPr>
        <w:t>以下标准</w:t>
      </w:r>
      <w:r>
        <w:rPr>
          <w:rFonts w:hint="eastAsia" w:asciiTheme="minorEastAsia" w:hAnsiTheme="minorEastAsia" w:eastAsiaTheme="minorEastAsia"/>
          <w:b/>
          <w:bCs/>
          <w:color w:val="000000"/>
          <w:sz w:val="24"/>
          <w:szCs w:val="24"/>
        </w:rPr>
        <w:t>向本公司支付交易服务费，</w:t>
      </w:r>
      <w:r>
        <w:rPr>
          <w:rFonts w:hint="eastAsia" w:asciiTheme="minorEastAsia" w:hAnsiTheme="minorEastAsia" w:eastAsiaTheme="minorEastAsia"/>
          <w:color w:val="000000"/>
          <w:sz w:val="24"/>
          <w:szCs w:val="24"/>
        </w:rPr>
        <w:t>交易服务费直接由本公司从成交人缴纳的竞价保证金中扣收，不足的，成交人</w:t>
      </w:r>
      <w:r>
        <w:rPr>
          <w:rFonts w:hint="eastAsia" w:cs="宋体" w:asciiTheme="minorEastAsia" w:hAnsiTheme="minorEastAsia" w:eastAsiaTheme="minorEastAsia"/>
          <w:b/>
          <w:bCs/>
          <w:color w:val="000000"/>
          <w:sz w:val="24"/>
          <w:szCs w:val="24"/>
          <w:shd w:val="clear" w:color="auto" w:fill="FFFFFF"/>
        </w:rPr>
        <w:t>必须在成交之日起2个工作日</w:t>
      </w:r>
      <w:r>
        <w:rPr>
          <w:rFonts w:hint="eastAsia" w:asciiTheme="minorEastAsia" w:hAnsiTheme="minorEastAsia" w:eastAsiaTheme="minorEastAsia"/>
          <w:color w:val="000000"/>
          <w:sz w:val="24"/>
          <w:szCs w:val="24"/>
        </w:rPr>
        <w:t>内补齐。交易服务费未按期付清的，视成交人根本违约，竞价保证金不予退回。</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shd w:val="clear" w:color="auto" w:fill="FFFFFF"/>
        </w:rPr>
        <w:t>成交人以成交价参照原龙发改价管[2018]27号文规定的标准向本公司支付交易服务费，</w:t>
      </w:r>
      <w:r>
        <w:rPr>
          <w:rFonts w:hint="eastAsia" w:asciiTheme="minorEastAsia" w:hAnsiTheme="minorEastAsia" w:eastAsiaTheme="minorEastAsia"/>
          <w:color w:val="000000"/>
          <w:sz w:val="24"/>
          <w:szCs w:val="24"/>
        </w:rPr>
        <w:t>成交价在2000元（含2000元）以下免收服务费，</w:t>
      </w:r>
      <w:r>
        <w:rPr>
          <w:rFonts w:hint="eastAsia" w:cs="宋体" w:asciiTheme="minorEastAsia" w:hAnsiTheme="minorEastAsia" w:eastAsiaTheme="minorEastAsia"/>
          <w:color w:val="000000"/>
          <w:sz w:val="24"/>
          <w:szCs w:val="24"/>
          <w:shd w:val="clear" w:color="auto" w:fill="FFFFFF"/>
        </w:rPr>
        <w:t>上述交易服务费分档累进计算，并开具交易服务费发票。</w:t>
      </w:r>
    </w:p>
    <w:p>
      <w:pPr>
        <w:pageBreakBefore w:val="0"/>
        <w:widowControl/>
        <w:shd w:val="clear" w:color="auto" w:fill="FFFFFF"/>
        <w:kinsoku/>
        <w:wordWrap/>
        <w:topLinePunct w:val="0"/>
        <w:bidi w:val="0"/>
        <w:snapToGrid w:val="0"/>
        <w:spacing w:line="360" w:lineRule="auto"/>
        <w:ind w:left="0" w:firstLine="48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shd w:val="clear" w:color="auto" w:fill="FFFFFF"/>
        </w:rPr>
        <w:t>交易服务费</w:t>
      </w:r>
      <w:r>
        <w:rPr>
          <w:rFonts w:hint="eastAsia" w:cs="宋体" w:asciiTheme="minorEastAsia" w:hAnsiTheme="minorEastAsia" w:eastAsiaTheme="minorEastAsia"/>
          <w:color w:val="000000"/>
          <w:kern w:val="0"/>
          <w:sz w:val="24"/>
          <w:szCs w:val="24"/>
          <w:shd w:val="clear" w:color="auto" w:fill="FFFFFF"/>
        </w:rPr>
        <w:t>收费表：</w:t>
      </w:r>
    </w:p>
    <w:tbl>
      <w:tblPr>
        <w:tblStyle w:val="10"/>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r>
    </w:tbl>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FF"/>
          <w:kern w:val="0"/>
          <w:sz w:val="24"/>
          <w:szCs w:val="24"/>
          <w:u w:val="none"/>
          <w:shd w:val="clear" w:color="auto" w:fill="FFFFFF"/>
          <w:lang w:eastAsia="zh-CN"/>
        </w:rPr>
        <w:t>本项目</w:t>
      </w:r>
      <w:r>
        <w:rPr>
          <w:rFonts w:hint="eastAsia" w:ascii="宋体" w:hAnsi="宋体" w:cs="宋体" w:eastAsiaTheme="minorEastAsia"/>
          <w:color w:val="0000FF"/>
          <w:kern w:val="0"/>
          <w:sz w:val="24"/>
          <w:szCs w:val="24"/>
          <w:u w:val="none"/>
          <w:shd w:val="clear" w:color="auto" w:fill="FFFFFF"/>
          <w:lang w:val="en-US" w:eastAsia="zh-CN"/>
        </w:rPr>
        <w:t>检测</w:t>
      </w:r>
      <w:r>
        <w:rPr>
          <w:rFonts w:hint="eastAsia" w:ascii="宋体" w:hAnsi="宋体" w:cs="宋体" w:eastAsiaTheme="minorEastAsia"/>
          <w:color w:val="0000FF"/>
          <w:kern w:val="0"/>
          <w:sz w:val="24"/>
          <w:szCs w:val="24"/>
          <w:u w:val="none"/>
          <w:shd w:val="clear" w:color="auto" w:fill="FFFFFF"/>
        </w:rPr>
        <w:t>报告</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实际完成检测量支付</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2.</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应妥善保管好用户名及密码，用户名为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参加网络竞价的唯一合法身份，所有用户登录后的报价均视为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本人真实意愿的表示。如用户名丢失或被他人盗用所造成的一切后果均由</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随时密切关注上述网站并下载相关信息，本公司不再另行通知（相同内容如有多次修改，以最后一次修改为准）。潜在</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未查看、下载修改内容的，后果自行承担。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3.有需要通知事项时，本公司以</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报名时载明的联系电话、联系地址（未另外注明的以身份证为准）作为联系依据，通过邮件或语音、短信的方式通知</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，即使</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不签收或未收到通知，均视为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已收到通知，由此造成的后果由</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自行负责。</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hint="eastAsia" w:ascii="宋体" w:hAnsi="宋体" w:cs="宋体"/>
          <w:color w:val="000000"/>
          <w:kern w:val="0"/>
          <w:sz w:val="24"/>
          <w:szCs w:val="24"/>
          <w:shd w:val="clear" w:color="auto" w:fill="FFFFFF"/>
        </w:rPr>
      </w:pPr>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390525</wp:posOffset>
            </wp:positionH>
            <wp:positionV relativeFrom="paragraph">
              <wp:posOffset>33655</wp:posOffset>
            </wp:positionV>
            <wp:extent cx="761365" cy="913765"/>
            <wp:effectExtent l="0" t="0" r="63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761365" cy="913765"/>
                    </a:xfrm>
                    <a:prstGeom prst="rect">
                      <a:avLst/>
                    </a:prstGeom>
                    <a:noFill/>
                    <a:ln>
                      <a:noFill/>
                    </a:ln>
                  </pic:spPr>
                </pic:pic>
              </a:graphicData>
            </a:graphic>
          </wp:anchor>
        </w:drawing>
      </w:r>
      <w:r>
        <w:rPr>
          <w:rFonts w:hint="eastAsia" w:ascii="宋体" w:hAnsi="宋体" w:cs="宋体"/>
          <w:color w:val="000000"/>
          <w:kern w:val="0"/>
          <w:sz w:val="24"/>
          <w:szCs w:val="24"/>
          <w:shd w:val="clear" w:color="auto" w:fill="FFFFFF"/>
        </w:rPr>
        <w:t>                   </w:t>
      </w:r>
    </w:p>
    <w:p>
      <w:pPr>
        <w:pageBreakBefore w:val="0"/>
        <w:widowControl/>
        <w:shd w:val="clear" w:color="auto" w:fill="FFFFFF"/>
        <w:kinsoku/>
        <w:wordWrap/>
        <w:topLinePunct w:val="0"/>
        <w:bidi w:val="0"/>
        <w:snapToGrid w:val="0"/>
        <w:spacing w:beforeAutospacing="0" w:afterAutospacing="0" w:line="360" w:lineRule="auto"/>
        <w:ind w:left="0"/>
        <w:jc w:val="right"/>
        <w:rPr>
          <w:rFonts w:ascii="宋体" w:hAnsi="宋体" w:cs="宋体"/>
          <w:color w:val="000000"/>
          <w:sz w:val="24"/>
          <w:szCs w:val="24"/>
        </w:rPr>
      </w:pPr>
      <w:r>
        <w:rPr>
          <w:rFonts w:hint="eastAsia" w:ascii="宋体" w:hAnsi="宋体" w:cs="宋体"/>
          <w:b/>
          <w:bCs/>
          <w:color w:val="000000"/>
          <w:sz w:val="24"/>
          <w:szCs w:val="24"/>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rFonts w:ascii="宋体" w:hAnsi="宋体" w:cs="宋体"/>
          <w:color w:val="000000"/>
          <w:sz w:val="24"/>
          <w:szCs w:val="24"/>
        </w:rPr>
      </w:pPr>
      <w:r>
        <w:rPr>
          <w:rFonts w:hint="eastAsia" w:ascii="宋体" w:hAnsi="宋体" w:cs="宋体"/>
          <w:color w:val="000000"/>
          <w:kern w:val="0"/>
          <w:sz w:val="24"/>
          <w:szCs w:val="24"/>
          <w:shd w:val="clear" w:color="auto" w:fill="FFFFFF"/>
        </w:rPr>
        <w:t xml:space="preserve">                                  </w:t>
      </w:r>
      <w:r>
        <w:rPr>
          <w:rFonts w:hint="eastAsia" w:ascii="宋体" w:hAnsi="宋体" w:cs="宋体"/>
          <w:color w:val="0000FF"/>
          <w:kern w:val="0"/>
          <w:sz w:val="24"/>
          <w:szCs w:val="24"/>
          <w:shd w:val="clear" w:color="auto" w:fill="FFFFFF"/>
        </w:rPr>
        <w:t xml:space="preserve"> </w:t>
      </w:r>
      <w:r>
        <w:rPr>
          <w:rFonts w:hint="eastAsia" w:ascii="宋体" w:hAnsi="宋体" w:cs="宋体"/>
          <w:b/>
          <w:bCs/>
          <w:color w:val="0000FF"/>
          <w:kern w:val="0"/>
          <w:sz w:val="24"/>
          <w:szCs w:val="24"/>
          <w:shd w:val="clear" w:color="auto" w:fill="FFFFFF"/>
        </w:rPr>
        <w:t>202</w:t>
      </w:r>
      <w:r>
        <w:rPr>
          <w:rFonts w:hint="eastAsia" w:ascii="宋体" w:hAnsi="宋体" w:cs="宋体"/>
          <w:b/>
          <w:bCs/>
          <w:color w:val="0000FF"/>
          <w:kern w:val="0"/>
          <w:sz w:val="24"/>
          <w:szCs w:val="24"/>
          <w:shd w:val="clear" w:color="auto" w:fill="FFFFFF"/>
          <w:lang w:val="en-US" w:eastAsia="zh-CN"/>
        </w:rPr>
        <w:t>2</w:t>
      </w:r>
      <w:r>
        <w:rPr>
          <w:rFonts w:hint="eastAsia" w:ascii="宋体" w:hAnsi="宋体" w:cs="宋体"/>
          <w:b/>
          <w:bCs/>
          <w:color w:val="0000FF"/>
          <w:kern w:val="0"/>
          <w:sz w:val="24"/>
          <w:szCs w:val="24"/>
          <w:shd w:val="clear" w:color="auto" w:fill="FFFFFF"/>
        </w:rPr>
        <w:t>年</w:t>
      </w:r>
      <w:r>
        <w:rPr>
          <w:rFonts w:hint="eastAsia" w:ascii="宋体" w:hAnsi="宋体" w:cs="宋体"/>
          <w:b/>
          <w:bCs/>
          <w:color w:val="0000FF"/>
          <w:kern w:val="0"/>
          <w:sz w:val="24"/>
          <w:szCs w:val="24"/>
          <w:shd w:val="clear" w:color="auto" w:fill="FFFFFF"/>
          <w:lang w:val="en-US" w:eastAsia="zh-CN"/>
        </w:rPr>
        <w:t>3</w:t>
      </w:r>
      <w:r>
        <w:rPr>
          <w:rFonts w:hint="eastAsia" w:ascii="宋体" w:hAnsi="宋体" w:cs="宋体"/>
          <w:b/>
          <w:bCs/>
          <w:color w:val="0000FF"/>
          <w:kern w:val="0"/>
          <w:sz w:val="24"/>
          <w:szCs w:val="24"/>
          <w:shd w:val="clear" w:color="auto" w:fill="FFFFFF"/>
        </w:rPr>
        <w:t>月</w:t>
      </w:r>
      <w:r>
        <w:rPr>
          <w:rFonts w:hint="eastAsia" w:ascii="宋体" w:hAnsi="宋体" w:cs="宋体"/>
          <w:b/>
          <w:bCs/>
          <w:color w:val="0000FF"/>
          <w:kern w:val="0"/>
          <w:sz w:val="24"/>
          <w:szCs w:val="24"/>
          <w:shd w:val="clear" w:color="auto" w:fill="FFFFFF"/>
          <w:lang w:val="en-US" w:eastAsia="zh-CN"/>
        </w:rPr>
        <w:t>25</w:t>
      </w:r>
      <w:r>
        <w:rPr>
          <w:rFonts w:hint="eastAsia" w:ascii="宋体" w:hAnsi="宋体" w:cs="宋体"/>
          <w:b/>
          <w:bCs/>
          <w:color w:val="0000FF"/>
          <w:kern w:val="0"/>
          <w:sz w:val="24"/>
          <w:szCs w:val="24"/>
          <w:shd w:val="clear" w:color="auto" w:fill="FFFFFF"/>
        </w:rPr>
        <w:t>日</w:t>
      </w:r>
    </w:p>
    <w:p>
      <w:pPr>
        <w:pStyle w:val="2"/>
        <w:pageBreakBefore w:val="0"/>
        <w:kinsoku/>
        <w:wordWrap/>
        <w:topLinePunct w:val="0"/>
        <w:bidi w:val="0"/>
        <w:spacing w:beforeAutospacing="0" w:afterAutospacing="0" w:line="360" w:lineRule="auto"/>
        <w:ind w:left="0"/>
        <w:rPr>
          <w:rFonts w:hint="eastAsia"/>
          <w:color w:val="000000"/>
        </w:rPr>
      </w:pPr>
    </w:p>
    <w:p>
      <w:pPr>
        <w:pStyle w:val="12"/>
        <w:keepNext/>
        <w:keepLines/>
        <w:pageBreakBefore w:val="0"/>
        <w:kinsoku/>
        <w:wordWrap/>
        <w:topLinePunct w:val="0"/>
        <w:bidi w:val="0"/>
        <w:spacing w:beforeAutospacing="0" w:after="0" w:afterAutospacing="0" w:line="360" w:lineRule="auto"/>
        <w:ind w:left="0"/>
        <w:jc w:val="left"/>
        <w:rPr>
          <w:b/>
          <w:bCs/>
          <w:color w:val="000000"/>
          <w:sz w:val="28"/>
          <w:szCs w:val="28"/>
          <w:lang w:val="en-US" w:eastAsia="zh-CN"/>
        </w:rPr>
        <w:sectPr>
          <w:footerReference r:id="rId3" w:type="default"/>
          <w:pgSz w:w="11906" w:h="16838"/>
          <w:pgMar w:top="1135" w:right="1416" w:bottom="1418" w:left="1418" w:header="851" w:footer="992" w:gutter="0"/>
          <w:pgNumType w:fmt="numberInDash"/>
          <w:cols w:space="720" w:num="1"/>
          <w:docGrid w:type="lines" w:linePitch="312" w:charSpace="0"/>
        </w:sectPr>
      </w:pPr>
    </w:p>
    <w:p>
      <w:pPr>
        <w:pageBreakBefore w:val="0"/>
        <w:kinsoku/>
        <w:wordWrap/>
        <w:topLinePunct w:val="0"/>
        <w:bidi w:val="0"/>
        <w:spacing w:beforeAutospacing="0" w:afterAutospacing="0" w:line="360" w:lineRule="auto"/>
        <w:ind w:left="0" w:firstLine="883"/>
        <w:jc w:val="center"/>
        <w:rPr>
          <w:rFonts w:hint="eastAsia"/>
          <w:b/>
          <w:color w:val="000000"/>
          <w:sz w:val="44"/>
          <w:szCs w:val="44"/>
        </w:rPr>
      </w:pPr>
      <w:bookmarkStart w:id="0" w:name="OLE_LINK2"/>
      <w:r>
        <w:rPr>
          <w:rFonts w:hint="eastAsia"/>
          <w:b/>
          <w:color w:val="000000"/>
          <w:sz w:val="44"/>
          <w:szCs w:val="44"/>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rPr>
      </w:pPr>
    </w:p>
    <w:p>
      <w:pPr>
        <w:pageBreakBefore w:val="0"/>
        <w:kinsoku/>
        <w:wordWrap/>
        <w:topLinePunct w:val="0"/>
        <w:bidi w:val="0"/>
        <w:spacing w:beforeAutospacing="0" w:afterAutospacing="0" w:line="360" w:lineRule="auto"/>
        <w:ind w:left="0"/>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pageBreakBefore w:val="0"/>
        <w:kinsoku/>
        <w:wordWrap/>
        <w:topLinePunct w:val="0"/>
        <w:bidi w:val="0"/>
        <w:spacing w:beforeAutospacing="0" w:afterAutospacing="0" w:line="360" w:lineRule="auto"/>
        <w:ind w:left="0"/>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rPr>
        <w:t xml:space="preserve"> </w:t>
      </w:r>
      <w:r>
        <w:rPr>
          <w:rFonts w:hint="eastAsia" w:ascii="宋体" w:hAnsi="宋体"/>
          <w:color w:val="0000FF"/>
          <w:sz w:val="24"/>
          <w:u w:val="single"/>
          <w:lang w:val="en-US" w:eastAsia="zh-CN"/>
        </w:rPr>
        <w:t>3</w:t>
      </w:r>
      <w:r>
        <w:rPr>
          <w:rFonts w:hint="eastAsia" w:ascii="宋体" w:hAnsi="宋体"/>
          <w:color w:val="0000FF"/>
          <w:sz w:val="24"/>
          <w:u w:val="single"/>
        </w:rPr>
        <w:t xml:space="preserve"> </w:t>
      </w:r>
      <w:r>
        <w:rPr>
          <w:rFonts w:hint="eastAsia" w:ascii="宋体" w:hAnsi="宋体"/>
          <w:color w:val="0000FF"/>
          <w:sz w:val="24"/>
        </w:rPr>
        <w:t>月</w:t>
      </w:r>
      <w:r>
        <w:rPr>
          <w:rFonts w:hint="eastAsia" w:ascii="宋体" w:hAnsi="宋体"/>
          <w:color w:val="0000FF"/>
          <w:sz w:val="24"/>
          <w:u w:val="single"/>
          <w:lang w:val="en-US" w:eastAsia="zh-CN"/>
        </w:rPr>
        <w:t>30</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FF"/>
          <w:sz w:val="24"/>
          <w:u w:val="single"/>
          <w:lang w:val="en-US" w:eastAsia="zh-CN"/>
        </w:rPr>
        <w:t>汀江防洪工程（二期）连城县朋口内坎堤段项目法人全过程检测工程检测</w:t>
      </w:r>
      <w:r>
        <w:rPr>
          <w:rFonts w:hint="eastAsia" w:ascii="宋体" w:hAnsi="宋体"/>
          <w:color w:val="0000FF"/>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FF"/>
          <w:sz w:val="24"/>
          <w:u w:val="single"/>
          <w:lang w:val="en-US" w:eastAsia="zh-CN"/>
        </w:rPr>
        <w:t xml:space="preserve"> GKJC20220330</w:t>
      </w:r>
      <w:r>
        <w:rPr>
          <w:rFonts w:hint="eastAsia" w:ascii="宋体" w:hAnsi="宋体"/>
          <w:color w:val="000000"/>
          <w:sz w:val="24"/>
          <w:u w:val="single"/>
        </w:rPr>
        <w:t xml:space="preserve"> </w:t>
      </w:r>
      <w:r>
        <w:rPr>
          <w:rFonts w:hint="eastAsia" w:ascii="宋体" w:hAnsi="宋体"/>
          <w:color w:val="000000"/>
          <w:sz w:val="24"/>
        </w:rPr>
        <w:t>的《网络竞价须知》，并保证遵守和全面履行该次《网络竞价须知》中的各项条款。若有违反该次《网络竞价须知》条款的行为，申请人愿被取消竞价资格，</w:t>
      </w:r>
      <w:bookmarkStart w:id="1" w:name="_GoBack"/>
      <w:bookmarkEnd w:id="1"/>
      <w:r>
        <w:rPr>
          <w:rFonts w:hint="eastAsia" w:ascii="宋体" w:hAnsi="宋体"/>
          <w:color w:val="000000"/>
          <w:sz w:val="24"/>
        </w:rPr>
        <w:t>已交保证金作为违约金归贵公司所有（不予退回），若造成贵公司损失的，由本承诺人承担赔偿责任。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承诺人（申请人签章）：</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联系电话：</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6556" w:firstLineChars="2732"/>
        <w:rPr>
          <w:rFonts w:ascii="宋体" w:hAnsi="宋体"/>
          <w:color w:val="000000"/>
          <w:sz w:val="24"/>
        </w:rPr>
      </w:pPr>
      <w:r>
        <w:rPr>
          <w:rFonts w:hint="eastAsia" w:ascii="宋体" w:hAnsi="宋体"/>
          <w:color w:val="000000"/>
          <w:sz w:val="24"/>
        </w:rPr>
        <w:t>年    月    日</w:t>
      </w:r>
      <w:bookmarkEnd w:id="0"/>
    </w:p>
    <w:p>
      <w:pPr>
        <w:pStyle w:val="4"/>
        <w:pageBreakBefore w:val="0"/>
        <w:kinsoku/>
        <w:wordWrap/>
        <w:topLinePunct w:val="0"/>
        <w:bidi w:val="0"/>
        <w:spacing w:beforeAutospacing="0" w:afterAutospacing="0" w:line="360" w:lineRule="auto"/>
        <w:ind w:left="0"/>
        <w:rPr>
          <w:rFonts w:hint="eastAsia"/>
        </w:rPr>
      </w:pPr>
    </w:p>
    <w:p>
      <w:pPr>
        <w:pageBreakBefore w:val="0"/>
        <w:kinsoku/>
        <w:wordWrap/>
        <w:topLinePunct w:val="0"/>
        <w:bidi w:val="0"/>
        <w:spacing w:beforeAutospacing="0" w:afterAutospacing="0" w:line="360" w:lineRule="auto"/>
        <w:ind w:left="0"/>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F1C"/>
    <w:rsid w:val="0F087A87"/>
    <w:rsid w:val="110B7762"/>
    <w:rsid w:val="12EE135E"/>
    <w:rsid w:val="176A3436"/>
    <w:rsid w:val="1CE62951"/>
    <w:rsid w:val="1EA93AB8"/>
    <w:rsid w:val="1F3A4FB5"/>
    <w:rsid w:val="201F1441"/>
    <w:rsid w:val="21701958"/>
    <w:rsid w:val="21923E1A"/>
    <w:rsid w:val="23702DCE"/>
    <w:rsid w:val="354E1A12"/>
    <w:rsid w:val="39617F1C"/>
    <w:rsid w:val="3B83521D"/>
    <w:rsid w:val="3C920D79"/>
    <w:rsid w:val="3E5A0DB6"/>
    <w:rsid w:val="3E706C86"/>
    <w:rsid w:val="41E659CC"/>
    <w:rsid w:val="41F425BB"/>
    <w:rsid w:val="45533F2D"/>
    <w:rsid w:val="45777BA2"/>
    <w:rsid w:val="4B005883"/>
    <w:rsid w:val="4E14010F"/>
    <w:rsid w:val="54DE4E29"/>
    <w:rsid w:val="59650809"/>
    <w:rsid w:val="5A22414B"/>
    <w:rsid w:val="5B5608D4"/>
    <w:rsid w:val="5D9B748C"/>
    <w:rsid w:val="5DDB0563"/>
    <w:rsid w:val="61E63112"/>
    <w:rsid w:val="7758078B"/>
    <w:rsid w:val="7B96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9">
    <w:name w:val="Body Text First Indent"/>
    <w:basedOn w:val="4"/>
    <w:qFormat/>
    <w:uiPriority w:val="99"/>
    <w:pPr>
      <w:ind w:firstLine="800" w:firstLineChars="200"/>
    </w:p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dcterms:modified xsi:type="dcterms:W3CDTF">2022-03-24T03:02:12Z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7552220F4D8E44E2905D3DCEA9A92290</vt:lpwstr>
  </property>
</Properties>
</file>