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pacing w:line="520" w:lineRule="exact"/>
        <w:jc w:val="center"/>
        <w:rPr>
          <w:rFonts w:hint="eastAsia" w:ascii="仿宋_GB2312" w:hAnsi="仿宋_GB2312" w:eastAsia="仿宋_GB2312" w:cs="仿宋_GB2312"/>
          <w:sz w:val="28"/>
          <w:szCs w:val="28"/>
        </w:rPr>
      </w:pPr>
      <w:bookmarkStart w:id="0" w:name="_Toc274922409"/>
      <w:r>
        <w:rPr>
          <w:rFonts w:hint="eastAsia" w:ascii="仿宋_GB2312" w:hAnsi="仿宋_GB2312" w:eastAsia="仿宋_GB2312" w:cs="仿宋_GB2312"/>
          <w:sz w:val="28"/>
          <w:szCs w:val="28"/>
          <w:lang w:val="en-US" w:eastAsia="zh-CN"/>
        </w:rPr>
        <w:t>供货</w:t>
      </w:r>
      <w:r>
        <w:rPr>
          <w:rFonts w:hint="eastAsia" w:ascii="仿宋_GB2312" w:hAnsi="仿宋_GB2312" w:eastAsia="仿宋_GB2312" w:cs="仿宋_GB2312"/>
          <w:sz w:val="28"/>
          <w:szCs w:val="28"/>
        </w:rPr>
        <w:t>合同</w:t>
      </w:r>
      <w:bookmarkEnd w:id="0"/>
    </w:p>
    <w:p>
      <w:pPr>
        <w:pageBreakBefore w:val="0"/>
        <w:kinsoku/>
        <w:wordWrap/>
        <w:overflowPunct/>
        <w:topLinePunct w:val="0"/>
        <w:autoSpaceDE/>
        <w:autoSpaceDN/>
        <w:bidi w:val="0"/>
        <w:adjustRightInd/>
        <w:spacing w:line="520" w:lineRule="exact"/>
        <w:rPr>
          <w:rFonts w:hint="eastAsia" w:ascii="仿宋" w:hAnsi="仿宋" w:eastAsia="仿宋" w:cs="仿宋"/>
          <w:sz w:val="28"/>
          <w:szCs w:val="28"/>
        </w:rPr>
      </w:pPr>
      <w:r>
        <w:rPr>
          <w:rFonts w:hint="eastAsia" w:ascii="仿宋" w:hAnsi="仿宋" w:eastAsia="仿宋" w:cs="仿宋"/>
          <w:sz w:val="28"/>
          <w:szCs w:val="28"/>
        </w:rPr>
        <w:t>甲方（采购人）</w:t>
      </w:r>
      <w:r>
        <w:rPr>
          <w:rFonts w:hint="eastAsia" w:ascii="仿宋" w:hAnsi="仿宋" w:eastAsia="仿宋" w:cs="仿宋"/>
          <w:sz w:val="28"/>
          <w:szCs w:val="28"/>
          <w:lang w:eastAsia="zh-CN"/>
        </w:rPr>
        <w:t>连城县弘源投资管理有限公司</w:t>
      </w:r>
      <w:r>
        <w:rPr>
          <w:rFonts w:hint="eastAsia" w:ascii="仿宋" w:hAnsi="仿宋" w:eastAsia="仿宋" w:cs="仿宋"/>
          <w:sz w:val="28"/>
          <w:szCs w:val="28"/>
        </w:rPr>
        <w:t xml:space="preserve">        </w:t>
      </w:r>
    </w:p>
    <w:p>
      <w:pPr>
        <w:pageBreakBefore w:val="0"/>
        <w:kinsoku/>
        <w:wordWrap/>
        <w:overflowPunct/>
        <w:topLinePunct w:val="0"/>
        <w:autoSpaceDE/>
        <w:autoSpaceDN/>
        <w:bidi w:val="0"/>
        <w:adjustRightInd/>
        <w:spacing w:line="520" w:lineRule="exact"/>
        <w:rPr>
          <w:rFonts w:hint="eastAsia" w:ascii="仿宋" w:hAnsi="仿宋" w:eastAsia="仿宋" w:cs="仿宋"/>
          <w:sz w:val="28"/>
          <w:szCs w:val="28"/>
        </w:rPr>
      </w:pPr>
      <w:r>
        <w:rPr>
          <w:rFonts w:hint="eastAsia" w:ascii="仿宋" w:hAnsi="仿宋" w:eastAsia="仿宋" w:cs="仿宋"/>
          <w:sz w:val="28"/>
          <w:szCs w:val="28"/>
        </w:rPr>
        <w:t>乙方（供应商）：</w:t>
      </w:r>
      <w:r>
        <w:rPr>
          <w:rFonts w:hint="eastAsia" w:ascii="仿宋" w:hAnsi="仿宋" w:eastAsia="仿宋" w:cs="仿宋"/>
          <w:sz w:val="28"/>
          <w:szCs w:val="28"/>
          <w:lang w:val="en-US" w:eastAsia="zh-CN"/>
        </w:rPr>
        <w:t xml:space="preserve">       </w:t>
      </w:r>
      <w:r>
        <w:rPr>
          <w:rFonts w:hint="eastAsia" w:ascii="仿宋" w:hAnsi="仿宋" w:eastAsia="仿宋" w:cs="仿宋"/>
          <w:spacing w:val="-14"/>
          <w:sz w:val="28"/>
          <w:szCs w:val="28"/>
        </w:rPr>
        <w:t xml:space="preserve">     </w:t>
      </w:r>
    </w:p>
    <w:p>
      <w:pPr>
        <w:pageBreakBefore w:val="0"/>
        <w:kinsoku/>
        <w:wordWrap/>
        <w:overflowPunct/>
        <w:topLinePunct w:val="0"/>
        <w:autoSpaceDE/>
        <w:autoSpaceDN/>
        <w:bidi w:val="0"/>
        <w:adjustRightInd/>
        <w:spacing w:line="520" w:lineRule="exact"/>
        <w:ind w:firstLine="480"/>
        <w:rPr>
          <w:rFonts w:hint="eastAsia" w:ascii="仿宋" w:hAnsi="仿宋" w:eastAsia="仿宋" w:cs="仿宋"/>
          <w:sz w:val="28"/>
          <w:szCs w:val="28"/>
        </w:rPr>
      </w:pPr>
      <w:r>
        <w:rPr>
          <w:rFonts w:hint="eastAsia" w:ascii="仿宋" w:hAnsi="仿宋" w:eastAsia="仿宋" w:cs="仿宋"/>
          <w:sz w:val="28"/>
          <w:szCs w:val="28"/>
        </w:rPr>
        <w:t>依据《中华人民共和国合同法》等相关法律法规，甲乙双方本着平等互利、诚实守信的原则，经友好协商一致同意签订本合同并共同遵守。</w:t>
      </w:r>
    </w:p>
    <w:p>
      <w:pPr>
        <w:pStyle w:val="7"/>
        <w:pageBreakBefore w:val="0"/>
        <w:numPr>
          <w:ilvl w:val="-1"/>
          <w:numId w:val="0"/>
        </w:numPr>
        <w:kinsoku/>
        <w:wordWrap/>
        <w:overflowPunct/>
        <w:topLinePunct w:val="0"/>
        <w:autoSpaceDE/>
        <w:autoSpaceDN/>
        <w:bidi w:val="0"/>
        <w:adjustRightInd/>
        <w:spacing w:line="520" w:lineRule="exact"/>
        <w:ind w:left="0"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lang w:eastAsia="zh-CN"/>
        </w:rPr>
        <w:t>一、</w:t>
      </w:r>
      <w:r>
        <w:rPr>
          <w:rFonts w:hint="eastAsia" w:ascii="仿宋" w:hAnsi="仿宋" w:eastAsia="仿宋" w:cs="仿宋"/>
          <w:b w:val="0"/>
          <w:bCs/>
          <w:sz w:val="28"/>
          <w:szCs w:val="28"/>
        </w:rPr>
        <w:t>乙方按照如下清单要求提供货物：</w:t>
      </w:r>
    </w:p>
    <w:tbl>
      <w:tblPr>
        <w:tblStyle w:val="4"/>
        <w:tblpPr w:leftFromText="180" w:rightFromText="180" w:vertAnchor="text" w:horzAnchor="page" w:tblpX="1125" w:tblpY="379"/>
        <w:tblOverlap w:val="never"/>
        <w:tblW w:w="9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554"/>
        <w:gridCol w:w="2892"/>
        <w:gridCol w:w="568"/>
        <w:gridCol w:w="543"/>
        <w:gridCol w:w="854"/>
        <w:gridCol w:w="1275"/>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82"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1554"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商品名称</w:t>
            </w:r>
          </w:p>
        </w:tc>
        <w:tc>
          <w:tcPr>
            <w:tcW w:w="2892"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型 号 及       配 置</w:t>
            </w:r>
          </w:p>
        </w:tc>
        <w:tc>
          <w:tcPr>
            <w:tcW w:w="568"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单 位</w:t>
            </w:r>
          </w:p>
        </w:tc>
        <w:tc>
          <w:tcPr>
            <w:tcW w:w="543"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c>
          <w:tcPr>
            <w:tcW w:w="854"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单 价（元）</w:t>
            </w:r>
          </w:p>
        </w:tc>
        <w:tc>
          <w:tcPr>
            <w:tcW w:w="1275"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合计金额（元）</w:t>
            </w:r>
          </w:p>
        </w:tc>
        <w:tc>
          <w:tcPr>
            <w:tcW w:w="1821"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b/>
                <w:bCs/>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w:t>
            </w:r>
          </w:p>
        </w:tc>
        <w:tc>
          <w:tcPr>
            <w:tcW w:w="1554"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光纤收发器</w:t>
            </w:r>
          </w:p>
        </w:tc>
        <w:tc>
          <w:tcPr>
            <w:tcW w:w="2892"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普联：TL-FC311A/B-3</w:t>
            </w:r>
          </w:p>
        </w:tc>
        <w:tc>
          <w:tcPr>
            <w:tcW w:w="568"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套</w:t>
            </w:r>
          </w:p>
        </w:tc>
        <w:tc>
          <w:tcPr>
            <w:tcW w:w="543"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54"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p>
        </w:tc>
        <w:tc>
          <w:tcPr>
            <w:tcW w:w="1275"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p>
        </w:tc>
        <w:tc>
          <w:tcPr>
            <w:tcW w:w="1821"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w:t>
            </w:r>
          </w:p>
        </w:tc>
        <w:tc>
          <w:tcPr>
            <w:tcW w:w="1554"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sz w:val="24"/>
                <w:szCs w:val="24"/>
                <w:vertAlign w:val="baseline"/>
                <w:lang w:eastAsia="zh-CN"/>
              </w:rPr>
              <w:t>千兆交换机</w:t>
            </w:r>
          </w:p>
        </w:tc>
        <w:tc>
          <w:tcPr>
            <w:tcW w:w="2892"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普联：TL-SG1008D</w:t>
            </w:r>
          </w:p>
        </w:tc>
        <w:tc>
          <w:tcPr>
            <w:tcW w:w="568"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543"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p>
        </w:tc>
        <w:tc>
          <w:tcPr>
            <w:tcW w:w="854"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p>
        </w:tc>
        <w:tc>
          <w:tcPr>
            <w:tcW w:w="1275"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p>
        </w:tc>
        <w:tc>
          <w:tcPr>
            <w:tcW w:w="1821"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554"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eastAsia="zh-CN"/>
              </w:rPr>
              <w:t>硬盘录像机</w:t>
            </w:r>
          </w:p>
        </w:tc>
        <w:tc>
          <w:tcPr>
            <w:tcW w:w="2892"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vertAlign w:val="baseline"/>
                <w:lang w:val="en-US" w:eastAsia="zh-CN"/>
              </w:rPr>
              <w:t>海康威视：DS-8664N-I8</w:t>
            </w:r>
          </w:p>
        </w:tc>
        <w:tc>
          <w:tcPr>
            <w:tcW w:w="568"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台</w:t>
            </w:r>
          </w:p>
        </w:tc>
        <w:tc>
          <w:tcPr>
            <w:tcW w:w="543"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54"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p>
        </w:tc>
        <w:tc>
          <w:tcPr>
            <w:tcW w:w="1275"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p>
        </w:tc>
        <w:tc>
          <w:tcPr>
            <w:tcW w:w="1821"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2"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554"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color w:val="555555"/>
                <w:sz w:val="24"/>
                <w:szCs w:val="24"/>
              </w:rPr>
            </w:pPr>
            <w:r>
              <w:rPr>
                <w:rFonts w:hint="eastAsia" w:ascii="仿宋_GB2312" w:hAnsi="仿宋_GB2312" w:eastAsia="仿宋_GB2312" w:cs="仿宋_GB2312"/>
                <w:sz w:val="24"/>
                <w:szCs w:val="24"/>
                <w:vertAlign w:val="baseline"/>
                <w:lang w:eastAsia="zh-CN"/>
              </w:rPr>
              <w:t>监控硬盘</w:t>
            </w:r>
          </w:p>
        </w:tc>
        <w:tc>
          <w:tcPr>
            <w:tcW w:w="2892"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Style w:val="6"/>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vertAlign w:val="baseline"/>
                <w:lang w:eastAsia="zh-CN"/>
              </w:rPr>
              <w:t>海康威视：</w:t>
            </w:r>
            <w:r>
              <w:rPr>
                <w:rFonts w:hint="eastAsia" w:ascii="仿宋_GB2312" w:hAnsi="仿宋_GB2312" w:eastAsia="仿宋_GB2312" w:cs="仿宋_GB2312"/>
                <w:sz w:val="24"/>
                <w:szCs w:val="24"/>
                <w:vertAlign w:val="baseline"/>
                <w:lang w:val="en-US" w:eastAsia="zh-CN"/>
              </w:rPr>
              <w:t>ST8000VX004</w:t>
            </w:r>
          </w:p>
        </w:tc>
        <w:tc>
          <w:tcPr>
            <w:tcW w:w="568"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块</w:t>
            </w:r>
          </w:p>
        </w:tc>
        <w:tc>
          <w:tcPr>
            <w:tcW w:w="543"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854"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p>
        </w:tc>
        <w:tc>
          <w:tcPr>
            <w:tcW w:w="1275"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rPr>
            </w:pPr>
          </w:p>
        </w:tc>
        <w:tc>
          <w:tcPr>
            <w:tcW w:w="1821" w:type="dxa"/>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989" w:type="dxa"/>
            <w:gridSpan w:val="8"/>
            <w:vAlign w:val="center"/>
          </w:tcPr>
          <w:p>
            <w:pPr>
              <w:keepNext w:val="0"/>
              <w:keepLines w:val="0"/>
              <w:pageBreakBefore w:val="0"/>
              <w:kinsoku/>
              <w:wordWrap/>
              <w:overflowPunct/>
              <w:topLinePunct w:val="0"/>
              <w:autoSpaceDE/>
              <w:autoSpaceDN/>
              <w:bidi w:val="0"/>
              <w:adjustRightInd/>
              <w:snapToGrid/>
              <w:spacing w:line="520" w:lineRule="exact"/>
              <w:ind w:right="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合同价款</w:t>
            </w:r>
            <w:r>
              <w:rPr>
                <w:rFonts w:hint="eastAsia" w:ascii="仿宋_GB2312" w:hAnsi="仿宋_GB2312" w:eastAsia="仿宋_GB2312" w:cs="仿宋_GB2312"/>
                <w:sz w:val="24"/>
                <w:szCs w:val="24"/>
              </w:rPr>
              <w:t>合计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人民币大写     （  </w:t>
            </w:r>
            <w:r>
              <w:rPr>
                <w:rFonts w:hint="default" w:ascii="Arial" w:hAnsi="Arial" w:eastAsia="仿宋_GB2312" w:cs="Arial"/>
                <w:sz w:val="24"/>
                <w:szCs w:val="24"/>
                <w:lang w:val="en-US" w:eastAsia="zh-CN"/>
              </w:rPr>
              <w:t>¥</w:t>
            </w:r>
            <w:r>
              <w:rPr>
                <w:rFonts w:hint="eastAsia" w:ascii="仿宋_GB2312" w:hAnsi="仿宋_GB2312" w:eastAsia="仿宋_GB2312" w:cs="仿宋_GB2312"/>
                <w:sz w:val="24"/>
                <w:szCs w:val="24"/>
                <w:lang w:val="en-US" w:eastAsia="zh-CN"/>
              </w:rPr>
              <w:t>）</w:t>
            </w:r>
          </w:p>
        </w:tc>
      </w:tr>
    </w:tbl>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二、供货要求：乙方根据</w:t>
      </w:r>
      <w:r>
        <w:rPr>
          <w:rFonts w:hint="eastAsia" w:ascii="仿宋" w:hAnsi="仿宋" w:eastAsia="仿宋" w:cs="仿宋"/>
          <w:sz w:val="28"/>
          <w:szCs w:val="28"/>
          <w:lang w:val="en-US" w:eastAsia="zh-CN"/>
        </w:rPr>
        <w:t>供货清单的</w:t>
      </w:r>
      <w:r>
        <w:rPr>
          <w:rFonts w:hint="eastAsia" w:ascii="仿宋" w:hAnsi="仿宋" w:eastAsia="仿宋" w:cs="仿宋"/>
          <w:sz w:val="28"/>
          <w:szCs w:val="28"/>
        </w:rPr>
        <w:t>要求</w:t>
      </w:r>
      <w:r>
        <w:rPr>
          <w:rFonts w:hint="eastAsia" w:ascii="仿宋" w:hAnsi="仿宋" w:eastAsia="仿宋" w:cs="仿宋"/>
          <w:sz w:val="28"/>
          <w:szCs w:val="28"/>
          <w:lang w:eastAsia="zh-CN"/>
        </w:rPr>
        <w:t>在</w:t>
      </w:r>
      <w:r>
        <w:rPr>
          <w:rFonts w:hint="eastAsia" w:ascii="仿宋" w:hAnsi="仿宋" w:eastAsia="仿宋" w:cs="仿宋"/>
          <w:sz w:val="28"/>
          <w:szCs w:val="28"/>
          <w:lang w:val="en-US" w:eastAsia="zh-CN"/>
        </w:rPr>
        <w:t>合同签订之日起</w:t>
      </w:r>
      <w:r>
        <w:rPr>
          <w:rFonts w:hint="eastAsia" w:ascii="仿宋" w:hAnsi="仿宋" w:eastAsia="仿宋" w:cs="仿宋"/>
          <w:b/>
          <w:bCs/>
          <w:sz w:val="28"/>
          <w:szCs w:val="28"/>
          <w:u w:val="single"/>
          <w:lang w:eastAsia="zh-CN"/>
        </w:rPr>
        <w:t>五</w:t>
      </w:r>
      <w:r>
        <w:rPr>
          <w:rFonts w:hint="eastAsia" w:ascii="仿宋" w:hAnsi="仿宋" w:eastAsia="仿宋" w:cs="仿宋"/>
          <w:sz w:val="28"/>
          <w:szCs w:val="28"/>
          <w:lang w:eastAsia="zh-CN"/>
        </w:rPr>
        <w:t>个工作日内</w:t>
      </w:r>
      <w:r>
        <w:rPr>
          <w:rFonts w:hint="eastAsia" w:ascii="仿宋" w:hAnsi="仿宋" w:eastAsia="仿宋" w:cs="仿宋"/>
          <w:sz w:val="28"/>
          <w:szCs w:val="28"/>
        </w:rPr>
        <w:t>将</w:t>
      </w:r>
      <w:r>
        <w:rPr>
          <w:rFonts w:hint="eastAsia" w:ascii="仿宋" w:hAnsi="仿宋" w:eastAsia="仿宋" w:cs="仿宋"/>
          <w:sz w:val="28"/>
          <w:szCs w:val="28"/>
          <w:lang w:val="en-US" w:eastAsia="zh-CN"/>
        </w:rPr>
        <w:t>符合要求的</w:t>
      </w:r>
      <w:r>
        <w:rPr>
          <w:rFonts w:hint="eastAsia" w:ascii="仿宋" w:hAnsi="仿宋" w:eastAsia="仿宋" w:cs="仿宋"/>
          <w:sz w:val="28"/>
          <w:szCs w:val="28"/>
        </w:rPr>
        <w:t>货物送达指定地点并</w:t>
      </w:r>
      <w:r>
        <w:rPr>
          <w:rFonts w:hint="eastAsia" w:ascii="仿宋" w:hAnsi="仿宋" w:eastAsia="仿宋" w:cs="仿宋"/>
          <w:sz w:val="28"/>
          <w:szCs w:val="28"/>
          <w:lang w:val="en-US" w:eastAsia="zh-CN"/>
        </w:rPr>
        <w:t>交付正常使用</w:t>
      </w:r>
      <w:r>
        <w:rPr>
          <w:rFonts w:hint="eastAsia" w:ascii="仿宋" w:hAnsi="仿宋" w:eastAsia="仿宋" w:cs="仿宋"/>
          <w:sz w:val="28"/>
          <w:szCs w:val="28"/>
        </w:rPr>
        <w:t>。</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三、质量标准</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乙方所提供的货物必须符合国家质量、安全、行业标准和原厂出厂标准。</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乙方所提供的货物必须</w:t>
      </w:r>
      <w:r>
        <w:rPr>
          <w:rFonts w:hint="eastAsia" w:ascii="仿宋" w:hAnsi="仿宋" w:eastAsia="仿宋" w:cs="仿宋"/>
          <w:sz w:val="28"/>
          <w:szCs w:val="28"/>
          <w:lang w:eastAsia="zh-CN"/>
        </w:rPr>
        <w:t>符合</w:t>
      </w:r>
      <w:r>
        <w:rPr>
          <w:rFonts w:hint="eastAsia" w:ascii="仿宋" w:hAnsi="仿宋" w:eastAsia="仿宋" w:cs="仿宋"/>
          <w:sz w:val="28"/>
          <w:szCs w:val="28"/>
          <w:lang w:val="en-US" w:eastAsia="zh-CN"/>
        </w:rPr>
        <w:t>供货清单的要求</w:t>
      </w:r>
      <w:r>
        <w:rPr>
          <w:rFonts w:hint="eastAsia" w:ascii="仿宋" w:hAnsi="仿宋" w:eastAsia="仿宋" w:cs="仿宋"/>
          <w:sz w:val="28"/>
          <w:szCs w:val="28"/>
        </w:rPr>
        <w:t>。</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提供的货物必须是全新的、包装</w:t>
      </w:r>
      <w:bookmarkStart w:id="1" w:name="_GoBack"/>
      <w:bookmarkEnd w:id="1"/>
      <w:r>
        <w:rPr>
          <w:rFonts w:hint="eastAsia" w:ascii="仿宋" w:hAnsi="仿宋" w:eastAsia="仿宋" w:cs="仿宋"/>
          <w:sz w:val="28"/>
          <w:szCs w:val="28"/>
        </w:rPr>
        <w:t>完好的产品，并运送到指定交货地点后才能拆封。</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四、验收：</w:t>
      </w:r>
      <w:r>
        <w:rPr>
          <w:rFonts w:hint="eastAsia" w:ascii="仿宋" w:hAnsi="仿宋" w:eastAsia="仿宋" w:cs="仿宋"/>
          <w:sz w:val="28"/>
          <w:szCs w:val="28"/>
          <w:lang w:val="en-US" w:eastAsia="zh-CN"/>
        </w:rPr>
        <w:t>乙方负责</w:t>
      </w:r>
      <w:r>
        <w:rPr>
          <w:rFonts w:hint="eastAsia" w:ascii="仿宋" w:hAnsi="仿宋" w:eastAsia="仿宋" w:cs="仿宋"/>
          <w:sz w:val="28"/>
          <w:szCs w:val="28"/>
        </w:rPr>
        <w:t>设备安装调试</w:t>
      </w:r>
      <w:r>
        <w:rPr>
          <w:rFonts w:hint="eastAsia" w:ascii="仿宋" w:hAnsi="仿宋" w:eastAsia="仿宋" w:cs="仿宋"/>
          <w:sz w:val="28"/>
          <w:szCs w:val="28"/>
          <w:lang w:val="en-US" w:eastAsia="zh-CN"/>
        </w:rPr>
        <w:t>后</w:t>
      </w:r>
      <w:r>
        <w:rPr>
          <w:rFonts w:hint="eastAsia" w:ascii="仿宋" w:hAnsi="仿宋" w:eastAsia="仿宋" w:cs="仿宋"/>
          <w:sz w:val="28"/>
          <w:szCs w:val="28"/>
        </w:rPr>
        <w:t>，由甲方负责组织甲</w:t>
      </w:r>
      <w:r>
        <w:rPr>
          <w:rFonts w:hint="eastAsia" w:ascii="仿宋" w:hAnsi="仿宋" w:eastAsia="仿宋" w:cs="仿宋"/>
          <w:sz w:val="28"/>
          <w:szCs w:val="28"/>
          <w:lang w:val="en-US" w:eastAsia="zh-CN"/>
        </w:rPr>
        <w:t>乙</w:t>
      </w:r>
      <w:r>
        <w:rPr>
          <w:rFonts w:hint="eastAsia" w:ascii="仿宋" w:hAnsi="仿宋" w:eastAsia="仿宋" w:cs="仿宋"/>
          <w:sz w:val="28"/>
          <w:szCs w:val="28"/>
        </w:rPr>
        <w:t>双方验收，甲乙双方必须按本合同所约定的</w:t>
      </w:r>
      <w:r>
        <w:rPr>
          <w:rFonts w:hint="eastAsia" w:ascii="仿宋" w:hAnsi="仿宋" w:eastAsia="仿宋" w:cs="仿宋"/>
          <w:sz w:val="28"/>
          <w:szCs w:val="28"/>
          <w:lang w:val="en-US" w:eastAsia="zh-CN"/>
        </w:rPr>
        <w:t>供货</w:t>
      </w:r>
      <w:r>
        <w:rPr>
          <w:rFonts w:hint="eastAsia" w:ascii="仿宋" w:hAnsi="仿宋" w:eastAsia="仿宋" w:cs="仿宋"/>
          <w:sz w:val="28"/>
          <w:szCs w:val="28"/>
        </w:rPr>
        <w:t>清单及要求对设备的品牌、外观、</w:t>
      </w:r>
      <w:r>
        <w:rPr>
          <w:rFonts w:hint="eastAsia" w:ascii="仿宋" w:hAnsi="仿宋" w:eastAsia="仿宋" w:cs="仿宋"/>
          <w:sz w:val="28"/>
          <w:szCs w:val="28"/>
          <w:lang w:eastAsia="zh-CN"/>
        </w:rPr>
        <w:t>型号、</w:t>
      </w:r>
      <w:r>
        <w:rPr>
          <w:rFonts w:hint="eastAsia" w:ascii="仿宋" w:hAnsi="仿宋" w:eastAsia="仿宋" w:cs="仿宋"/>
          <w:sz w:val="28"/>
          <w:szCs w:val="28"/>
        </w:rPr>
        <w:t>配件及安装调试后的使用性能等进行验收，乙方必须在验收现场提供必要的技术支持。甲方应在乙方发起验收申请的</w:t>
      </w:r>
      <w:r>
        <w:rPr>
          <w:rFonts w:hint="eastAsia" w:ascii="仿宋" w:hAnsi="仿宋" w:eastAsia="仿宋" w:cs="仿宋"/>
          <w:b w:val="0"/>
          <w:bCs w:val="0"/>
          <w:sz w:val="28"/>
          <w:szCs w:val="28"/>
          <w:u w:val="none"/>
        </w:rPr>
        <w:t>七</w:t>
      </w:r>
      <w:r>
        <w:rPr>
          <w:rFonts w:hint="eastAsia" w:ascii="仿宋" w:hAnsi="仿宋" w:eastAsia="仿宋" w:cs="仿宋"/>
          <w:sz w:val="28"/>
          <w:szCs w:val="28"/>
        </w:rPr>
        <w:t>个工作日内组织验收。</w:t>
      </w:r>
    </w:p>
    <w:p>
      <w:pPr>
        <w:pageBreakBefore w:val="0"/>
        <w:kinsoku/>
        <w:wordWrap/>
        <w:overflowPunct/>
        <w:topLinePunct w:val="0"/>
        <w:autoSpaceDE/>
        <w:autoSpaceDN/>
        <w:bidi w:val="0"/>
        <w:adjustRightInd/>
        <w:spacing w:line="440" w:lineRule="exact"/>
        <w:ind w:firstLine="570"/>
        <w:rPr>
          <w:rFonts w:hint="eastAsia" w:ascii="仿宋" w:hAnsi="仿宋" w:eastAsia="仿宋" w:cs="仿宋"/>
          <w:b/>
          <w:sz w:val="28"/>
          <w:szCs w:val="28"/>
        </w:rPr>
      </w:pPr>
      <w:r>
        <w:rPr>
          <w:rFonts w:hint="eastAsia" w:ascii="仿宋" w:hAnsi="仿宋" w:eastAsia="仿宋" w:cs="仿宋"/>
          <w:sz w:val="28"/>
          <w:szCs w:val="28"/>
        </w:rPr>
        <w:t>五、付款条件及方式：</w:t>
      </w:r>
    </w:p>
    <w:p>
      <w:pPr>
        <w:pageBreakBefore w:val="0"/>
        <w:kinsoku/>
        <w:wordWrap/>
        <w:overflowPunct/>
        <w:topLinePunct w:val="0"/>
        <w:autoSpaceDE/>
        <w:autoSpaceDN/>
        <w:bidi w:val="0"/>
        <w:adjustRightInd/>
        <w:snapToGrid w:val="0"/>
        <w:spacing w:line="440" w:lineRule="exact"/>
        <w:ind w:firstLine="560" w:firstLineChars="200"/>
        <w:rPr>
          <w:rFonts w:hint="eastAsia" w:ascii="仿宋" w:hAnsi="仿宋" w:eastAsia="仿宋" w:cs="仿宋"/>
          <w:b w:val="0"/>
          <w:bCs/>
          <w:color w:val="auto"/>
          <w:sz w:val="28"/>
          <w:szCs w:val="28"/>
        </w:rPr>
      </w:pPr>
      <w:r>
        <w:rPr>
          <w:rFonts w:hint="eastAsia" w:ascii="仿宋" w:hAnsi="仿宋" w:eastAsia="仿宋" w:cs="仿宋"/>
          <w:sz w:val="28"/>
          <w:szCs w:val="28"/>
          <w:lang w:val="en-US" w:eastAsia="zh-CN"/>
        </w:rPr>
        <w:t>1.货到安装完毕并</w:t>
      </w:r>
      <w:r>
        <w:rPr>
          <w:rFonts w:hint="eastAsia" w:ascii="仿宋" w:hAnsi="仿宋" w:eastAsia="仿宋" w:cs="仿宋"/>
          <w:sz w:val="28"/>
          <w:szCs w:val="28"/>
        </w:rPr>
        <w:t>验收合格后，由</w:t>
      </w:r>
      <w:r>
        <w:rPr>
          <w:rFonts w:hint="eastAsia" w:ascii="仿宋" w:hAnsi="仿宋" w:eastAsia="仿宋" w:cs="仿宋"/>
          <w:bCs/>
          <w:sz w:val="28"/>
          <w:szCs w:val="28"/>
        </w:rPr>
        <w:t>甲方</w:t>
      </w:r>
      <w:r>
        <w:rPr>
          <w:rFonts w:hint="eastAsia" w:ascii="仿宋" w:hAnsi="仿宋" w:eastAsia="仿宋" w:cs="仿宋"/>
          <w:sz w:val="28"/>
          <w:szCs w:val="28"/>
        </w:rPr>
        <w:t>通知</w:t>
      </w:r>
      <w:r>
        <w:rPr>
          <w:rFonts w:hint="eastAsia" w:ascii="仿宋" w:hAnsi="仿宋" w:eastAsia="仿宋" w:cs="仿宋"/>
          <w:bCs/>
          <w:sz w:val="28"/>
          <w:szCs w:val="28"/>
        </w:rPr>
        <w:t>乙方</w:t>
      </w:r>
      <w:r>
        <w:rPr>
          <w:rFonts w:hint="eastAsia" w:ascii="仿宋" w:hAnsi="仿宋" w:eastAsia="仿宋" w:cs="仿宋"/>
          <w:sz w:val="28"/>
          <w:szCs w:val="28"/>
        </w:rPr>
        <w:t>出具增值税普通发票。凭乙方提供的增值税普通发票和甲方所属</w:t>
      </w:r>
      <w:r>
        <w:rPr>
          <w:rFonts w:hint="eastAsia" w:ascii="仿宋" w:hAnsi="仿宋" w:eastAsia="仿宋" w:cs="仿宋"/>
          <w:bCs/>
          <w:sz w:val="28"/>
          <w:szCs w:val="28"/>
        </w:rPr>
        <w:t>各县（市）分公司提供的实际数量、质量、供货时间的验收资料（商品入库验收单），</w:t>
      </w:r>
      <w:r>
        <w:rPr>
          <w:rFonts w:hint="eastAsia" w:ascii="仿宋" w:hAnsi="仿宋" w:eastAsia="仿宋" w:cs="仿宋"/>
          <w:b w:val="0"/>
          <w:bCs/>
          <w:color w:val="auto"/>
          <w:sz w:val="28"/>
          <w:szCs w:val="28"/>
        </w:rPr>
        <w:t>货物经甲方验收合格后</w:t>
      </w:r>
      <w:r>
        <w:rPr>
          <w:rFonts w:hint="eastAsia" w:ascii="仿宋" w:hAnsi="仿宋" w:eastAsia="仿宋" w:cs="仿宋"/>
          <w:b w:val="0"/>
          <w:bCs/>
          <w:color w:val="auto"/>
          <w:sz w:val="28"/>
          <w:szCs w:val="28"/>
          <w:u w:val="single"/>
          <w:lang w:val="en-US" w:eastAsia="zh-CN"/>
        </w:rPr>
        <w:t>30</w:t>
      </w:r>
      <w:r>
        <w:rPr>
          <w:rFonts w:hint="eastAsia" w:ascii="仿宋" w:hAnsi="仿宋" w:eastAsia="仿宋" w:cs="仿宋"/>
          <w:b w:val="0"/>
          <w:bCs/>
          <w:color w:val="auto"/>
          <w:sz w:val="28"/>
          <w:szCs w:val="28"/>
          <w:lang w:val="en-US" w:eastAsia="zh-CN"/>
        </w:rPr>
        <w:t>个工作</w:t>
      </w:r>
      <w:r>
        <w:rPr>
          <w:rFonts w:hint="eastAsia" w:ascii="仿宋" w:hAnsi="仿宋" w:eastAsia="仿宋" w:cs="仿宋"/>
          <w:b w:val="0"/>
          <w:bCs/>
          <w:color w:val="auto"/>
          <w:sz w:val="28"/>
          <w:szCs w:val="28"/>
        </w:rPr>
        <w:t>日内，甲方凭有关验收手续</w:t>
      </w:r>
      <w:r>
        <w:rPr>
          <w:rFonts w:hint="eastAsia" w:ascii="仿宋" w:hAnsi="仿宋" w:eastAsia="仿宋" w:cs="仿宋"/>
          <w:b w:val="0"/>
          <w:bCs/>
          <w:color w:val="auto"/>
          <w:sz w:val="28"/>
          <w:szCs w:val="28"/>
          <w:u w:val="single"/>
          <w:lang w:eastAsia="zh-CN"/>
        </w:rPr>
        <w:t>按合同价款的</w:t>
      </w:r>
      <w:r>
        <w:rPr>
          <w:rFonts w:hint="eastAsia" w:ascii="仿宋" w:hAnsi="仿宋" w:eastAsia="仿宋" w:cs="仿宋"/>
          <w:b w:val="0"/>
          <w:bCs/>
          <w:color w:val="auto"/>
          <w:sz w:val="28"/>
          <w:szCs w:val="28"/>
          <w:u w:val="single"/>
          <w:lang w:val="en-US" w:eastAsia="zh-CN"/>
        </w:rPr>
        <w:t>90%</w:t>
      </w:r>
      <w:r>
        <w:rPr>
          <w:rFonts w:hint="eastAsia" w:ascii="仿宋" w:hAnsi="仿宋" w:eastAsia="仿宋" w:cs="仿宋"/>
          <w:b w:val="0"/>
          <w:bCs/>
          <w:color w:val="auto"/>
          <w:sz w:val="28"/>
          <w:szCs w:val="28"/>
        </w:rPr>
        <w:t>以银行转账形式支付</w:t>
      </w:r>
      <w:r>
        <w:rPr>
          <w:rFonts w:hint="eastAsia" w:ascii="仿宋" w:hAnsi="仿宋" w:eastAsia="仿宋" w:cs="仿宋"/>
          <w:b w:val="0"/>
          <w:bCs/>
          <w:color w:val="auto"/>
          <w:sz w:val="28"/>
          <w:szCs w:val="28"/>
          <w:lang w:eastAsia="zh-CN"/>
        </w:rPr>
        <w:t>货</w:t>
      </w:r>
      <w:r>
        <w:rPr>
          <w:rFonts w:hint="eastAsia" w:ascii="仿宋" w:hAnsi="仿宋" w:eastAsia="仿宋" w:cs="仿宋"/>
          <w:b w:val="0"/>
          <w:bCs/>
          <w:color w:val="auto"/>
          <w:sz w:val="28"/>
          <w:szCs w:val="28"/>
        </w:rPr>
        <w:t>款。</w:t>
      </w:r>
      <w:r>
        <w:rPr>
          <w:rFonts w:hint="eastAsia" w:ascii="仿宋" w:hAnsi="仿宋" w:eastAsia="仿宋" w:cs="仿宋"/>
          <w:b w:val="0"/>
          <w:bCs/>
          <w:color w:val="auto"/>
          <w:sz w:val="28"/>
          <w:szCs w:val="28"/>
          <w:lang w:eastAsia="zh-CN"/>
        </w:rPr>
        <w:t>剩余的</w:t>
      </w:r>
      <w:r>
        <w:rPr>
          <w:rFonts w:hint="eastAsia" w:ascii="仿宋" w:hAnsi="仿宋" w:eastAsia="仿宋" w:cs="仿宋"/>
          <w:b w:val="0"/>
          <w:bCs/>
          <w:color w:val="auto"/>
          <w:sz w:val="28"/>
          <w:szCs w:val="28"/>
          <w:lang w:val="en-US" w:eastAsia="zh-CN"/>
        </w:rPr>
        <w:t>10%的货款作为质量保证金，以验收日期起6个月内，无质量问题，再予以支付。</w:t>
      </w:r>
    </w:p>
    <w:p>
      <w:pPr>
        <w:pageBreakBefore w:val="0"/>
        <w:kinsoku/>
        <w:wordWrap/>
        <w:overflowPunct/>
        <w:topLinePunct w:val="0"/>
        <w:autoSpaceDE/>
        <w:autoSpaceDN/>
        <w:bidi w:val="0"/>
        <w:adjustRightInd/>
        <w:snapToGrid w:val="0"/>
        <w:spacing w:line="440" w:lineRule="exact"/>
        <w:ind w:firstLine="560" w:firstLineChars="200"/>
        <w:jc w:val="left"/>
        <w:rPr>
          <w:rFonts w:hint="eastAsia" w:ascii="仿宋" w:hAnsi="仿宋" w:eastAsia="仿宋" w:cs="仿宋"/>
          <w:bCs/>
          <w:color w:val="auto"/>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乙方不能提供甲</w:t>
      </w:r>
      <w:r>
        <w:rPr>
          <w:rFonts w:hint="eastAsia" w:ascii="仿宋" w:hAnsi="仿宋" w:eastAsia="仿宋" w:cs="仿宋"/>
          <w:bCs/>
          <w:color w:val="auto"/>
          <w:sz w:val="28"/>
          <w:szCs w:val="28"/>
        </w:rPr>
        <w:t>方公司要求提供的正式发票的，甲方有权拒付货款。</w:t>
      </w:r>
    </w:p>
    <w:p>
      <w:pPr>
        <w:pageBreakBefore w:val="0"/>
        <w:kinsoku/>
        <w:wordWrap/>
        <w:overflowPunct/>
        <w:topLinePunct w:val="0"/>
        <w:autoSpaceDE/>
        <w:autoSpaceDN/>
        <w:bidi w:val="0"/>
        <w:adjustRightInd/>
        <w:snapToGrid w:val="0"/>
        <w:spacing w:line="440" w:lineRule="exact"/>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3.甲方付款前，乙方应先提交下列单证和文件：发票原件一份（发票上注明品牌、规格、数量、单价等内容）；已履行完相应义务的证明材料。</w:t>
      </w:r>
    </w:p>
    <w:p>
      <w:pPr>
        <w:pageBreakBefore w:val="0"/>
        <w:kinsoku/>
        <w:wordWrap/>
        <w:overflowPunct/>
        <w:topLinePunct w:val="0"/>
        <w:autoSpaceDE/>
        <w:autoSpaceDN/>
        <w:bidi w:val="0"/>
        <w:adjustRightInd/>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支付方式：双方同</w:t>
      </w:r>
      <w:r>
        <w:rPr>
          <w:rFonts w:hint="eastAsia" w:ascii="仿宋" w:hAnsi="仿宋" w:eastAsia="仿宋" w:cs="仿宋"/>
          <w:sz w:val="28"/>
          <w:szCs w:val="28"/>
        </w:rPr>
        <w:t>意以银行转账方式将本合同</w:t>
      </w:r>
      <w:r>
        <w:rPr>
          <w:rFonts w:hint="eastAsia" w:ascii="仿宋" w:hAnsi="仿宋" w:eastAsia="仿宋" w:cs="仿宋"/>
          <w:sz w:val="28"/>
          <w:szCs w:val="28"/>
          <w:lang w:val="en-US" w:eastAsia="zh-CN"/>
        </w:rPr>
        <w:t>价款</w:t>
      </w:r>
      <w:r>
        <w:rPr>
          <w:rFonts w:hint="eastAsia" w:ascii="仿宋" w:hAnsi="仿宋" w:eastAsia="仿宋" w:cs="仿宋"/>
          <w:sz w:val="28"/>
          <w:szCs w:val="28"/>
        </w:rPr>
        <w:t>，支付至乙方指定的如下银行账户：</w:t>
      </w:r>
    </w:p>
    <w:p>
      <w:pPr>
        <w:pageBreakBefore w:val="0"/>
        <w:kinsoku/>
        <w:wordWrap/>
        <w:overflowPunct/>
        <w:topLinePunct w:val="0"/>
        <w:autoSpaceDE/>
        <w:autoSpaceDN/>
        <w:bidi w:val="0"/>
        <w:adjustRightInd/>
        <w:spacing w:line="440" w:lineRule="exact"/>
        <w:ind w:firstLine="630"/>
        <w:rPr>
          <w:rFonts w:hint="eastAsia" w:ascii="仿宋" w:hAnsi="仿宋" w:eastAsia="仿宋" w:cs="仿宋"/>
          <w:sz w:val="28"/>
          <w:szCs w:val="28"/>
          <w:u w:val="single"/>
        </w:rPr>
      </w:pPr>
      <w:r>
        <w:rPr>
          <w:rFonts w:hint="eastAsia" w:ascii="仿宋" w:hAnsi="仿宋" w:eastAsia="仿宋" w:cs="仿宋"/>
          <w:sz w:val="28"/>
          <w:szCs w:val="28"/>
        </w:rPr>
        <w:t>户名：</w:t>
      </w:r>
      <w:r>
        <w:rPr>
          <w:rFonts w:hint="eastAsia" w:ascii="仿宋" w:hAnsi="仿宋" w:eastAsia="仿宋" w:cs="仿宋"/>
          <w:sz w:val="28"/>
          <w:szCs w:val="28"/>
          <w:u w:val="single"/>
        </w:rPr>
        <w:t xml:space="preserve">                                  </w:t>
      </w:r>
    </w:p>
    <w:p>
      <w:pPr>
        <w:pageBreakBefore w:val="0"/>
        <w:kinsoku/>
        <w:wordWrap/>
        <w:overflowPunct/>
        <w:topLinePunct w:val="0"/>
        <w:autoSpaceDE/>
        <w:autoSpaceDN/>
        <w:bidi w:val="0"/>
        <w:adjustRightInd/>
        <w:spacing w:line="440" w:lineRule="exact"/>
        <w:ind w:firstLine="630"/>
        <w:rPr>
          <w:rFonts w:hint="eastAsia"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pageBreakBefore w:val="0"/>
        <w:kinsoku/>
        <w:wordWrap/>
        <w:overflowPunct/>
        <w:topLinePunct w:val="0"/>
        <w:autoSpaceDE/>
        <w:autoSpaceDN/>
        <w:bidi w:val="0"/>
        <w:adjustRightInd/>
        <w:spacing w:line="440" w:lineRule="exact"/>
        <w:ind w:firstLine="630"/>
        <w:rPr>
          <w:rFonts w:hint="eastAsia"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pageBreakBefore w:val="0"/>
        <w:kinsoku/>
        <w:wordWrap/>
        <w:overflowPunct/>
        <w:topLinePunct w:val="0"/>
        <w:autoSpaceDE/>
        <w:autoSpaceDN/>
        <w:bidi w:val="0"/>
        <w:adjustRightInd/>
        <w:spacing w:line="440" w:lineRule="exact"/>
        <w:ind w:firstLine="630"/>
        <w:rPr>
          <w:rFonts w:hint="eastAsia" w:ascii="仿宋" w:hAnsi="仿宋" w:eastAsia="仿宋" w:cs="仿宋"/>
          <w:sz w:val="28"/>
          <w:szCs w:val="28"/>
        </w:rPr>
      </w:pPr>
      <w:r>
        <w:rPr>
          <w:rFonts w:hint="eastAsia" w:ascii="仿宋" w:hAnsi="仿宋" w:eastAsia="仿宋" w:cs="仿宋"/>
          <w:sz w:val="28"/>
          <w:szCs w:val="28"/>
          <w:lang w:val="en-US" w:eastAsia="zh-CN"/>
        </w:rPr>
        <w:t>5.如</w:t>
      </w:r>
      <w:r>
        <w:rPr>
          <w:rFonts w:hint="eastAsia" w:ascii="仿宋" w:hAnsi="仿宋" w:eastAsia="仿宋" w:cs="仿宋"/>
          <w:sz w:val="28"/>
          <w:szCs w:val="28"/>
        </w:rPr>
        <w:t>乙方</w:t>
      </w:r>
      <w:r>
        <w:rPr>
          <w:rFonts w:hint="eastAsia" w:ascii="仿宋" w:hAnsi="仿宋" w:eastAsia="仿宋" w:cs="仿宋"/>
          <w:sz w:val="28"/>
          <w:szCs w:val="28"/>
          <w:lang w:eastAsia="zh-CN"/>
        </w:rPr>
        <w:t>有</w:t>
      </w:r>
      <w:r>
        <w:rPr>
          <w:rFonts w:hint="eastAsia" w:ascii="仿宋" w:hAnsi="仿宋" w:eastAsia="仿宋" w:cs="仿宋"/>
          <w:sz w:val="28"/>
          <w:szCs w:val="28"/>
        </w:rPr>
        <w:t>违约</w:t>
      </w:r>
      <w:r>
        <w:rPr>
          <w:rFonts w:hint="eastAsia" w:ascii="仿宋" w:hAnsi="仿宋" w:eastAsia="仿宋" w:cs="仿宋"/>
          <w:sz w:val="28"/>
          <w:szCs w:val="28"/>
          <w:lang w:eastAsia="zh-CN"/>
        </w:rPr>
        <w:t>行为，违约</w:t>
      </w:r>
      <w:r>
        <w:rPr>
          <w:rFonts w:hint="eastAsia" w:ascii="仿宋" w:hAnsi="仿宋" w:eastAsia="仿宋" w:cs="仿宋"/>
          <w:sz w:val="28"/>
          <w:szCs w:val="28"/>
        </w:rPr>
        <w:t>金及赔偿金，甲方可以在合同款项中直接扣除。</w:t>
      </w:r>
    </w:p>
    <w:p>
      <w:pPr>
        <w:pageBreakBefore w:val="0"/>
        <w:kinsoku/>
        <w:wordWrap/>
        <w:overflowPunct/>
        <w:topLinePunct w:val="0"/>
        <w:autoSpaceDE/>
        <w:autoSpaceDN/>
        <w:bidi w:val="0"/>
        <w:adjustRightInd/>
        <w:spacing w:line="440" w:lineRule="exact"/>
        <w:ind w:firstLine="63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 本合同项下的货币币种为人民币。</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六、服务承诺</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乙方对甲方所采购的设备按国家有关规定进行保修，保修期内非因操作不当造成需要更换零配件及设备的由乙方负责包修、包换。乙方可以根据自身情况提供更优惠的保修承诺。</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在质量保证期内，乙方对维修响应的时间不得超过八小时并在产品安装、常规使用方面为甲方提供免费培训。</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七、</w:t>
      </w:r>
      <w:r>
        <w:rPr>
          <w:rFonts w:hint="eastAsia" w:ascii="仿宋" w:hAnsi="仿宋" w:eastAsia="仿宋" w:cs="仿宋"/>
          <w:sz w:val="28"/>
          <w:szCs w:val="28"/>
        </w:rPr>
        <w:t>违约责任</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甲方无正当理由拒绝接收货物的，应承担因此给乙方造成的损失。</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乙方所交的商品、规格不符合</w:t>
      </w:r>
      <w:r>
        <w:rPr>
          <w:rFonts w:hint="eastAsia" w:ascii="仿宋" w:hAnsi="仿宋" w:eastAsia="仿宋" w:cs="仿宋"/>
          <w:sz w:val="28"/>
          <w:szCs w:val="28"/>
          <w:lang w:val="en-US" w:eastAsia="zh-CN"/>
        </w:rPr>
        <w:t>供货清单</w:t>
      </w:r>
      <w:r>
        <w:rPr>
          <w:rFonts w:hint="eastAsia" w:ascii="仿宋" w:hAnsi="仿宋" w:eastAsia="仿宋" w:cs="仿宋"/>
          <w:sz w:val="28"/>
          <w:szCs w:val="28"/>
        </w:rPr>
        <w:t>的</w:t>
      </w:r>
      <w:r>
        <w:rPr>
          <w:rFonts w:hint="eastAsia" w:ascii="仿宋" w:hAnsi="仿宋" w:eastAsia="仿宋" w:cs="仿宋"/>
          <w:sz w:val="28"/>
          <w:szCs w:val="28"/>
          <w:lang w:val="en-US" w:eastAsia="zh-CN"/>
        </w:rPr>
        <w:t>要求</w:t>
      </w:r>
      <w:r>
        <w:rPr>
          <w:rFonts w:hint="eastAsia" w:ascii="仿宋" w:hAnsi="仿宋" w:eastAsia="仿宋" w:cs="仿宋"/>
          <w:sz w:val="28"/>
          <w:szCs w:val="28"/>
        </w:rPr>
        <w:t>，</w:t>
      </w:r>
      <w:r>
        <w:rPr>
          <w:rFonts w:hint="eastAsia" w:ascii="仿宋" w:hAnsi="仿宋" w:eastAsia="仿宋" w:cs="仿宋"/>
          <w:sz w:val="28"/>
          <w:szCs w:val="28"/>
          <w:lang w:val="en-US" w:eastAsia="zh-CN"/>
        </w:rPr>
        <w:t>甲方</w:t>
      </w:r>
      <w:r>
        <w:rPr>
          <w:rFonts w:hint="eastAsia" w:ascii="仿宋" w:hAnsi="仿宋" w:eastAsia="仿宋" w:cs="仿宋"/>
          <w:sz w:val="28"/>
          <w:szCs w:val="28"/>
        </w:rPr>
        <w:t>有权拒收。由此造成甲方损失的，乙方应予赔偿。</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逾期交货违约责任：乙方逾期交货的，应按照逾期交货金额</w:t>
      </w:r>
      <w:r>
        <w:rPr>
          <w:rFonts w:hint="eastAsia" w:ascii="仿宋" w:hAnsi="仿宋" w:eastAsia="仿宋" w:cs="仿宋"/>
          <w:sz w:val="28"/>
          <w:szCs w:val="28"/>
          <w:u w:val="none"/>
        </w:rPr>
        <w:t>每日200</w:t>
      </w:r>
      <w:r>
        <w:rPr>
          <w:rFonts w:hint="eastAsia" w:ascii="仿宋" w:hAnsi="仿宋" w:eastAsia="仿宋" w:cs="仿宋"/>
          <w:sz w:val="28"/>
          <w:szCs w:val="28"/>
        </w:rPr>
        <w:t>元计算，向甲方支付逾期交货的违约金，并赔偿甲方因此所</w:t>
      </w:r>
      <w:r>
        <w:rPr>
          <w:rFonts w:hint="eastAsia" w:ascii="仿宋" w:hAnsi="仿宋" w:eastAsia="仿宋" w:cs="仿宋"/>
          <w:sz w:val="28"/>
          <w:szCs w:val="28"/>
          <w:lang w:eastAsia="zh-CN"/>
        </w:rPr>
        <w:t>造成</w:t>
      </w:r>
      <w:r>
        <w:rPr>
          <w:rFonts w:hint="eastAsia" w:ascii="仿宋" w:hAnsi="仿宋" w:eastAsia="仿宋" w:cs="仿宋"/>
          <w:sz w:val="28"/>
          <w:szCs w:val="28"/>
        </w:rPr>
        <w:t>的损失。如逾期超过</w:t>
      </w:r>
      <w:r>
        <w:rPr>
          <w:rFonts w:hint="eastAsia" w:ascii="仿宋" w:hAnsi="仿宋" w:eastAsia="仿宋" w:cs="仿宋"/>
          <w:sz w:val="28"/>
          <w:szCs w:val="28"/>
          <w:u w:val="none"/>
        </w:rPr>
        <w:t>15</w:t>
      </w:r>
      <w:r>
        <w:rPr>
          <w:rFonts w:hint="eastAsia" w:ascii="仿宋" w:hAnsi="仿宋" w:eastAsia="仿宋" w:cs="仿宋"/>
          <w:sz w:val="28"/>
          <w:szCs w:val="28"/>
        </w:rPr>
        <w:t>日，甲方有权解除合同，就</w:t>
      </w:r>
      <w:r>
        <w:rPr>
          <w:rFonts w:hint="eastAsia" w:ascii="仿宋" w:hAnsi="仿宋" w:eastAsia="仿宋" w:cs="仿宋"/>
          <w:sz w:val="28"/>
          <w:szCs w:val="28"/>
          <w:lang w:eastAsia="zh-CN"/>
        </w:rPr>
        <w:t>造成</w:t>
      </w:r>
      <w:r>
        <w:rPr>
          <w:rFonts w:hint="eastAsia" w:ascii="仿宋" w:hAnsi="仿宋" w:eastAsia="仿宋" w:cs="仿宋"/>
          <w:sz w:val="28"/>
          <w:szCs w:val="28"/>
        </w:rPr>
        <w:t>的损失向乙方索赔</w:t>
      </w:r>
      <w:r>
        <w:rPr>
          <w:rFonts w:hint="eastAsia" w:ascii="仿宋" w:hAnsi="仿宋" w:eastAsia="仿宋" w:cs="仿宋"/>
          <w:sz w:val="28"/>
          <w:szCs w:val="28"/>
          <w:lang w:eastAsia="zh-CN"/>
        </w:rPr>
        <w:t>合同价款的</w:t>
      </w:r>
      <w:r>
        <w:rPr>
          <w:rFonts w:hint="eastAsia" w:ascii="仿宋" w:hAnsi="仿宋" w:eastAsia="仿宋" w:cs="仿宋"/>
          <w:sz w:val="28"/>
          <w:szCs w:val="28"/>
          <w:lang w:val="en-US" w:eastAsia="zh-CN"/>
        </w:rPr>
        <w:t>50%</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因不可抗力造成违约的，可以免责。</w:t>
      </w:r>
    </w:p>
    <w:p>
      <w:pPr>
        <w:pageBreakBefore w:val="0"/>
        <w:kinsoku/>
        <w:wordWrap/>
        <w:overflowPunct/>
        <w:topLinePunct w:val="0"/>
        <w:autoSpaceDE/>
        <w:autoSpaceDN/>
        <w:bidi w:val="0"/>
        <w:adjustRightInd/>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八</w:t>
      </w:r>
      <w:r>
        <w:rPr>
          <w:rFonts w:hint="eastAsia" w:ascii="仿宋" w:hAnsi="仿宋" w:eastAsia="仿宋" w:cs="仿宋"/>
          <w:sz w:val="28"/>
          <w:szCs w:val="28"/>
        </w:rPr>
        <w:t>、合同的相关事项：有关本次公开选取供货商竞价须知及相关的承诺函件等均视为本合同不可分割的部分。</w:t>
      </w:r>
    </w:p>
    <w:p>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w:t>
      </w:r>
      <w:r>
        <w:rPr>
          <w:rFonts w:hint="eastAsia" w:ascii="仿宋" w:hAnsi="仿宋" w:eastAsia="仿宋" w:cs="仿宋"/>
          <w:kern w:val="10"/>
          <w:sz w:val="30"/>
          <w:szCs w:val="30"/>
        </w:rPr>
        <w:t>因履行本合同发生争执，由争议双方协商解决，协商不成的，依法向甲方所在地的人民法院起诉。</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十、本合同未尽事宜由甲、乙双方另行协商。</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lang w:eastAsia="zh-CN"/>
        </w:rPr>
        <w:t>三</w:t>
      </w:r>
      <w:r>
        <w:rPr>
          <w:rFonts w:hint="eastAsia" w:ascii="仿宋" w:hAnsi="仿宋" w:eastAsia="仿宋" w:cs="仿宋"/>
          <w:sz w:val="28"/>
          <w:szCs w:val="28"/>
        </w:rPr>
        <w:t>份，甲</w:t>
      </w:r>
      <w:r>
        <w:rPr>
          <w:rFonts w:hint="eastAsia" w:ascii="仿宋" w:hAnsi="仿宋" w:eastAsia="仿宋" w:cs="仿宋"/>
          <w:sz w:val="28"/>
          <w:szCs w:val="28"/>
          <w:lang w:eastAsia="zh-CN"/>
        </w:rPr>
        <w:t>方执二份，</w:t>
      </w:r>
      <w:r>
        <w:rPr>
          <w:rFonts w:hint="eastAsia" w:ascii="仿宋" w:hAnsi="仿宋" w:eastAsia="仿宋" w:cs="仿宋"/>
          <w:sz w:val="28"/>
          <w:szCs w:val="28"/>
        </w:rPr>
        <w:t>乙</w:t>
      </w:r>
      <w:r>
        <w:rPr>
          <w:rFonts w:hint="eastAsia" w:ascii="仿宋" w:hAnsi="仿宋" w:eastAsia="仿宋" w:cs="仿宋"/>
          <w:sz w:val="28"/>
          <w:szCs w:val="28"/>
          <w:lang w:eastAsia="zh-CN"/>
        </w:rPr>
        <w:t>方</w:t>
      </w:r>
      <w:r>
        <w:rPr>
          <w:rFonts w:hint="eastAsia" w:ascii="仿宋" w:hAnsi="仿宋" w:eastAsia="仿宋" w:cs="仿宋"/>
          <w:sz w:val="28"/>
          <w:szCs w:val="28"/>
        </w:rPr>
        <w:t>执一份</w:t>
      </w:r>
      <w:r>
        <w:rPr>
          <w:rFonts w:hint="eastAsia" w:ascii="仿宋" w:hAnsi="仿宋" w:eastAsia="仿宋" w:cs="仿宋"/>
          <w:sz w:val="28"/>
          <w:szCs w:val="28"/>
          <w:lang w:eastAsia="zh-CN"/>
        </w:rPr>
        <w:t>，</w:t>
      </w:r>
      <w:r>
        <w:rPr>
          <w:rFonts w:hint="eastAsia" w:ascii="仿宋" w:hAnsi="仿宋" w:eastAsia="仿宋" w:cs="仿宋"/>
          <w:sz w:val="28"/>
          <w:szCs w:val="28"/>
        </w:rPr>
        <w:t>经甲、乙双方签字并盖章后即时生效。</w:t>
      </w:r>
    </w:p>
    <w:p>
      <w:pPr>
        <w:pageBreakBefore w:val="0"/>
        <w:kinsoku/>
        <w:wordWrap/>
        <w:overflowPunct/>
        <w:topLinePunct w:val="0"/>
        <w:autoSpaceDE/>
        <w:autoSpaceDN/>
        <w:bidi w:val="0"/>
        <w:adjustRightInd/>
        <w:spacing w:line="440" w:lineRule="exact"/>
        <w:ind w:firstLine="560" w:firstLineChars="200"/>
        <w:rPr>
          <w:rFonts w:hint="eastAsia" w:ascii="仿宋" w:hAnsi="仿宋" w:eastAsia="仿宋" w:cs="仿宋"/>
          <w:sz w:val="28"/>
          <w:szCs w:val="28"/>
        </w:rPr>
      </w:pPr>
    </w:p>
    <w:p>
      <w:pPr>
        <w:pageBreakBefore w:val="0"/>
        <w:kinsoku/>
        <w:wordWrap/>
        <w:overflowPunct/>
        <w:topLinePunct w:val="0"/>
        <w:autoSpaceDE/>
        <w:autoSpaceDN/>
        <w:bidi w:val="0"/>
        <w:adjustRightInd/>
        <w:spacing w:line="440" w:lineRule="exact"/>
        <w:rPr>
          <w:rFonts w:hint="eastAsia" w:ascii="仿宋" w:hAnsi="仿宋" w:eastAsia="仿宋" w:cs="仿宋"/>
          <w:sz w:val="28"/>
          <w:szCs w:val="28"/>
        </w:rPr>
      </w:pPr>
      <w:r>
        <w:rPr>
          <w:rFonts w:hint="eastAsia" w:ascii="仿宋" w:hAnsi="仿宋" w:eastAsia="仿宋" w:cs="仿宋"/>
          <w:sz w:val="28"/>
          <w:szCs w:val="28"/>
        </w:rPr>
        <w:t>甲方（公章）：</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乙方（公章）： </w:t>
      </w:r>
    </w:p>
    <w:p>
      <w:pPr>
        <w:pageBreakBefore w:val="0"/>
        <w:kinsoku/>
        <w:wordWrap/>
        <w:overflowPunct/>
        <w:topLinePunct w:val="0"/>
        <w:autoSpaceDE/>
        <w:autoSpaceDN/>
        <w:bidi w:val="0"/>
        <w:adjustRightInd/>
        <w:spacing w:line="440" w:lineRule="exact"/>
        <w:ind w:left="4560" w:hanging="5320" w:hangingChars="1900"/>
        <w:rPr>
          <w:rFonts w:hint="eastAsia" w:ascii="仿宋" w:hAnsi="仿宋" w:eastAsia="仿宋" w:cs="仿宋"/>
          <w:sz w:val="28"/>
          <w:szCs w:val="28"/>
        </w:rPr>
      </w:pPr>
      <w:r>
        <w:rPr>
          <w:rFonts w:hint="eastAsia" w:ascii="仿宋" w:hAnsi="仿宋" w:eastAsia="仿宋" w:cs="仿宋"/>
          <w:sz w:val="28"/>
          <w:szCs w:val="28"/>
        </w:rPr>
        <w:t xml:space="preserve">单位地址：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地址：</w:t>
      </w:r>
    </w:p>
    <w:p>
      <w:pPr>
        <w:pageBreakBefore w:val="0"/>
        <w:kinsoku/>
        <w:wordWrap/>
        <w:overflowPunct/>
        <w:topLinePunct w:val="0"/>
        <w:autoSpaceDE/>
        <w:autoSpaceDN/>
        <w:bidi w:val="0"/>
        <w:adjustRightInd/>
        <w:spacing w:line="440" w:lineRule="exact"/>
        <w:ind w:left="4560" w:hanging="5320" w:hangingChars="1900"/>
        <w:rPr>
          <w:rFonts w:hint="eastAsia" w:ascii="仿宋" w:hAnsi="仿宋" w:eastAsia="仿宋" w:cs="仿宋"/>
          <w:sz w:val="28"/>
          <w:szCs w:val="28"/>
        </w:rPr>
      </w:pPr>
    </w:p>
    <w:p>
      <w:pPr>
        <w:pageBreakBefore w:val="0"/>
        <w:kinsoku/>
        <w:wordWrap/>
        <w:overflowPunct/>
        <w:topLinePunct w:val="0"/>
        <w:autoSpaceDE/>
        <w:autoSpaceDN/>
        <w:bidi w:val="0"/>
        <w:adjustRightInd/>
        <w:spacing w:line="440" w:lineRule="exact"/>
        <w:rPr>
          <w:rFonts w:hint="eastAsia" w:ascii="仿宋" w:hAnsi="仿宋" w:eastAsia="仿宋" w:cs="仿宋"/>
          <w:sz w:val="28"/>
          <w:szCs w:val="28"/>
        </w:rPr>
      </w:pPr>
      <w:r>
        <w:rPr>
          <w:rFonts w:hint="eastAsia" w:ascii="仿宋" w:hAnsi="仿宋" w:eastAsia="仿宋" w:cs="仿宋"/>
          <w:sz w:val="28"/>
          <w:szCs w:val="28"/>
        </w:rPr>
        <w:t>法定代表人（签字或盖章）：</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法定代表人（签字或盖章）：</w:t>
      </w:r>
    </w:p>
    <w:p>
      <w:pPr>
        <w:pageBreakBefore w:val="0"/>
        <w:kinsoku/>
        <w:wordWrap/>
        <w:overflowPunct/>
        <w:topLinePunct w:val="0"/>
        <w:autoSpaceDE/>
        <w:autoSpaceDN/>
        <w:bidi w:val="0"/>
        <w:adjustRightInd/>
        <w:spacing w:line="440" w:lineRule="exact"/>
        <w:rPr>
          <w:rFonts w:hint="eastAsia" w:ascii="仿宋" w:hAnsi="仿宋" w:eastAsia="仿宋" w:cs="仿宋"/>
          <w:sz w:val="28"/>
          <w:szCs w:val="28"/>
        </w:rPr>
      </w:pPr>
      <w:r>
        <w:rPr>
          <w:rFonts w:hint="eastAsia" w:ascii="仿宋" w:hAnsi="仿宋" w:eastAsia="仿宋" w:cs="仿宋"/>
          <w:sz w:val="28"/>
          <w:szCs w:val="28"/>
        </w:rPr>
        <w:t xml:space="preserve">  </w:t>
      </w:r>
    </w:p>
    <w:p>
      <w:pPr>
        <w:pageBreakBefore w:val="0"/>
        <w:kinsoku/>
        <w:wordWrap/>
        <w:overflowPunct/>
        <w:topLinePunct w:val="0"/>
        <w:autoSpaceDE/>
        <w:autoSpaceDN/>
        <w:bidi w:val="0"/>
        <w:adjustRightInd/>
        <w:spacing w:line="440" w:lineRule="exact"/>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联系人：</w:t>
      </w:r>
    </w:p>
    <w:p>
      <w:pPr>
        <w:pageBreakBefore w:val="0"/>
        <w:kinsoku/>
        <w:wordWrap/>
        <w:overflowPunct/>
        <w:topLinePunct w:val="0"/>
        <w:autoSpaceDE/>
        <w:autoSpaceDN/>
        <w:bidi w:val="0"/>
        <w:adjustRightInd/>
        <w:spacing w:line="440" w:lineRule="exact"/>
        <w:ind w:right="554" w:rightChars="264"/>
        <w:rPr>
          <w:rFonts w:hint="eastAsia"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rPr>
        <w:tab/>
      </w:r>
      <w:r>
        <w:rPr>
          <w:rFonts w:hint="eastAsia" w:ascii="仿宋" w:hAnsi="仿宋" w:eastAsia="仿宋" w:cs="仿宋"/>
          <w:sz w:val="28"/>
          <w:szCs w:val="28"/>
        </w:rPr>
        <w:t xml:space="preserve">                          联系电话：</w:t>
      </w:r>
    </w:p>
    <w:p>
      <w:pPr>
        <w:pageBreakBefore w:val="0"/>
        <w:tabs>
          <w:tab w:val="left" w:pos="4980"/>
        </w:tabs>
        <w:kinsoku/>
        <w:wordWrap/>
        <w:overflowPunct/>
        <w:topLinePunct w:val="0"/>
        <w:autoSpaceDE/>
        <w:autoSpaceDN/>
        <w:bidi w:val="0"/>
        <w:adjustRightInd/>
        <w:spacing w:line="440" w:lineRule="exact"/>
        <w:ind w:right="42" w:rightChars="20"/>
        <w:rPr>
          <w:rFonts w:hint="eastAsia" w:ascii="仿宋" w:hAnsi="仿宋" w:eastAsia="仿宋" w:cs="仿宋"/>
          <w:color w:val="0000FF"/>
          <w:kern w:val="0"/>
          <w:sz w:val="28"/>
          <w:szCs w:val="28"/>
        </w:rPr>
      </w:pPr>
      <w:r>
        <w:rPr>
          <w:rFonts w:hint="eastAsia" w:ascii="仿宋" w:hAnsi="仿宋" w:eastAsia="仿宋" w:cs="仿宋"/>
          <w:sz w:val="28"/>
          <w:szCs w:val="28"/>
          <w:lang w:val="en-US" w:eastAsia="zh-CN"/>
        </w:rPr>
        <w:t xml:space="preserve">签订        </w:t>
      </w: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年   月   日  </w:t>
      </w:r>
    </w:p>
    <w:p/>
    <w:sectPr>
      <w:footerReference r:id="rId3" w:type="default"/>
      <w:pgSz w:w="11906" w:h="16838"/>
      <w:pgMar w:top="1701" w:right="1135" w:bottom="1701" w:left="1111"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C22EB"/>
    <w:rsid w:val="412C2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Strong"/>
    <w:basedOn w:val="5"/>
    <w:qFormat/>
    <w:uiPriority w:val="22"/>
    <w:rPr>
      <w:b/>
      <w:bCs/>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2022-02-10T00:25:00Z</dcterms:created>
  <dc:creator>Jacky</dc:creator>
  <cp:lastModifiedBy>Jacky</cp:lastModifiedBy>
  <dcterms:modified xsi:type="dcterms:W3CDTF">2022-02-10T00:26:16Z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