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val="en-US" w:eastAsia="zh-CN"/>
        </w:rPr>
        <w:t>GKJC20220110-2</w:t>
      </w:r>
      <w:r>
        <w:rPr>
          <w:rFonts w:hint="eastAsia" w:ascii="宋体" w:hAnsi="宋体" w:cs="宋体"/>
          <w:b/>
          <w:bCs/>
          <w:color w:val="000000"/>
          <w:kern w:val="0"/>
          <w:sz w:val="28"/>
          <w:szCs w:val="28"/>
          <w:shd w:val="clear" w:color="auto" w:fill="FFFFFF"/>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lang w:eastAsia="zh-CN"/>
        </w:rPr>
        <w:t>年</w:t>
      </w:r>
      <w:r>
        <w:rPr>
          <w:rFonts w:hint="eastAsia" w:ascii="宋体" w:hAnsi="宋体" w:cs="宋体"/>
          <w:color w:val="0000FF"/>
          <w:kern w:val="0"/>
          <w:sz w:val="24"/>
          <w:szCs w:val="24"/>
          <w:shd w:val="clear" w:color="auto" w:fill="FFFFFF"/>
          <w:lang w:val="en-US" w:eastAsia="zh-CN"/>
        </w:rPr>
        <w:t>1月10日</w:t>
      </w:r>
      <w:r>
        <w:rPr>
          <w:rFonts w:hint="eastAsia" w:ascii="宋体" w:hAnsi="宋体" w:cs="宋体"/>
          <w:color w:val="0000FF"/>
          <w:kern w:val="0"/>
          <w:sz w:val="24"/>
          <w:szCs w:val="24"/>
          <w:shd w:val="clear" w:color="auto" w:fill="FFFFFF"/>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5</w:t>
      </w:r>
      <w:r>
        <w:rPr>
          <w:rFonts w:hint="eastAsia" w:ascii="宋体" w:hAnsi="宋体" w:cs="宋体"/>
          <w:color w:val="0000FF"/>
          <w:kern w:val="0"/>
          <w:sz w:val="24"/>
          <w:szCs w:val="24"/>
          <w:shd w:val="clear" w:color="auto" w:fill="FFFFFF"/>
        </w:rPr>
        <w:t>日至202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7</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cs="宋体"/>
          <w:color w:val="000000"/>
          <w:shd w:val="clear" w:color="auto" w:fill="FFFFFF"/>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二、项目名称及工作要求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00" w:themeColor="text1"/>
          <w:kern w:val="0"/>
          <w:sz w:val="24"/>
          <w:szCs w:val="24"/>
          <w:u w:val="single"/>
          <w:lang w:val="en-US" w:eastAsia="zh-CN"/>
          <w14:textFill>
            <w14:solidFill>
              <w14:schemeClr w14:val="tx1"/>
            </w14:solidFill>
          </w14:textFill>
        </w:rPr>
        <w:t xml:space="preserve"> 公开竞价选取福建省闽江上游龙岩连城段防洪工程姑田堤段元甲溪河段一期工程监理平行检测工程检测服务机构  </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 福建省连城县姑田镇 </w:t>
      </w:r>
    </w:p>
    <w:p>
      <w:pPr>
        <w:widowControl/>
        <w:shd w:val="clear" w:color="auto" w:fill="auto"/>
        <w:snapToGrid/>
        <w:spacing w:before="0" w:beforeAutospacing="0" w:after="0" w:afterAutospacing="0" w:line="24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检测费用最高限价：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30000元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sz w:val="24"/>
          <w:szCs w:val="24"/>
          <w:shd w:val="clear" w:color="auto" w:fill="FFFFFF"/>
          <w14:textFill>
            <w14:solidFill>
              <w14:schemeClr w14:val="tx1"/>
            </w14:solidFill>
          </w14:textFill>
        </w:rPr>
        <w:t>内容：</w:t>
      </w:r>
      <w:r>
        <w:rPr>
          <w:rFonts w:hint="eastAsia" w:eastAsia="宋体" w:cs="宋体"/>
          <w:color w:val="000000" w:themeColor="text1"/>
          <w:kern w:val="0"/>
          <w:sz w:val="24"/>
          <w:szCs w:val="24"/>
          <w:u w:val="single"/>
          <w:lang w:val="en-US" w:eastAsia="zh-CN"/>
          <w14:textFill>
            <w14:solidFill>
              <w14:schemeClr w14:val="tx1"/>
            </w14:solidFill>
          </w14:textFill>
        </w:rPr>
        <w:t xml:space="preserve"> 本项目监理平行检测的各类水利工程实体及其所使用的水工材料、中间产品、实体结构等，数量如下：</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702"/>
        <w:gridCol w:w="2362"/>
        <w:gridCol w:w="221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取样项目</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规格型号</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送检数量/批次</w:t>
            </w:r>
          </w:p>
        </w:tc>
        <w:tc>
          <w:tcPr>
            <w:tcW w:w="534"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1455" w:type="pct"/>
            <w:vMerge w:val="restart"/>
            <w:noWrap w:val="0"/>
            <w:vAlign w:val="top"/>
          </w:tcPr>
          <w:p>
            <w:pPr>
              <w:spacing w:line="360" w:lineRule="auto"/>
              <w:jc w:val="center"/>
              <w:rPr>
                <w:rFonts w:hint="eastAsia"/>
                <w:b w:val="0"/>
                <w:bCs w:val="0"/>
                <w:sz w:val="24"/>
                <w:szCs w:val="24"/>
                <w:vertAlign w:val="baseline"/>
                <w:lang w:val="en-US" w:eastAsia="zh-CN"/>
              </w:rPr>
            </w:pPr>
          </w:p>
          <w:p>
            <w:pPr>
              <w:spacing w:line="360" w:lineRule="auto"/>
              <w:jc w:val="center"/>
              <w:rPr>
                <w:rFonts w:hint="eastAsia"/>
                <w:b w:val="0"/>
                <w:bCs w:val="0"/>
                <w:sz w:val="24"/>
                <w:szCs w:val="24"/>
                <w:vertAlign w:val="baseline"/>
                <w:lang w:val="en-US" w:eastAsia="zh-CN"/>
              </w:rPr>
            </w:pPr>
          </w:p>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钢筋</w:t>
            </w:r>
          </w:p>
        </w:tc>
        <w:tc>
          <w:tcPr>
            <w:tcW w:w="1272" w:type="pct"/>
            <w:noWrap w:val="0"/>
            <w:vAlign w:val="top"/>
          </w:tcPr>
          <w:p>
            <w:pPr>
              <w:spacing w:line="360" w:lineRule="auto"/>
              <w:jc w:val="center"/>
              <w:rPr>
                <w:rFonts w:hint="eastAsia" w:eastAsia="宋体"/>
                <w:b w:val="0"/>
                <w:bCs w:val="0"/>
                <w:color w:val="auto"/>
                <w:sz w:val="24"/>
                <w:szCs w:val="24"/>
                <w:vertAlign w:val="baseline"/>
                <w:lang w:val="en-US" w:eastAsia="zh-CN"/>
              </w:rPr>
            </w:pPr>
            <w:r>
              <w:rPr>
                <w:rFonts w:hint="eastAsia" w:ascii="宋体" w:hAnsi="宋体" w:eastAsia="宋体" w:cs="宋体"/>
                <w:b/>
                <w:bCs/>
                <w:i w:val="0"/>
                <w:iCs w:val="0"/>
                <w:caps w:val="0"/>
                <w:color w:val="auto"/>
                <w:spacing w:val="0"/>
                <w:sz w:val="21"/>
                <w:szCs w:val="21"/>
                <w:shd w:val="clear" w:color="auto" w:fill="FFFFFF"/>
              </w:rPr>
              <w:t>Φ</w:t>
            </w:r>
            <w:r>
              <w:rPr>
                <w:rFonts w:hint="eastAsia" w:ascii="宋体" w:hAnsi="宋体" w:eastAsia="宋体" w:cs="宋体"/>
                <w:b/>
                <w:bCs/>
                <w:i w:val="0"/>
                <w:iCs w:val="0"/>
                <w:caps w:val="0"/>
                <w:color w:val="auto"/>
                <w:spacing w:val="0"/>
                <w:sz w:val="21"/>
                <w:szCs w:val="21"/>
                <w:shd w:val="clear" w:color="auto" w:fill="FFFFFF"/>
                <w:lang w:val="en-US" w:eastAsia="zh-CN"/>
              </w:rPr>
              <w:t>8</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1455" w:type="pct"/>
            <w:vMerge w:val="continue"/>
            <w:noWrap w:val="0"/>
            <w:vAlign w:val="top"/>
          </w:tcPr>
          <w:p>
            <w:pPr>
              <w:spacing w:line="360" w:lineRule="auto"/>
              <w:jc w:val="center"/>
              <w:rPr>
                <w:rFonts w:hint="default"/>
                <w:b w:val="0"/>
                <w:bCs w:val="0"/>
                <w:sz w:val="24"/>
                <w:szCs w:val="24"/>
                <w:vertAlign w:val="baseline"/>
                <w:lang w:val="en-US" w:eastAsia="zh-CN"/>
              </w:rPr>
            </w:pPr>
          </w:p>
        </w:tc>
        <w:tc>
          <w:tcPr>
            <w:tcW w:w="1272" w:type="pct"/>
            <w:noWrap w:val="0"/>
            <w:vAlign w:val="top"/>
          </w:tcPr>
          <w:p>
            <w:pPr>
              <w:spacing w:line="360" w:lineRule="auto"/>
              <w:jc w:val="center"/>
              <w:rPr>
                <w:rFonts w:hint="default" w:eastAsia="宋体"/>
                <w:b w:val="0"/>
                <w:bCs w:val="0"/>
                <w:color w:val="auto"/>
                <w:sz w:val="24"/>
                <w:szCs w:val="24"/>
                <w:vertAlign w:val="baseline"/>
                <w:lang w:val="en-US" w:eastAsia="zh-CN"/>
              </w:rPr>
            </w:pPr>
            <w:r>
              <w:rPr>
                <w:rFonts w:hint="eastAsia" w:ascii="宋体" w:hAnsi="宋体" w:eastAsia="宋体" w:cs="宋体"/>
                <w:b/>
                <w:bCs/>
                <w:i w:val="0"/>
                <w:iCs w:val="0"/>
                <w:caps w:val="0"/>
                <w:color w:val="auto"/>
                <w:spacing w:val="0"/>
                <w:sz w:val="21"/>
                <w:szCs w:val="21"/>
                <w:shd w:val="clear" w:color="auto" w:fill="FFFFFF"/>
              </w:rPr>
              <w:t>Φ</w:t>
            </w:r>
            <w:r>
              <w:rPr>
                <w:rFonts w:hint="eastAsia" w:ascii="宋体" w:hAnsi="宋体" w:eastAsia="宋体" w:cs="宋体"/>
                <w:b/>
                <w:bCs/>
                <w:i w:val="0"/>
                <w:iCs w:val="0"/>
                <w:caps w:val="0"/>
                <w:color w:val="auto"/>
                <w:spacing w:val="0"/>
                <w:sz w:val="21"/>
                <w:szCs w:val="21"/>
                <w:shd w:val="clear" w:color="auto" w:fill="FFFFFF"/>
                <w:lang w:val="en-US" w:eastAsia="zh-CN"/>
              </w:rPr>
              <w:t>10</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1455" w:type="pct"/>
            <w:vMerge w:val="continue"/>
            <w:noWrap w:val="0"/>
            <w:vAlign w:val="top"/>
          </w:tcPr>
          <w:p>
            <w:pPr>
              <w:spacing w:line="360" w:lineRule="auto"/>
              <w:jc w:val="center"/>
              <w:rPr>
                <w:rFonts w:hint="default"/>
                <w:b w:val="0"/>
                <w:bCs w:val="0"/>
                <w:sz w:val="24"/>
                <w:szCs w:val="24"/>
                <w:vertAlign w:val="baseline"/>
                <w:lang w:val="en-US" w:eastAsia="zh-CN"/>
              </w:rPr>
            </w:pPr>
          </w:p>
        </w:tc>
        <w:tc>
          <w:tcPr>
            <w:tcW w:w="1272" w:type="pct"/>
            <w:noWrap w:val="0"/>
            <w:vAlign w:val="top"/>
          </w:tcPr>
          <w:p>
            <w:pPr>
              <w:spacing w:line="360" w:lineRule="auto"/>
              <w:jc w:val="center"/>
              <w:rPr>
                <w:rFonts w:hint="default" w:eastAsia="宋体"/>
                <w:b w:val="0"/>
                <w:bCs w:val="0"/>
                <w:color w:val="auto"/>
                <w:sz w:val="24"/>
                <w:szCs w:val="24"/>
                <w:vertAlign w:val="baseline"/>
                <w:lang w:val="en-US" w:eastAsia="zh-CN"/>
              </w:rPr>
            </w:pPr>
            <w:r>
              <w:rPr>
                <w:rFonts w:hint="eastAsia" w:ascii="宋体" w:hAnsi="宋体" w:eastAsia="宋体" w:cs="宋体"/>
                <w:b/>
                <w:bCs/>
                <w:i w:val="0"/>
                <w:iCs w:val="0"/>
                <w:caps w:val="0"/>
                <w:color w:val="auto"/>
                <w:spacing w:val="0"/>
                <w:sz w:val="21"/>
                <w:szCs w:val="21"/>
                <w:shd w:val="clear" w:color="auto" w:fill="FFFFFF"/>
              </w:rPr>
              <w:t>Φ</w:t>
            </w:r>
            <w:r>
              <w:rPr>
                <w:rFonts w:hint="eastAsia" w:ascii="宋体" w:hAnsi="宋体" w:eastAsia="宋体" w:cs="宋体"/>
                <w:b/>
                <w:bCs/>
                <w:i w:val="0"/>
                <w:iCs w:val="0"/>
                <w:caps w:val="0"/>
                <w:color w:val="auto"/>
                <w:spacing w:val="0"/>
                <w:sz w:val="21"/>
                <w:szCs w:val="21"/>
                <w:shd w:val="clear" w:color="auto" w:fill="FFFFFF"/>
                <w:lang w:val="en-US" w:eastAsia="zh-CN"/>
              </w:rPr>
              <w:t>12</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1455" w:type="pct"/>
            <w:vMerge w:val="continue"/>
            <w:noWrap w:val="0"/>
            <w:vAlign w:val="top"/>
          </w:tcPr>
          <w:p>
            <w:pPr>
              <w:spacing w:line="360" w:lineRule="auto"/>
              <w:jc w:val="center"/>
              <w:rPr>
                <w:rFonts w:hint="default"/>
                <w:b w:val="0"/>
                <w:bCs w:val="0"/>
                <w:sz w:val="24"/>
                <w:szCs w:val="24"/>
                <w:vertAlign w:val="baseline"/>
                <w:lang w:val="en-US" w:eastAsia="zh-CN"/>
              </w:rPr>
            </w:pPr>
          </w:p>
        </w:tc>
        <w:tc>
          <w:tcPr>
            <w:tcW w:w="1272" w:type="pct"/>
            <w:noWrap w:val="0"/>
            <w:vAlign w:val="top"/>
          </w:tcPr>
          <w:p>
            <w:pPr>
              <w:spacing w:line="360" w:lineRule="auto"/>
              <w:jc w:val="center"/>
              <w:rPr>
                <w:rFonts w:hint="default" w:eastAsia="宋体"/>
                <w:b w:val="0"/>
                <w:bCs w:val="0"/>
                <w:color w:val="auto"/>
                <w:sz w:val="24"/>
                <w:szCs w:val="24"/>
                <w:vertAlign w:val="baseline"/>
                <w:lang w:val="en-US" w:eastAsia="zh-CN"/>
              </w:rPr>
            </w:pPr>
            <w:r>
              <w:rPr>
                <w:rFonts w:hint="eastAsia" w:ascii="宋体" w:hAnsi="宋体" w:eastAsia="宋体" w:cs="宋体"/>
                <w:b/>
                <w:bCs/>
                <w:i w:val="0"/>
                <w:iCs w:val="0"/>
                <w:caps w:val="0"/>
                <w:color w:val="auto"/>
                <w:spacing w:val="0"/>
                <w:sz w:val="21"/>
                <w:szCs w:val="21"/>
                <w:shd w:val="clear" w:color="auto" w:fill="FFFFFF"/>
              </w:rPr>
              <w:t>Φ</w:t>
            </w:r>
            <w:r>
              <w:rPr>
                <w:rFonts w:hint="eastAsia" w:ascii="宋体" w:hAnsi="宋体" w:eastAsia="宋体" w:cs="宋体"/>
                <w:b/>
                <w:bCs/>
                <w:i w:val="0"/>
                <w:iCs w:val="0"/>
                <w:caps w:val="0"/>
                <w:color w:val="auto"/>
                <w:spacing w:val="0"/>
                <w:sz w:val="21"/>
                <w:szCs w:val="21"/>
                <w:shd w:val="clear" w:color="auto" w:fill="FFFFFF"/>
                <w:lang w:val="en-US" w:eastAsia="zh-CN"/>
              </w:rPr>
              <w:t>16</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5</w:t>
            </w:r>
          </w:p>
        </w:tc>
        <w:tc>
          <w:tcPr>
            <w:tcW w:w="1455" w:type="pct"/>
            <w:vMerge w:val="continue"/>
            <w:noWrap w:val="0"/>
            <w:vAlign w:val="top"/>
          </w:tcPr>
          <w:p>
            <w:pPr>
              <w:spacing w:line="360" w:lineRule="auto"/>
              <w:jc w:val="center"/>
              <w:rPr>
                <w:rFonts w:hint="default"/>
                <w:b w:val="0"/>
                <w:bCs w:val="0"/>
                <w:sz w:val="24"/>
                <w:szCs w:val="24"/>
                <w:vertAlign w:val="baseline"/>
                <w:lang w:val="en-US" w:eastAsia="zh-CN"/>
              </w:rPr>
            </w:pPr>
          </w:p>
        </w:tc>
        <w:tc>
          <w:tcPr>
            <w:tcW w:w="1272" w:type="pct"/>
            <w:noWrap w:val="0"/>
            <w:vAlign w:val="top"/>
          </w:tcPr>
          <w:p>
            <w:pPr>
              <w:spacing w:line="360" w:lineRule="auto"/>
              <w:jc w:val="center"/>
              <w:rPr>
                <w:rFonts w:hint="default" w:eastAsia="宋体"/>
                <w:b w:val="0"/>
                <w:bCs w:val="0"/>
                <w:color w:val="auto"/>
                <w:sz w:val="24"/>
                <w:szCs w:val="24"/>
                <w:vertAlign w:val="baseline"/>
                <w:lang w:val="en-US" w:eastAsia="zh-CN"/>
              </w:rPr>
            </w:pPr>
            <w:r>
              <w:rPr>
                <w:rFonts w:hint="eastAsia" w:ascii="宋体" w:hAnsi="宋体" w:eastAsia="宋体" w:cs="宋体"/>
                <w:b/>
                <w:bCs/>
                <w:i w:val="0"/>
                <w:iCs w:val="0"/>
                <w:caps w:val="0"/>
                <w:color w:val="auto"/>
                <w:spacing w:val="0"/>
                <w:sz w:val="21"/>
                <w:szCs w:val="21"/>
                <w:shd w:val="clear" w:color="auto" w:fill="FFFFFF"/>
              </w:rPr>
              <w:t>Φ</w:t>
            </w:r>
            <w:r>
              <w:rPr>
                <w:rFonts w:hint="eastAsia" w:ascii="宋体" w:hAnsi="宋体" w:eastAsia="宋体" w:cs="宋体"/>
                <w:b/>
                <w:bCs/>
                <w:i w:val="0"/>
                <w:iCs w:val="0"/>
                <w:caps w:val="0"/>
                <w:color w:val="auto"/>
                <w:spacing w:val="0"/>
                <w:sz w:val="21"/>
                <w:szCs w:val="21"/>
                <w:shd w:val="clear" w:color="auto" w:fill="FFFFFF"/>
                <w:lang w:val="en-US" w:eastAsia="zh-CN"/>
              </w:rPr>
              <w:t>20</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6</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砂</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中砂</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7</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水泥</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42.5R</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8</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碎石</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中石</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9</w:t>
            </w:r>
          </w:p>
        </w:tc>
        <w:tc>
          <w:tcPr>
            <w:tcW w:w="1455" w:type="pct"/>
            <w:noWrap w:val="0"/>
            <w:vAlign w:val="top"/>
          </w:tcPr>
          <w:p>
            <w:pPr>
              <w:spacing w:line="360" w:lineRule="auto"/>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毛石</w:t>
            </w:r>
          </w:p>
        </w:tc>
        <w:tc>
          <w:tcPr>
            <w:tcW w:w="1272" w:type="pct"/>
            <w:noWrap w:val="0"/>
            <w:vAlign w:val="top"/>
          </w:tcPr>
          <w:p>
            <w:pPr>
              <w:spacing w:line="360" w:lineRule="auto"/>
              <w:jc w:val="center"/>
              <w:rPr>
                <w:rFonts w:hint="eastAsia"/>
                <w:b w:val="0"/>
                <w:bCs w:val="0"/>
                <w:sz w:val="24"/>
                <w:szCs w:val="24"/>
                <w:vertAlign w:val="baseline"/>
                <w:lang w:val="en-US" w:eastAsia="zh-CN"/>
              </w:rPr>
            </w:pP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10</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土料</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黏土</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11</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环刀</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50*50</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10组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12</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M10</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78*78*78</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30组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13</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C15</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150*150*150</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50组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14</w:t>
            </w:r>
          </w:p>
        </w:tc>
        <w:tc>
          <w:tcPr>
            <w:tcW w:w="1455" w:type="pct"/>
            <w:noWrap w:val="0"/>
            <w:vAlign w:val="top"/>
          </w:tcPr>
          <w:p>
            <w:pPr>
              <w:spacing w:line="360" w:lineRule="auto"/>
              <w:jc w:val="center"/>
              <w:rPr>
                <w:rFonts w:hint="default" w:ascii="Calibri" w:hAnsi="Calibri" w:eastAsia="宋体"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C20</w:t>
            </w:r>
          </w:p>
        </w:tc>
        <w:tc>
          <w:tcPr>
            <w:tcW w:w="1272" w:type="pct"/>
            <w:noWrap w:val="0"/>
            <w:vAlign w:val="top"/>
          </w:tcPr>
          <w:p>
            <w:pPr>
              <w:spacing w:line="360" w:lineRule="auto"/>
              <w:jc w:val="center"/>
              <w:rPr>
                <w:rFonts w:hint="eastAsia" w:ascii="Calibri" w:hAnsi="Calibri" w:eastAsia="宋体"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150*150*150</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4组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15</w:t>
            </w:r>
          </w:p>
        </w:tc>
        <w:tc>
          <w:tcPr>
            <w:tcW w:w="1455" w:type="pct"/>
            <w:noWrap w:val="0"/>
            <w:vAlign w:val="top"/>
          </w:tcPr>
          <w:p>
            <w:pPr>
              <w:spacing w:line="360" w:lineRule="auto"/>
              <w:jc w:val="center"/>
              <w:rPr>
                <w:rFonts w:hint="eastAsia" w:ascii="Calibri" w:hAnsi="Calibri" w:eastAsia="宋体"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C25</w:t>
            </w:r>
          </w:p>
        </w:tc>
        <w:tc>
          <w:tcPr>
            <w:tcW w:w="1272" w:type="pct"/>
            <w:noWrap w:val="0"/>
            <w:vAlign w:val="top"/>
          </w:tcPr>
          <w:p>
            <w:pPr>
              <w:spacing w:line="360" w:lineRule="auto"/>
              <w:jc w:val="center"/>
              <w:rPr>
                <w:rFonts w:hint="eastAsia" w:ascii="Calibri" w:hAnsi="Calibri" w:eastAsia="宋体" w:cs="Times New Roman"/>
                <w:b w:val="0"/>
                <w:bCs w:val="0"/>
                <w:kern w:val="2"/>
                <w:sz w:val="24"/>
                <w:szCs w:val="24"/>
                <w:vertAlign w:val="baseline"/>
                <w:lang w:val="en-US" w:eastAsia="zh-CN" w:bidi="ar-SA"/>
              </w:rPr>
            </w:pPr>
            <w:r>
              <w:rPr>
                <w:rFonts w:hint="eastAsia"/>
                <w:b w:val="0"/>
                <w:bCs w:val="0"/>
                <w:sz w:val="24"/>
                <w:szCs w:val="24"/>
                <w:vertAlign w:val="baseline"/>
                <w:lang w:val="en-US" w:eastAsia="zh-CN"/>
              </w:rPr>
              <w:t>150*150*150</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16</w:t>
            </w:r>
          </w:p>
        </w:tc>
        <w:tc>
          <w:tcPr>
            <w:tcW w:w="1455" w:type="pct"/>
            <w:noWrap w:val="0"/>
            <w:vAlign w:val="top"/>
          </w:tcPr>
          <w:p>
            <w:pPr>
              <w:spacing w:line="360" w:lineRule="auto"/>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透水砖</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6cm</w:t>
            </w:r>
          </w:p>
        </w:tc>
        <w:tc>
          <w:tcPr>
            <w:tcW w:w="1192"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1组</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17</w:t>
            </w:r>
          </w:p>
        </w:tc>
        <w:tc>
          <w:tcPr>
            <w:tcW w:w="1455" w:type="pct"/>
            <w:noWrap w:val="0"/>
            <w:vAlign w:val="top"/>
          </w:tcPr>
          <w:p>
            <w:pPr>
              <w:spacing w:line="360" w:lineRule="auto"/>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进场取样、现场检测发电、车旅费</w:t>
            </w:r>
          </w:p>
        </w:tc>
        <w:tc>
          <w:tcPr>
            <w:tcW w:w="1272" w:type="pct"/>
            <w:noWrap w:val="0"/>
            <w:vAlign w:val="top"/>
          </w:tcPr>
          <w:p>
            <w:pPr>
              <w:spacing w:line="360" w:lineRule="auto"/>
              <w:jc w:val="center"/>
              <w:rPr>
                <w:rFonts w:hint="default"/>
                <w:b w:val="0"/>
                <w:bCs w:val="0"/>
                <w:sz w:val="24"/>
                <w:szCs w:val="24"/>
                <w:vertAlign w:val="baseline"/>
                <w:lang w:val="en-US" w:eastAsia="zh-CN"/>
              </w:rPr>
            </w:pPr>
            <w:r>
              <w:rPr>
                <w:rFonts w:hint="eastAsia" w:ascii="宋体" w:hAnsi="宋体" w:eastAsia="宋体" w:cs="宋体"/>
                <w:bCs/>
                <w:sz w:val="24"/>
                <w:lang w:val="en-US" w:eastAsia="zh-CN"/>
              </w:rPr>
              <w:t>暂定6次，结算按工程实际需要为准</w:t>
            </w:r>
          </w:p>
        </w:tc>
        <w:tc>
          <w:tcPr>
            <w:tcW w:w="1192" w:type="pct"/>
            <w:noWrap w:val="0"/>
            <w:vAlign w:val="top"/>
          </w:tcPr>
          <w:p>
            <w:pPr>
              <w:spacing w:line="360" w:lineRule="auto"/>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6次</w:t>
            </w:r>
          </w:p>
        </w:tc>
        <w:tc>
          <w:tcPr>
            <w:tcW w:w="534" w:type="pct"/>
            <w:noWrap w:val="0"/>
            <w:vAlign w:val="top"/>
          </w:tcPr>
          <w:p>
            <w:pPr>
              <w:spacing w:line="360" w:lineRule="auto"/>
              <w:jc w:val="center"/>
              <w:rPr>
                <w:rFonts w:hint="default"/>
                <w:b w:val="0"/>
                <w:bCs w:val="0"/>
                <w:sz w:val="24"/>
                <w:szCs w:val="24"/>
                <w:vertAlign w:val="baseline"/>
                <w:lang w:val="en-US" w:eastAsia="zh-CN"/>
              </w:rPr>
            </w:pP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工期要求：无</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(3)如该项目符合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eastAsia="宋体" w:cs="宋体"/>
          <w:color w:val="000000"/>
        </w:rPr>
        <w:t>1.遵守中华人民共和国法律、法规，且能够诚信经营，具有独立法人资格的国内企</w:t>
      </w:r>
      <w:r>
        <w:rPr>
          <w:rFonts w:hint="eastAsia" w:cs="宋体"/>
          <w:color w:val="000000"/>
        </w:rPr>
        <w:t>业</w:t>
      </w:r>
      <w:r>
        <w:rPr>
          <w:rFonts w:hint="eastAsia" w:ascii="宋体" w:hAnsi="宋体" w:cs="宋体"/>
          <w:color w:val="000000"/>
          <w:kern w:val="0"/>
          <w:sz w:val="24"/>
          <w:szCs w:val="24"/>
        </w:rPr>
        <w:t>（失信被执行人除外）</w:t>
      </w:r>
      <w:r>
        <w:rPr>
          <w:rFonts w:hint="eastAsia" w:cs="宋体"/>
          <w:color w:val="000000"/>
        </w:rPr>
        <w:t>。</w:t>
      </w:r>
    </w:p>
    <w:p>
      <w:pPr>
        <w:pageBreakBefore w:val="0"/>
        <w:widowControl/>
        <w:kinsoku/>
        <w:wordWrap/>
        <w:topLinePunct w:val="0"/>
        <w:bidi w:val="0"/>
        <w:snapToGrid w:val="0"/>
        <w:spacing w:beforeAutospacing="0" w:afterAutospacing="0" w:line="360" w:lineRule="auto"/>
        <w:ind w:left="0" w:firstLine="420" w:firstLineChars="200"/>
        <w:rPr>
          <w:rFonts w:hint="eastAsia" w:ascii="宋体" w:hAnsi="宋体" w:cs="宋体" w:eastAsiaTheme="minorEastAsia"/>
          <w:color w:val="000000"/>
          <w:kern w:val="0"/>
          <w:sz w:val="24"/>
          <w:szCs w:val="24"/>
        </w:rPr>
      </w:pPr>
      <w:r>
        <w:rPr>
          <w:rFonts w:hint="eastAsia" w:cs="宋体"/>
          <w:color w:val="000000"/>
          <w:shd w:val="clear" w:color="auto" w:fill="FFFFFF"/>
        </w:rPr>
        <w:t>2.</w:t>
      </w:r>
      <w:r>
        <w:rPr>
          <w:rFonts w:hint="eastAsia" w:cs="宋体"/>
          <w:color w:val="000000" w:themeColor="text1"/>
          <w:sz w:val="24"/>
          <w:szCs w:val="28"/>
          <w:shd w:val="clear" w:color="auto" w:fill="FFFFFF"/>
          <w:lang w:val="en-US" w:eastAsia="zh-CN"/>
          <w14:textFill>
            <w14:solidFill>
              <w14:schemeClr w14:val="tx1"/>
            </w14:solidFill>
          </w14:textFill>
        </w:rPr>
        <w:t>竞价</w:t>
      </w:r>
      <w:r>
        <w:rPr>
          <w:rFonts w:hint="eastAsia" w:cs="宋体"/>
          <w:color w:val="000000" w:themeColor="text1"/>
          <w:sz w:val="24"/>
          <w:szCs w:val="24"/>
          <w:shd w:val="clear" w:color="auto" w:fill="FFFFFF"/>
          <w:lang w:val="en-US" w:eastAsia="zh-CN"/>
          <w14:textFill>
            <w14:solidFill>
              <w14:schemeClr w14:val="tx1"/>
            </w14:solidFill>
          </w14:textFill>
        </w:rPr>
        <w:t>前已</w:t>
      </w:r>
      <w:r>
        <w:rPr>
          <w:rFonts w:hint="eastAsia" w:ascii="宋体" w:hAnsi="宋体" w:cs="宋体" w:eastAsiaTheme="minorEastAsia"/>
          <w:color w:val="000000" w:themeColor="text1"/>
          <w:kern w:val="0"/>
          <w:sz w:val="24"/>
          <w:szCs w:val="24"/>
          <w14:textFill>
            <w14:solidFill>
              <w14:schemeClr w14:val="tx1"/>
            </w14:solidFill>
          </w14:textFill>
        </w:rPr>
        <w:t>入</w:t>
      </w:r>
      <w:r>
        <w:rPr>
          <w:rFonts w:hint="eastAsia" w:ascii="宋体" w:hAnsi="宋体" w:cs="宋体" w:eastAsiaTheme="minorEastAsia"/>
          <w:color w:val="000000"/>
          <w:kern w:val="0"/>
          <w:sz w:val="24"/>
          <w:szCs w:val="24"/>
        </w:rPr>
        <w:t>选福建连城国有投资集团有限公司设立的中介机构库</w:t>
      </w:r>
      <w:r>
        <w:rPr>
          <w:rFonts w:hint="eastAsia" w:ascii="宋体" w:hAnsi="宋体" w:cs="宋体"/>
          <w:color w:val="000000"/>
          <w:kern w:val="0"/>
          <w:sz w:val="24"/>
          <w:szCs w:val="24"/>
          <w:lang w:eastAsia="zh-CN"/>
        </w:rPr>
        <w:t>工程检测</w:t>
      </w:r>
      <w:r>
        <w:rPr>
          <w:rFonts w:hint="eastAsia" w:ascii="宋体" w:hAnsi="宋体" w:cs="宋体" w:eastAsiaTheme="minorEastAsia"/>
          <w:color w:val="000000"/>
          <w:kern w:val="0"/>
          <w:sz w:val="24"/>
          <w:szCs w:val="24"/>
        </w:rPr>
        <w:t>类</w:t>
      </w:r>
      <w:r>
        <w:rPr>
          <w:rFonts w:hint="eastAsia" w:ascii="宋体" w:hAnsi="宋体" w:cs="宋体" w:eastAsiaTheme="minorEastAsia"/>
          <w:color w:val="000000"/>
          <w:kern w:val="0"/>
          <w:sz w:val="24"/>
          <w:szCs w:val="24"/>
          <w:lang w:val="en-US" w:eastAsia="zh-CN"/>
        </w:rPr>
        <w:t>名单（含处于公示期间的中介服务机构</w:t>
      </w:r>
      <w:r>
        <w:rPr>
          <w:rFonts w:hint="eastAsia" w:ascii="宋体" w:hAnsi="宋体" w:cs="宋体"/>
          <w:color w:val="000000"/>
          <w:kern w:val="0"/>
          <w:sz w:val="24"/>
          <w:szCs w:val="24"/>
          <w:lang w:val="en-US" w:eastAsia="zh-CN"/>
        </w:rPr>
        <w:t>，委托方另有通知除外</w:t>
      </w:r>
      <w:r>
        <w:rPr>
          <w:rFonts w:hint="eastAsia" w:ascii="宋体" w:hAnsi="宋体" w:cs="宋体" w:eastAsiaTheme="minorEastAsia"/>
          <w:color w:val="000000"/>
          <w:kern w:val="0"/>
          <w:sz w:val="24"/>
          <w:szCs w:val="24"/>
          <w:lang w:val="en-US" w:eastAsia="zh-CN"/>
        </w:rPr>
        <w:t>）</w:t>
      </w:r>
      <w:r>
        <w:rPr>
          <w:rFonts w:hint="eastAsia" w:ascii="宋体" w:hAnsi="宋体" w:cs="宋体" w:eastAsiaTheme="minorEastAsia"/>
          <w:color w:val="000000"/>
          <w:kern w:val="0"/>
          <w:sz w:val="24"/>
          <w:szCs w:val="24"/>
        </w:rPr>
        <w:t>。</w:t>
      </w:r>
    </w:p>
    <w:p>
      <w:pPr>
        <w:pStyle w:val="12"/>
        <w:rPr>
          <w:rFonts w:hint="default" w:eastAsiaTheme="minorEastAsia"/>
          <w:color w:val="0000FF"/>
          <w:lang w:val="en-US" w:eastAsia="zh-CN"/>
        </w:rPr>
      </w:pPr>
      <w:r>
        <w:rPr>
          <w:rFonts w:hint="eastAsia" w:ascii="宋体" w:hAnsi="宋体" w:cs="宋体"/>
          <w:b/>
          <w:bCs/>
          <w:color w:val="0000FF"/>
          <w:kern w:val="0"/>
          <w:sz w:val="24"/>
          <w:szCs w:val="24"/>
          <w:lang w:val="en-US" w:eastAsia="zh-CN"/>
        </w:rPr>
        <w:t>备注：本项目的项目法人工程质量全过程检测单位不得参加此次竞价。</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shd w:val="clear" w:color="auto" w:fill="FFFFFF"/>
          <w:lang w:val="en-US" w:eastAsia="zh-CN"/>
        </w:rPr>
        <w:t>2000</w:t>
      </w:r>
      <w:r>
        <w:rPr>
          <w:rFonts w:hint="eastAsia" w:eastAsia="宋体" w:cs="宋体"/>
          <w:color w:val="000000"/>
          <w:shd w:val="clear" w:color="auto" w:fill="FFFFFF"/>
        </w:rPr>
        <w:t>元，必须于</w:t>
      </w:r>
      <w:r>
        <w:rPr>
          <w:rFonts w:hint="eastAsia" w:eastAsia="宋体" w:cs="宋体"/>
          <w:color w:val="0000FF"/>
          <w:shd w:val="clear" w:color="auto" w:fill="FFFFFF"/>
        </w:rPr>
        <w:t>202</w:t>
      </w:r>
      <w:r>
        <w:rPr>
          <w:rFonts w:hint="eastAsia" w:eastAsia="宋体" w:cs="宋体"/>
          <w:color w:val="0000FF"/>
          <w:shd w:val="clear" w:color="auto" w:fill="FFFFFF"/>
          <w:lang w:val="en-US" w:eastAsia="zh-CN"/>
        </w:rPr>
        <w:t>2</w:t>
      </w:r>
      <w:r>
        <w:rPr>
          <w:rFonts w:hint="eastAsia" w:eastAsia="宋体" w:cs="宋体"/>
          <w:color w:val="0000FF"/>
          <w:shd w:val="clear" w:color="auto" w:fill="FFFFFF"/>
        </w:rPr>
        <w:t>年</w:t>
      </w:r>
      <w:r>
        <w:rPr>
          <w:rFonts w:hint="eastAsia" w:eastAsia="宋体" w:cs="宋体"/>
          <w:color w:val="0000FF"/>
          <w:shd w:val="clear" w:color="auto" w:fill="FFFFFF"/>
          <w:lang w:val="en-US" w:eastAsia="zh-CN"/>
        </w:rPr>
        <w:t>1</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7</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18263）报名参加的竞价者与缴交竞价保证金的名称要一致。竞价保证金缴至以上账户时，交款单中“款项来源”或“用途”一栏内须填写“****人的竞价保证金”。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合同》后5个工作日内一次性无息退回。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4.未成交人的保证金，在竞价结束后5个工作日内（遇法定节假日顺延）无息退回。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1.有意参加竞价者应提供如下有效证照复印件：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竞价者应自行至权益云网站学习竞价流程，注册竞价系统账号并在报名截止时间之前登录竞价系统申请竞价（支持微信公众号“权益云交易平台”），根据流程上传相关资料，若有疑问应及时咨询本公司业务部门；由于竞价者竞价材料未按时提交、或者竞价申请未按时提交而导致本公司无法进行资格审核、或者竞价账号未注册或者未激活的，均视为竞价者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竞价者已经交保证金的，保证金即予无息退还，竞价者对此不得有异议，且本公司不对竞价者承担任何损失，此是竞价者参与本次竞价的先决条件。竞价者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1.意向竞价者应至权益云网站或微信公众号“权益云交易平台”注册用户名，并于报名截止时间前至本公司办理报名竞价手续，登录到权益云报价大厅申请参与本场竞价。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00"/>
          <w:kern w:val="0"/>
          <w:sz w:val="24"/>
          <w:szCs w:val="24"/>
          <w:shd w:val="clear" w:color="auto" w:fill="FFFFFF"/>
          <w:lang w:eastAsia="zh-CN"/>
        </w:rPr>
        <w:t>反向一次性报价</w:t>
      </w:r>
      <w:r>
        <w:rPr>
          <w:rFonts w:hint="eastAsia" w:ascii="宋体" w:hAnsi="宋体" w:cs="宋体"/>
          <w:color w:val="000000"/>
          <w:kern w:val="0"/>
          <w:sz w:val="24"/>
          <w:szCs w:val="24"/>
          <w:shd w:val="clear" w:color="auto" w:fill="FFFFFF"/>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highlight w:val="none"/>
          <w:shd w:val="clear" w:color="auto" w:fill="FFFFFF"/>
          <w:lang w:bidi="ar"/>
        </w:rPr>
        <w:t>4.特别提示：标的经公开征集到合格竞价者,则竞价者均应以不高于最高限价进行报价，成交人应签署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rPr>
      </w:pPr>
      <w:r>
        <w:rPr>
          <w:rFonts w:hint="eastAsia" w:cs="宋体"/>
          <w:b/>
          <w:bCs/>
          <w:color w:val="000000"/>
          <w:shd w:val="clear" w:color="auto" w:fill="FFFFFF"/>
        </w:rPr>
        <w:t>七、交易服务费</w:t>
      </w:r>
    </w:p>
    <w:p>
      <w:pPr>
        <w:pageBreakBefore w:val="0"/>
        <w:kinsoku/>
        <w:wordWrap/>
        <w:topLinePunct w:val="0"/>
        <w:bidi w:val="0"/>
        <w:spacing w:beforeAutospacing="0" w:afterAutospacing="0" w:line="360" w:lineRule="auto"/>
        <w:ind w:left="0" w:firstLine="480" w:firstLineChars="200"/>
        <w:rPr>
          <w:rFonts w:hint="eastAsia" w:ascii="宋体"/>
          <w:color w:val="000000"/>
          <w:sz w:val="24"/>
        </w:rPr>
      </w:pPr>
      <w:r>
        <w:rPr>
          <w:rFonts w:hint="eastAsia" w:ascii="宋体"/>
          <w:color w:val="000000"/>
          <w:sz w:val="24"/>
        </w:rPr>
        <w:t>竞价成交后，成交人应</w:t>
      </w:r>
      <w:r>
        <w:rPr>
          <w:rFonts w:hint="eastAsia" w:ascii="宋体"/>
          <w:b/>
          <w:bCs/>
          <w:color w:val="000000"/>
          <w:sz w:val="24"/>
        </w:rPr>
        <w:t>向本公司支付交易服务费，</w:t>
      </w:r>
      <w:r>
        <w:rPr>
          <w:rFonts w:hint="eastAsia" w:ascii="宋体"/>
          <w:color w:val="000000"/>
          <w:sz w:val="24"/>
        </w:rPr>
        <w:t>交易服务费直接由本公司从成交人缴纳的竞价保证金中扣收，不足的，成交人</w:t>
      </w:r>
      <w:r>
        <w:rPr>
          <w:rFonts w:hint="eastAsia" w:ascii="宋体" w:hAnsi="宋体" w:cs="宋体"/>
          <w:b/>
          <w:bCs/>
          <w:color w:val="000000"/>
          <w:sz w:val="24"/>
          <w:szCs w:val="24"/>
          <w:shd w:val="clear" w:color="auto" w:fill="FFFFFF"/>
        </w:rPr>
        <w:t>必须在成交之日起2个工作日</w:t>
      </w:r>
      <w:r>
        <w:rPr>
          <w:rFonts w:hint="eastAsia" w:ascii="宋体"/>
          <w:color w:val="000000"/>
          <w:sz w:val="24"/>
        </w:rPr>
        <w:t>内补齐。交易服务费未按期付清的，视成交人根本违约，竞价保证金不予退回。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成交人提供本项目检测报告后，由成交人提出申请，委托人按实际完成检测量支付工程检测费，成交人提供正规增值税专用发票。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竞价者自行承担参加竞价会有关的全部费用（包括但不限于差旅费、邮寄费、资料费等）。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1.因不可预见的原因导致上述竞价交易方式不能正常进行的，本公司有权中止交易或临时决定采用其它竞价方式和竞价交易规则，竞价者对此不得有异议。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2.竞价者应妥善保管好用户名及密码，用户名为竞价者参加网络竞价的唯一合法身份，所有用户登录后的报价均视为竞价者本人真实意愿的表示。如用户名丢失或被他人盗用所造成的一切后果均由竞价者负责。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240" w:lineRule="auto"/>
              <w:ind w:left="0"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24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发布，请潜在竞价者随时密切关注上述网站并下载相关信息，本公司不再另行通知（相同内容如有多次修改，以最后一次修改为准）。潜在竞价者未查看、下载修改内容的，后果自行承担。</w:t>
            </w:r>
          </w:p>
          <w:p>
            <w:pPr>
              <w:pageBreakBefore w:val="0"/>
              <w:widowControl/>
              <w:shd w:val="clear" w:color="auto" w:fill="FFFFFF"/>
              <w:kinsoku/>
              <w:wordWrap/>
              <w:topLinePunct w:val="0"/>
              <w:bidi w:val="0"/>
              <w:snapToGrid w:val="0"/>
              <w:spacing w:beforeAutospacing="0" w:afterAutospacing="0" w:line="24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有需要通知事项时，本公司以竞价者报名时载明的联系电话、联系地址（未另外注明的以身份证为准）作为联系依据，通过邮件或语音、短信的方式通知竞价者，即使竞价者不签收或未收到通知，均视为竞价者已收到通知，由此造成的后果由竞价者自行负责。竞价者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ascii="宋体" w:hAnsi="宋体" w:cs="宋体"/>
          <w:color w:val="000000"/>
          <w:sz w:val="24"/>
          <w:szCs w:val="24"/>
        </w:rPr>
      </w:pPr>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25400</wp:posOffset>
            </wp:positionV>
            <wp:extent cx="897255" cy="1077595"/>
            <wp:effectExtent l="0" t="0" r="17145"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897255" cy="1077595"/>
                    </a:xfrm>
                    <a:prstGeom prst="rect">
                      <a:avLst/>
                    </a:prstGeom>
                    <a:noFill/>
                    <a:ln>
                      <a:noFill/>
                    </a:ln>
                  </pic:spPr>
                </pic:pic>
              </a:graphicData>
            </a:graphic>
          </wp:anchor>
        </w:drawing>
      </w:r>
      <w:r>
        <w:rPr>
          <w:rFonts w:hint="eastAsia" w:ascii="宋体" w:hAnsi="宋体" w:cs="宋体"/>
          <w:color w:val="000000"/>
          <w:kern w:val="0"/>
          <w:sz w:val="24"/>
          <w:szCs w:val="24"/>
          <w:shd w:val="clear" w:color="auto" w:fill="FFFFFF"/>
        </w:rPr>
        <w:t>  </w:t>
      </w:r>
    </w:p>
    <w:p>
      <w:pPr>
        <w:pageBreakBefore w:val="0"/>
        <w:kinsoku/>
        <w:wordWrap/>
        <w:topLinePunct w:val="0"/>
        <w:bidi w:val="0"/>
        <w:snapToGrid w:val="0"/>
        <w:spacing w:beforeAutospacing="0" w:afterAutospacing="0" w:line="360" w:lineRule="auto"/>
        <w:ind w:left="0" w:firstLine="420"/>
        <w:rPr>
          <w:rFonts w:ascii="宋体" w:hAnsi="宋体" w:cs="宋体"/>
          <w:color w:val="000000"/>
          <w:sz w:val="24"/>
          <w:szCs w:val="24"/>
        </w:rPr>
      </w:pPr>
      <w:r>
        <w:rPr>
          <w:rFonts w:hint="eastAsia" w:ascii="宋体" w:hAnsi="宋体" w:cs="宋体"/>
          <w:color w:val="000000"/>
          <w:kern w:val="0"/>
          <w:sz w:val="24"/>
          <w:szCs w:val="24"/>
          <w:shd w:val="clear" w:color="auto" w:fill="FFFFFF"/>
        </w:rPr>
        <w:t>                  </w:t>
      </w:r>
      <w:r>
        <w:rPr>
          <w:rFonts w:hint="eastAsia" w:ascii="宋体" w:hAnsi="宋体" w:cs="宋体"/>
          <w:b/>
          <w:bCs/>
          <w:color w:val="000000"/>
          <w:sz w:val="24"/>
          <w:szCs w:val="24"/>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rFonts w:ascii="宋体" w:hAnsi="宋体" w:cs="宋体"/>
          <w:color w:val="000000"/>
          <w:sz w:val="24"/>
          <w:szCs w:val="24"/>
        </w:rPr>
      </w:pPr>
      <w:r>
        <w:rPr>
          <w:rFonts w:hint="eastAsia" w:ascii="宋体" w:hAnsi="宋体" w:cs="宋体"/>
          <w:color w:val="000000"/>
          <w:kern w:val="0"/>
          <w:sz w:val="24"/>
          <w:szCs w:val="24"/>
          <w:shd w:val="clear" w:color="auto" w:fill="FFFFFF"/>
        </w:rPr>
        <w:t xml:space="preserve">                                   </w:t>
      </w:r>
      <w:r>
        <w:rPr>
          <w:rFonts w:hint="eastAsia" w:ascii="宋体" w:hAnsi="宋体" w:cs="宋体"/>
          <w:b/>
          <w:bCs/>
          <w:color w:val="000000"/>
          <w:kern w:val="0"/>
          <w:sz w:val="24"/>
          <w:szCs w:val="24"/>
          <w:shd w:val="clear" w:color="auto" w:fill="FFFFFF"/>
        </w:rPr>
        <w:t>202</w:t>
      </w:r>
      <w:r>
        <w:rPr>
          <w:rFonts w:hint="eastAsia" w:ascii="宋体" w:hAnsi="宋体" w:cs="宋体"/>
          <w:b/>
          <w:bCs/>
          <w:color w:val="000000"/>
          <w:kern w:val="0"/>
          <w:sz w:val="24"/>
          <w:szCs w:val="24"/>
          <w:shd w:val="clear" w:color="auto" w:fill="FFFFFF"/>
          <w:lang w:val="en-US" w:eastAsia="zh-CN"/>
        </w:rPr>
        <w:t>2</w:t>
      </w:r>
      <w:r>
        <w:rPr>
          <w:rFonts w:hint="eastAsia" w:ascii="宋体" w:hAnsi="宋体" w:cs="宋体"/>
          <w:b/>
          <w:bCs/>
          <w:color w:val="000000"/>
          <w:kern w:val="0"/>
          <w:sz w:val="24"/>
          <w:szCs w:val="24"/>
          <w:shd w:val="clear" w:color="auto" w:fill="FFFFFF"/>
        </w:rPr>
        <w:t>年</w:t>
      </w:r>
      <w:r>
        <w:rPr>
          <w:rFonts w:hint="eastAsia" w:ascii="宋体" w:hAnsi="宋体" w:cs="宋体"/>
          <w:b/>
          <w:bCs/>
          <w:color w:val="000000"/>
          <w:kern w:val="0"/>
          <w:sz w:val="24"/>
          <w:szCs w:val="24"/>
          <w:shd w:val="clear" w:color="auto" w:fill="FFFFFF"/>
          <w:lang w:val="en-US" w:eastAsia="zh-CN"/>
        </w:rPr>
        <w:t>1</w:t>
      </w:r>
      <w:r>
        <w:rPr>
          <w:rFonts w:hint="eastAsia" w:ascii="宋体" w:hAnsi="宋体" w:cs="宋体"/>
          <w:b/>
          <w:bCs/>
          <w:color w:val="000000"/>
          <w:kern w:val="0"/>
          <w:sz w:val="24"/>
          <w:szCs w:val="24"/>
          <w:shd w:val="clear" w:color="auto" w:fill="FFFFFF"/>
        </w:rPr>
        <w:t>月</w:t>
      </w:r>
      <w:r>
        <w:rPr>
          <w:rFonts w:hint="eastAsia" w:ascii="宋体" w:hAnsi="宋体" w:cs="宋体"/>
          <w:b/>
          <w:bCs/>
          <w:color w:val="000000"/>
          <w:kern w:val="0"/>
          <w:sz w:val="24"/>
          <w:szCs w:val="24"/>
          <w:shd w:val="clear" w:color="auto" w:fill="FFFFFF"/>
          <w:lang w:val="en-US" w:eastAsia="zh-CN"/>
        </w:rPr>
        <w:t>5</w:t>
      </w:r>
      <w:r>
        <w:rPr>
          <w:rFonts w:hint="eastAsia" w:ascii="宋体" w:hAnsi="宋体" w:cs="宋体"/>
          <w:b/>
          <w:bCs/>
          <w:color w:val="000000"/>
          <w:kern w:val="0"/>
          <w:sz w:val="24"/>
          <w:szCs w:val="24"/>
          <w:shd w:val="clear" w:color="auto" w:fill="FFFFFF"/>
        </w:rPr>
        <w:t>日</w:t>
      </w:r>
    </w:p>
    <w:p>
      <w:pPr>
        <w:pStyle w:val="13"/>
        <w:keepNext/>
        <w:keepLines/>
        <w:pageBreakBefore w:val="0"/>
        <w:kinsoku/>
        <w:wordWrap/>
        <w:topLinePunct w:val="0"/>
        <w:bidi w:val="0"/>
        <w:spacing w:beforeAutospacing="0" w:after="0" w:afterAutospacing="0" w:line="360" w:lineRule="auto"/>
        <w:ind w:left="0"/>
        <w:jc w:val="left"/>
        <w:rPr>
          <w:b/>
          <w:bCs/>
          <w:color w:val="000000"/>
          <w:sz w:val="28"/>
          <w:szCs w:val="28"/>
          <w:lang w:val="en-US" w:eastAsia="zh-CN"/>
        </w:rPr>
        <w:sectPr>
          <w:footerReference r:id="rId3" w:type="default"/>
          <w:pgSz w:w="11906" w:h="16838"/>
          <w:pgMar w:top="1135" w:right="1416" w:bottom="1418" w:left="1418" w:header="851" w:footer="992" w:gutter="0"/>
          <w:pgNumType w:fmt="decimal"/>
          <w:cols w:space="720" w:num="1"/>
          <w:docGrid w:type="lines" w:linePitch="312" w:charSpace="0"/>
        </w:sectPr>
      </w:pPr>
    </w:p>
    <w:p>
      <w:pPr>
        <w:pageBreakBefore w:val="0"/>
        <w:kinsoku/>
        <w:wordWrap/>
        <w:topLinePunct w:val="0"/>
        <w:bidi w:val="0"/>
        <w:spacing w:beforeAutospacing="0" w:afterAutospacing="0" w:line="360" w:lineRule="auto"/>
        <w:jc w:val="center"/>
        <w:rPr>
          <w:rFonts w:hint="eastAsia"/>
          <w:b/>
          <w:color w:val="000000"/>
          <w:sz w:val="44"/>
          <w:szCs w:val="44"/>
        </w:rPr>
      </w:pPr>
      <w:bookmarkStart w:id="0" w:name="OLE_LINK2"/>
      <w:r>
        <w:rPr>
          <w:rFonts w:hint="eastAsia"/>
          <w:b/>
          <w:color w:val="000000"/>
          <w:sz w:val="44"/>
          <w:szCs w:val="44"/>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rPr>
      </w:pPr>
    </w:p>
    <w:p>
      <w:pPr>
        <w:pageBreakBefore w:val="0"/>
        <w:kinsoku/>
        <w:wordWrap/>
        <w:topLinePunct w:val="0"/>
        <w:bidi w:val="0"/>
        <w:spacing w:beforeAutospacing="0" w:afterAutospacing="0" w:line="360" w:lineRule="auto"/>
        <w:ind w:left="0"/>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pageBreakBefore w:val="0"/>
        <w:kinsoku/>
        <w:wordWrap/>
        <w:topLinePunct w:val="0"/>
        <w:bidi w:val="0"/>
        <w:spacing w:beforeAutospacing="0" w:afterAutospacing="0" w:line="360" w:lineRule="auto"/>
        <w:ind w:left="0"/>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lang w:val="en-US" w:eastAsia="zh-CN"/>
        </w:rPr>
        <w:t>1</w:t>
      </w:r>
      <w:r>
        <w:rPr>
          <w:rFonts w:hint="eastAsia" w:ascii="宋体" w:hAnsi="宋体"/>
          <w:color w:val="0000FF"/>
          <w:sz w:val="24"/>
        </w:rPr>
        <w:t>月</w:t>
      </w:r>
      <w:r>
        <w:rPr>
          <w:rFonts w:hint="eastAsia" w:ascii="宋体" w:hAnsi="宋体"/>
          <w:color w:val="0000FF"/>
          <w:sz w:val="24"/>
          <w:u w:val="single"/>
          <w:lang w:val="en-US" w:eastAsia="zh-CN"/>
        </w:rPr>
        <w:t xml:space="preserve"> 10</w:t>
      </w:r>
      <w:r>
        <w:rPr>
          <w:rFonts w:hint="eastAsia" w:ascii="宋体" w:hAnsi="宋体"/>
          <w:color w:val="0000FF"/>
          <w:sz w:val="24"/>
          <w:u w:val="single"/>
        </w:rPr>
        <w:t xml:space="preserve"> </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FF"/>
          <w:sz w:val="24"/>
          <w:u w:val="single"/>
          <w:lang w:val="en-US" w:eastAsia="zh-CN"/>
        </w:rPr>
        <w:t xml:space="preserve"> </w:t>
      </w:r>
      <w:r>
        <w:rPr>
          <w:rFonts w:hint="eastAsia" w:eastAsia="宋体" w:cs="宋体"/>
          <w:color w:val="0000FF"/>
          <w:kern w:val="0"/>
          <w:sz w:val="24"/>
          <w:szCs w:val="24"/>
          <w:u w:val="single"/>
          <w:lang w:val="en-US" w:eastAsia="zh-CN"/>
        </w:rPr>
        <w:t>福建省闽江上游龙岩连城段防洪工程姑田堤段元甲溪河段一期工程监理平行检测工程检测</w:t>
      </w:r>
      <w:r>
        <w:rPr>
          <w:rFonts w:hint="eastAsia" w:ascii="宋体" w:hAnsi="宋体"/>
          <w:color w:val="000000"/>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FF"/>
          <w:sz w:val="24"/>
          <w:u w:val="single"/>
          <w:lang w:val="en-US" w:eastAsia="zh-CN"/>
        </w:rPr>
        <w:t xml:space="preserve"> GKJC20220110-2</w:t>
      </w:r>
      <w:r>
        <w:rPr>
          <w:rFonts w:hint="eastAsia" w:ascii="宋体" w:hAnsi="宋体"/>
          <w:color w:val="000000"/>
          <w:sz w:val="24"/>
          <w:u w:val="single"/>
        </w:rPr>
        <w:t xml:space="preserve"> </w:t>
      </w:r>
      <w:r>
        <w:rPr>
          <w:rFonts w:hint="eastAsia" w:ascii="宋体" w:hAnsi="宋体"/>
          <w:color w:val="000000"/>
          <w:sz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w:t>
      </w:r>
      <w:bookmarkStart w:id="1" w:name="_GoBack"/>
      <w:bookmarkEnd w:id="1"/>
      <w:r>
        <w:rPr>
          <w:rFonts w:hint="eastAsia" w:ascii="宋体" w:hAnsi="宋体"/>
          <w:color w:val="000000"/>
          <w:sz w:val="24"/>
        </w:rPr>
        <w:t>担赔偿责任。</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承诺人（申请人签章）：</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联系电话：</w:t>
      </w:r>
    </w:p>
    <w:p>
      <w:pPr>
        <w:pageBreakBefore w:val="0"/>
        <w:kinsoku/>
        <w:wordWrap/>
        <w:topLinePunct w:val="0"/>
        <w:bidi w:val="0"/>
        <w:spacing w:beforeAutospacing="0" w:afterAutospacing="0" w:line="360" w:lineRule="auto"/>
        <w:ind w:left="0"/>
        <w:rPr>
          <w:rFonts w:ascii="宋体" w:hAnsi="宋体"/>
          <w:color w:val="000000"/>
          <w:sz w:val="24"/>
        </w:rPr>
      </w:pPr>
    </w:p>
    <w:p>
      <w:pPr>
        <w:pageBreakBefore w:val="0"/>
        <w:kinsoku/>
        <w:wordWrap/>
        <w:topLinePunct w:val="0"/>
        <w:bidi w:val="0"/>
        <w:spacing w:beforeAutospacing="0" w:afterAutospacing="0" w:line="360" w:lineRule="auto"/>
        <w:ind w:left="0" w:firstLine="6556" w:firstLineChars="2732"/>
        <w:rPr>
          <w:rFonts w:ascii="宋体" w:hAnsi="宋体"/>
          <w:color w:val="000000"/>
          <w:sz w:val="24"/>
        </w:rPr>
      </w:pPr>
      <w:r>
        <w:rPr>
          <w:rFonts w:hint="eastAsia" w:ascii="宋体" w:hAnsi="宋体"/>
          <w:color w:val="000000"/>
          <w:sz w:val="24"/>
        </w:rPr>
        <w:t>年    月    日</w:t>
      </w:r>
      <w:bookmarkEnd w:id="0"/>
    </w:p>
    <w:p>
      <w:pPr>
        <w:pStyle w:val="3"/>
        <w:pageBreakBefore w:val="0"/>
        <w:kinsoku/>
        <w:wordWrap/>
        <w:topLinePunct w:val="0"/>
        <w:bidi w:val="0"/>
        <w:spacing w:beforeAutospacing="0" w:afterAutospacing="0" w:line="360" w:lineRule="auto"/>
        <w:ind w:left="0"/>
        <w:rPr>
          <w:rFonts w:hint="eastAsia"/>
        </w:rPr>
      </w:pPr>
    </w:p>
    <w:p>
      <w:pPr>
        <w:pageBreakBefore w:val="0"/>
        <w:kinsoku/>
        <w:wordWrap/>
        <w:topLinePunct w:val="0"/>
        <w:bidi w:val="0"/>
        <w:spacing w:beforeAutospacing="0" w:afterAutospacing="0" w:line="360" w:lineRule="auto"/>
        <w:ind w:left="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F1C"/>
    <w:rsid w:val="02E5109A"/>
    <w:rsid w:val="0F087A87"/>
    <w:rsid w:val="110B7762"/>
    <w:rsid w:val="12EE135E"/>
    <w:rsid w:val="1F3A4FB5"/>
    <w:rsid w:val="21923E1A"/>
    <w:rsid w:val="2C511511"/>
    <w:rsid w:val="33137FB1"/>
    <w:rsid w:val="38317244"/>
    <w:rsid w:val="39617F1C"/>
    <w:rsid w:val="3B83521D"/>
    <w:rsid w:val="3CCE2B93"/>
    <w:rsid w:val="45533F2D"/>
    <w:rsid w:val="4B005883"/>
    <w:rsid w:val="54456714"/>
    <w:rsid w:val="54DE4E29"/>
    <w:rsid w:val="5A22414B"/>
    <w:rsid w:val="5D9B748C"/>
    <w:rsid w:val="7881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4"/>
    <w:qFormat/>
    <w:uiPriority w:val="0"/>
    <w:pPr>
      <w:spacing w:before="0" w:after="0" w:line="400" w:lineRule="exact"/>
    </w:pPr>
    <w:rPr>
      <w:rFonts w:eastAsia="黑体"/>
      <w:b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dcterms:modified xsi:type="dcterms:W3CDTF">2021-12-30T07:58:06Z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7552220F4D8E44E2905D3DCEA9A92290</vt:lpwstr>
  </property>
</Properties>
</file>