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rPr>
        <w:t>LCCQ202100</w:t>
      </w:r>
      <w:r>
        <w:rPr>
          <w:rFonts w:hint="eastAsia" w:ascii="宋体" w:hAnsi="宋体" w:cs="宋体"/>
          <w:b/>
          <w:bCs/>
          <w:color w:val="0000FF"/>
          <w:lang w:val="en-US" w:eastAsia="zh-CN"/>
        </w:rPr>
        <w:t>3</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11</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15：00</w:t>
      </w:r>
      <w:r>
        <w:rPr>
          <w:rFonts w:hint="eastAsia" w:ascii="宋体" w:hAnsi="宋体" w:cs="宋体"/>
          <w:color w:val="0000FF"/>
          <w:shd w:val="clear" w:color="auto" w:fill="FFFFFF"/>
        </w:rPr>
        <w:t>至2021年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Calibri" w:cs="宋体"/>
          <w:bCs/>
          <w:color w:val="0000FF"/>
          <w:lang w:val="en-US" w:eastAsia="zh-CN"/>
        </w:rPr>
        <w:t>12</w:t>
      </w:r>
      <w:r>
        <w:rPr>
          <w:rFonts w:hint="eastAsia" w:ascii="宋体" w:hAnsi="Calibri" w:cs="宋体"/>
          <w:bCs/>
          <w:color w:val="0000FF"/>
        </w:rPr>
        <w:t>日</w:t>
      </w:r>
      <w:r>
        <w:rPr>
          <w:rFonts w:hint="eastAsia" w:ascii="宋体" w:hAnsi="Calibri" w:cs="宋体"/>
          <w:bCs/>
          <w:color w:val="0000FF"/>
          <w:lang w:val="en-US" w:eastAsia="zh-CN"/>
        </w:rPr>
        <w:t>14</w:t>
      </w:r>
      <w:r>
        <w:rPr>
          <w:rFonts w:hint="eastAsia" w:ascii="宋体" w:hAnsi="Calibri" w:cs="宋体"/>
          <w:bCs/>
          <w:color w:val="0000FF"/>
        </w:rPr>
        <w:t>：50时止</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比选时间：</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12</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15</w:t>
      </w:r>
      <w:r>
        <w:rPr>
          <w:rFonts w:hint="eastAsia" w:ascii="宋体" w:hAnsi="宋体" w:cs="宋体"/>
          <w:color w:val="0000FF"/>
          <w:shd w:val="clear" w:color="auto" w:fill="FFFFFF"/>
          <w:lang w:eastAsia="zh-CN"/>
        </w:rPr>
        <w:t>：</w:t>
      </w:r>
      <w:r>
        <w:rPr>
          <w:rFonts w:hint="eastAsia" w:ascii="宋体" w:hAnsi="宋体" w:cs="宋体"/>
          <w:color w:val="0000FF"/>
          <w:shd w:val="clear" w:color="auto" w:fill="FFFFFF"/>
        </w:rPr>
        <w:t>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ascii="宋体" w:hAnsi="宋体" w:cs="宋体"/>
          <w:color w:val="0000FF"/>
          <w:kern w:val="0"/>
          <w:sz w:val="24"/>
          <w:szCs w:val="20"/>
          <w:u w:val="none"/>
          <w:shd w:val="clear" w:color="auto" w:fill="FFFFFF"/>
        </w:rPr>
        <w:t>文川河沿河立体绿化工程</w:t>
      </w:r>
      <w:r>
        <w:rPr>
          <w:rFonts w:hint="eastAsia" w:ascii="宋体" w:hAnsi="宋体" w:cs="宋体"/>
          <w:color w:val="0000FF"/>
          <w:kern w:val="0"/>
          <w:sz w:val="24"/>
          <w:szCs w:val="20"/>
          <w:u w:val="none"/>
          <w:shd w:val="clear" w:color="auto" w:fill="FFFFFF"/>
          <w:lang w:val="en-US" w:eastAsia="zh-CN"/>
        </w:rPr>
        <w:t>监理</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连城县城区</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bCs w:val="0"/>
          <w:color w:val="0000FF"/>
          <w:kern w:val="0"/>
          <w:sz w:val="24"/>
          <w:u w:val="none"/>
          <w:shd w:val="clear" w:color="auto" w:fill="FFFFFF"/>
          <w:lang w:val="en-US" w:eastAsia="zh-CN"/>
        </w:rPr>
        <w:t>监理类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shd w:val="clear" w:color="auto" w:fill="FFFFFF"/>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w:t>
      </w:r>
      <w:bookmarkStart w:id="0" w:name="_GoBack"/>
      <w:bookmarkEnd w:id="0"/>
      <w:r>
        <w:rPr>
          <w:rFonts w:hint="eastAsia" w:ascii="宋体" w:hAnsi="宋体" w:cs="宋体"/>
          <w:color w:val="000000"/>
          <w:shd w:val="clear" w:color="auto" w:fill="FFFFFF"/>
        </w:rPr>
        <w:t>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11</w:t>
      </w:r>
      <w:r>
        <w:rPr>
          <w:rFonts w:hint="eastAsia" w:ascii="宋体" w:hAnsi="宋体" w:cs="宋体"/>
          <w:color w:val="0000FF"/>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9E"/>
    <w:rsid w:val="00F0389E"/>
    <w:rsid w:val="18FB5790"/>
    <w:rsid w:val="48A370D8"/>
    <w:rsid w:val="66AD1F54"/>
    <w:rsid w:val="7EAC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2021-09-18T08:28:00Z</dcterms:created>
  <dc:creator>Ariesstar</dc:creator>
  <cp:lastModifiedBy>Jacky</cp:lastModifiedBy>
  <dcterms:modified xsi:type="dcterms:W3CDTF">2021-10-11T07:33:30Z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83EAF2C6774D4B2793A36030CF776434</vt:lpwstr>
  </property>
</Properties>
</file>