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80" w:lineRule="exact"/>
        <w:ind w:left="51"/>
        <w:jc w:val="center"/>
        <w:rPr>
          <w:rFonts w:ascii="宋体"/>
          <w:b/>
          <w:color w:val="000000" w:themeColor="text1"/>
          <w:sz w:val="36"/>
          <w14:textFill>
            <w14:solidFill>
              <w14:schemeClr w14:val="tx1"/>
            </w14:solidFill>
          </w14:textFill>
        </w:rPr>
      </w:pPr>
      <w:r>
        <w:rPr>
          <w:rFonts w:hint="eastAsia" w:ascii="宋体"/>
          <w:b/>
          <w:color w:val="000000" w:themeColor="text1"/>
          <w:sz w:val="36"/>
          <w14:textFill>
            <w14:solidFill>
              <w14:schemeClr w14:val="tx1"/>
            </w14:solidFill>
          </w14:textFill>
        </w:rPr>
        <w:t>竞价须知</w:t>
      </w:r>
    </w:p>
    <w:p>
      <w:pPr>
        <w:spacing w:line="380" w:lineRule="exact"/>
        <w:ind w:left="51"/>
        <w:jc w:val="center"/>
        <w:rPr>
          <w:rFonts w:ascii="宋体"/>
          <w:b/>
          <w:color w:val="000000" w:themeColor="text1"/>
          <w:szCs w:val="21"/>
          <w14:textFill>
            <w14:solidFill>
              <w14:schemeClr w14:val="tx1"/>
            </w14:solidFill>
          </w14:textFill>
        </w:rPr>
      </w:pPr>
      <w:r>
        <w:rPr>
          <w:rFonts w:hint="eastAsia" w:ascii="宋体"/>
          <w:b/>
          <w:color w:val="000000" w:themeColor="text1"/>
          <w:szCs w:val="21"/>
          <w14:textFill>
            <w14:solidFill>
              <w14:schemeClr w14:val="tx1"/>
            </w14:solidFill>
          </w14:textFill>
        </w:rPr>
        <w:t>（项目编号：</w:t>
      </w:r>
      <w:r>
        <w:rPr>
          <w:rFonts w:hint="eastAsia" w:ascii="宋体"/>
          <w:b/>
          <w:color w:val="000000" w:themeColor="text1"/>
          <w:szCs w:val="21"/>
          <w14:textFill>
            <w14:solidFill>
              <w14:schemeClr w14:val="tx1"/>
            </w14:solidFill>
          </w14:textFill>
        </w:rPr>
        <w:t>LC20210</w:t>
      </w:r>
      <w:r>
        <w:rPr>
          <w:rFonts w:hint="eastAsia" w:ascii="宋体"/>
          <w:b/>
          <w:color w:val="000000" w:themeColor="text1"/>
          <w:szCs w:val="21"/>
          <w:lang w:val="en-US" w:eastAsia="zh-CN"/>
          <w14:textFill>
            <w14:solidFill>
              <w14:schemeClr w14:val="tx1"/>
            </w14:solidFill>
          </w14:textFill>
        </w:rPr>
        <w:t>9</w:t>
      </w:r>
      <w:r>
        <w:rPr>
          <w:rFonts w:hint="eastAsia" w:ascii="宋体"/>
          <w:b/>
          <w:color w:val="000000" w:themeColor="text1"/>
          <w:szCs w:val="21"/>
          <w14:textFill>
            <w14:solidFill>
              <w14:schemeClr w14:val="tx1"/>
            </w14:solidFill>
          </w14:textFill>
        </w:rPr>
        <w:t>2</w:t>
      </w:r>
      <w:r>
        <w:rPr>
          <w:rFonts w:hint="eastAsia" w:ascii="宋体"/>
          <w:b/>
          <w:color w:val="000000" w:themeColor="text1"/>
          <w:szCs w:val="21"/>
          <w:lang w:val="en-US" w:eastAsia="zh-CN"/>
          <w14:textFill>
            <w14:solidFill>
              <w14:schemeClr w14:val="tx1"/>
            </w14:solidFill>
          </w14:textFill>
        </w:rPr>
        <w:t>9</w:t>
      </w:r>
      <w:r>
        <w:rPr>
          <w:rFonts w:hint="eastAsia" w:ascii="宋体"/>
          <w:b/>
          <w:color w:val="000000" w:themeColor="text1"/>
          <w:szCs w:val="21"/>
          <w14:textFill>
            <w14:solidFill>
              <w14:schemeClr w14:val="tx1"/>
            </w14:solidFill>
          </w14:textFill>
        </w:rPr>
        <w:t>）</w:t>
      </w:r>
    </w:p>
    <w:p>
      <w:pPr>
        <w:spacing w:line="440" w:lineRule="exact"/>
        <w:ind w:left="42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 xml:space="preserve">    连城县国有资产产权交易服务有限公司（以下简称产权交易服务机构）遵循“公开、公平、公正、诚实信用”的原则，根据《中华人民共和国民法典》及相关法律、法规，针对本次竞价标的，特制定本须知，将有关的网上竞价事宜敬告各位竞价人，请竞价人详细阅读。</w:t>
      </w:r>
    </w:p>
    <w:p>
      <w:pPr>
        <w:spacing w:line="440" w:lineRule="exact"/>
        <w:ind w:firstLine="964" w:firstLineChars="400"/>
        <w:rPr>
          <w:rFonts w:ascii="宋体"/>
          <w:b/>
          <w:color w:val="000000" w:themeColor="text1"/>
          <w:sz w:val="24"/>
          <w14:textFill>
            <w14:solidFill>
              <w14:schemeClr w14:val="tx1"/>
            </w14:solidFill>
          </w14:textFill>
        </w:rPr>
      </w:pPr>
      <w:r>
        <w:rPr>
          <w:rFonts w:hint="eastAsia" w:ascii="宋体"/>
          <w:b/>
          <w:color w:val="000000" w:themeColor="text1"/>
          <w:sz w:val="24"/>
          <w14:textFill>
            <w14:solidFill>
              <w14:schemeClr w14:val="tx1"/>
            </w14:solidFill>
          </w14:textFill>
        </w:rPr>
        <w:t>一、公开竞价、报名、时间、地点：</w:t>
      </w:r>
    </w:p>
    <w:p>
      <w:pPr>
        <w:spacing w:line="440" w:lineRule="exact"/>
        <w:ind w:left="420" w:firstLine="482" w:firstLineChars="200"/>
        <w:rPr>
          <w:rFonts w:ascii="宋体" w:cs="宋体"/>
          <w:b/>
          <w:bCs/>
          <w:color w:val="000000" w:themeColor="text1"/>
          <w:kern w:val="0"/>
          <w:sz w:val="24"/>
          <w14:textFill>
            <w14:solidFill>
              <w14:schemeClr w14:val="tx1"/>
            </w14:solidFill>
          </w14:textFill>
        </w:rPr>
      </w:pPr>
      <w:r>
        <w:rPr>
          <w:rFonts w:hint="eastAsia" w:ascii="宋体"/>
          <w:b/>
          <w:bCs/>
          <w:color w:val="000000" w:themeColor="text1"/>
          <w:sz w:val="24"/>
          <w14:textFill>
            <w14:solidFill>
              <w14:schemeClr w14:val="tx1"/>
            </w14:solidFill>
          </w14:textFill>
        </w:rPr>
        <w:t>竞价时间：</w:t>
      </w:r>
      <w:r>
        <w:rPr>
          <w:rFonts w:hint="eastAsia" w:ascii="宋体"/>
          <w:b/>
          <w:bCs/>
          <w:color w:val="000000" w:themeColor="text1"/>
          <w:sz w:val="24"/>
          <w14:textFill>
            <w14:solidFill>
              <w14:schemeClr w14:val="tx1"/>
            </w14:solidFill>
          </w14:textFill>
        </w:rPr>
        <w:t>2021年</w:t>
      </w:r>
      <w:r>
        <w:rPr>
          <w:rFonts w:hint="eastAsia" w:ascii="宋体"/>
          <w:b/>
          <w:bCs/>
          <w:color w:val="000000" w:themeColor="text1"/>
          <w:sz w:val="24"/>
          <w:lang w:val="en-US" w:eastAsia="zh-CN"/>
          <w14:textFill>
            <w14:solidFill>
              <w14:schemeClr w14:val="tx1"/>
            </w14:solidFill>
          </w14:textFill>
        </w:rPr>
        <w:t>9</w:t>
      </w:r>
      <w:r>
        <w:rPr>
          <w:rFonts w:hint="eastAsia" w:ascii="宋体"/>
          <w:b/>
          <w:bCs/>
          <w:color w:val="000000" w:themeColor="text1"/>
          <w:sz w:val="24"/>
          <w14:textFill>
            <w14:solidFill>
              <w14:schemeClr w14:val="tx1"/>
            </w14:solidFill>
          </w14:textFill>
        </w:rPr>
        <w:t>月</w:t>
      </w:r>
      <w:r>
        <w:rPr>
          <w:rFonts w:hint="eastAsia" w:ascii="宋体"/>
          <w:b/>
          <w:bCs/>
          <w:color w:val="000000" w:themeColor="text1"/>
          <w:sz w:val="24"/>
          <w:lang w:val="en-US" w:eastAsia="zh-CN"/>
          <w14:textFill>
            <w14:solidFill>
              <w14:schemeClr w14:val="tx1"/>
            </w14:solidFill>
          </w14:textFill>
        </w:rPr>
        <w:t xml:space="preserve"> 29 </w:t>
      </w:r>
      <w:r>
        <w:rPr>
          <w:rFonts w:hint="eastAsia" w:ascii="宋体"/>
          <w:b/>
          <w:bCs/>
          <w:color w:val="000000" w:themeColor="text1"/>
          <w:sz w:val="24"/>
          <w14:textFill>
            <w14:solidFill>
              <w14:schemeClr w14:val="tx1"/>
            </w14:solidFill>
          </w14:textFill>
        </w:rPr>
        <w:t>日9:30至9:50止</w:t>
      </w:r>
    </w:p>
    <w:p>
      <w:pPr>
        <w:widowControl/>
        <w:shd w:val="clear" w:color="auto" w:fill="FFFFFF"/>
        <w:spacing w:line="440" w:lineRule="exact"/>
        <w:ind w:firstLine="964" w:firstLineChars="400"/>
        <w:rPr>
          <w:rFonts w:ascii="宋体" w:cs="宋体"/>
          <w:b/>
          <w:bCs/>
          <w:color w:val="000000" w:themeColor="text1"/>
          <w:kern w:val="0"/>
          <w:sz w:val="24"/>
          <w14:textFill>
            <w14:solidFill>
              <w14:schemeClr w14:val="tx1"/>
            </w14:solidFill>
          </w14:textFill>
        </w:rPr>
      </w:pPr>
      <w:r>
        <w:rPr>
          <w:rFonts w:hint="eastAsia" w:ascii="宋体" w:cs="宋体"/>
          <w:b/>
          <w:bCs/>
          <w:color w:val="000000" w:themeColor="text1"/>
          <w:kern w:val="0"/>
          <w:sz w:val="24"/>
          <w14:textFill>
            <w14:solidFill>
              <w14:schemeClr w14:val="tx1"/>
            </w14:solidFill>
          </w14:textFill>
        </w:rPr>
        <w:t>优先权人（即原承租人，下同）行使优先权时间：本场竞价招</w:t>
      </w:r>
      <w:bookmarkStart w:id="0" w:name="_GoBack"/>
      <w:bookmarkEnd w:id="0"/>
      <w:r>
        <w:rPr>
          <w:rFonts w:hint="eastAsia" w:ascii="宋体" w:cs="宋体"/>
          <w:b/>
          <w:bCs/>
          <w:color w:val="000000" w:themeColor="text1"/>
          <w:kern w:val="0"/>
          <w:sz w:val="24"/>
          <w14:textFill>
            <w14:solidFill>
              <w14:schemeClr w14:val="tx1"/>
            </w14:solidFill>
          </w14:textFill>
        </w:rPr>
        <w:t>租标的无优先权人</w:t>
      </w:r>
    </w:p>
    <w:p>
      <w:pPr>
        <w:widowControl/>
        <w:shd w:val="clear" w:color="auto" w:fill="FFFFFF"/>
        <w:spacing w:line="440" w:lineRule="exact"/>
        <w:ind w:firstLine="936" w:firstLineChars="39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竞价地点：</w:t>
      </w:r>
      <w:r>
        <w:rPr>
          <w:rFonts w:hint="eastAsia" w:ascii="宋体" w:cs="Times New Roman"/>
          <w:bCs w:val="0"/>
          <w:color w:val="000000" w:themeColor="text1"/>
          <w:kern w:val="2"/>
          <w:sz w:val="24"/>
          <w14:textFill>
            <w14:solidFill>
              <w14:schemeClr w14:val="tx1"/>
            </w14:solidFill>
          </w14:textFill>
        </w:rPr>
        <w:t>权益云交易平台（网址：</w:t>
      </w:r>
      <w:r>
        <w:rPr>
          <w:rFonts w:hint="eastAsia" w:ascii="宋体" w:cs="Times New Roman"/>
          <w:bCs w:val="0"/>
          <w:color w:val="000000" w:themeColor="text1"/>
          <w:kern w:val="2"/>
          <w:sz w:val="24"/>
          <w14:textFill>
            <w14:solidFill>
              <w14:schemeClr w14:val="tx1"/>
            </w14:solidFill>
          </w14:textFill>
        </w:rPr>
        <w:fldChar w:fldCharType="begin"/>
      </w:r>
      <w:r>
        <w:rPr>
          <w:rFonts w:hint="eastAsia" w:ascii="宋体"/>
          <w:color w:val="000000" w:themeColor="text1"/>
          <w:sz w:val="24"/>
          <w14:textFill>
            <w14:solidFill>
              <w14:schemeClr w14:val="tx1"/>
            </w14:solidFill>
          </w14:textFill>
        </w:rPr>
        <w:instrText xml:space="preserve">HYPERLINK "https://www.unibid.cn/"</w:instrText>
      </w:r>
      <w:r>
        <w:rPr>
          <w:rFonts w:hint="eastAsia" w:ascii="宋体" w:cs="Times New Roman"/>
          <w:bCs w:val="0"/>
          <w:color w:val="000000" w:themeColor="text1"/>
          <w:kern w:val="2"/>
          <w:sz w:val="24"/>
          <w14:textFill>
            <w14:solidFill>
              <w14:schemeClr w14:val="tx1"/>
            </w14:solidFill>
          </w14:textFill>
        </w:rPr>
        <w:fldChar w:fldCharType="separate"/>
      </w:r>
      <w:r>
        <w:rPr>
          <w:rFonts w:hint="eastAsia" w:ascii="宋体" w:cs="Times New Roman"/>
          <w:bCs w:val="0"/>
          <w:color w:val="000000" w:themeColor="text1"/>
          <w:kern w:val="2"/>
          <w:sz w:val="24"/>
          <w14:textFill>
            <w14:solidFill>
              <w14:schemeClr w14:val="tx1"/>
            </w14:solidFill>
          </w14:textFill>
        </w:rPr>
        <w:t>https://www.unibid.cn/</w:t>
      </w:r>
      <w:r>
        <w:rPr>
          <w:rFonts w:hint="eastAsia" w:ascii="宋体" w:cs="Times New Roman"/>
          <w:bCs w:val="0"/>
          <w:color w:val="000000" w:themeColor="text1"/>
          <w:kern w:val="2"/>
          <w:sz w:val="24"/>
          <w14:textFill>
            <w14:solidFill>
              <w14:schemeClr w14:val="tx1"/>
            </w14:solidFill>
          </w14:textFill>
        </w:rPr>
        <w:fldChar w:fldCharType="end"/>
      </w:r>
      <w:r>
        <w:rPr>
          <w:rFonts w:hint="eastAsia" w:ascii="宋体" w:cs="Times New Roman"/>
          <w:bCs w:val="0"/>
          <w:color w:val="000000" w:themeColor="text1"/>
          <w:kern w:val="2"/>
          <w:sz w:val="24"/>
          <w14:textFill>
            <w14:solidFill>
              <w14:schemeClr w14:val="tx1"/>
            </w14:solidFill>
          </w14:textFill>
        </w:rPr>
        <w:t>)</w:t>
      </w:r>
    </w:p>
    <w:p>
      <w:pPr>
        <w:widowControl/>
        <w:shd w:val="clear" w:color="auto" w:fill="FFFFFF"/>
        <w:spacing w:line="440" w:lineRule="exact"/>
        <w:ind w:left="0" w:firstLine="936" w:firstLineChars="390"/>
        <w:rPr>
          <w:rFonts w:hint="eastAsia"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报名及交竞价保证金截止时间：</w:t>
      </w:r>
      <w:r>
        <w:rPr>
          <w:rFonts w:hint="eastAsia" w:ascii="宋体"/>
          <w:color w:val="000000" w:themeColor="text1"/>
          <w:sz w:val="24"/>
          <w14:textFill>
            <w14:solidFill>
              <w14:schemeClr w14:val="tx1"/>
            </w14:solidFill>
          </w14:textFill>
        </w:rPr>
        <w:t>2021年</w:t>
      </w:r>
      <w:r>
        <w:rPr>
          <w:rFonts w:hint="eastAsia" w:ascii="宋体"/>
          <w:color w:val="000000" w:themeColor="text1"/>
          <w:sz w:val="24"/>
          <w:lang w:val="en-US" w:eastAsia="zh-CN"/>
          <w14:textFill>
            <w14:solidFill>
              <w14:schemeClr w14:val="tx1"/>
            </w14:solidFill>
          </w14:textFill>
        </w:rPr>
        <w:t>9</w:t>
      </w:r>
      <w:r>
        <w:rPr>
          <w:rFonts w:hint="eastAsia" w:ascii="宋体"/>
          <w:color w:val="000000" w:themeColor="text1"/>
          <w:sz w:val="24"/>
          <w14:textFill>
            <w14:solidFill>
              <w14:schemeClr w14:val="tx1"/>
            </w14:solidFill>
          </w14:textFill>
        </w:rPr>
        <w:t>月</w:t>
      </w:r>
      <w:r>
        <w:rPr>
          <w:rFonts w:hint="eastAsia" w:ascii="宋体"/>
          <w:color w:val="000000" w:themeColor="text1"/>
          <w:sz w:val="24"/>
          <w:lang w:val="en-US" w:eastAsia="zh-CN"/>
          <w14:textFill>
            <w14:solidFill>
              <w14:schemeClr w14:val="tx1"/>
            </w14:solidFill>
          </w14:textFill>
        </w:rPr>
        <w:t>28</w:t>
      </w:r>
      <w:r>
        <w:rPr>
          <w:rFonts w:hint="eastAsia" w:ascii="宋体"/>
          <w:color w:val="000000" w:themeColor="text1"/>
          <w:sz w:val="24"/>
          <w14:textFill>
            <w14:solidFill>
              <w14:schemeClr w14:val="tx1"/>
            </w14:solidFill>
          </w14:textFill>
        </w:rPr>
        <w:t>日17时(以到账</w:t>
      </w:r>
      <w:r>
        <w:rPr>
          <w:rFonts w:hint="eastAsia" w:ascii="宋体"/>
          <w:color w:val="000000" w:themeColor="text1"/>
          <w:sz w:val="24"/>
          <w:lang w:val="en-US" w:eastAsia="zh-CN"/>
          <w14:textFill>
            <w14:solidFill>
              <w14:schemeClr w14:val="tx1"/>
            </w14:solidFill>
          </w14:textFill>
        </w:rPr>
        <w:t>时间</w:t>
      </w:r>
      <w:r>
        <w:rPr>
          <w:rFonts w:hint="eastAsia" w:ascii="宋体"/>
          <w:color w:val="000000" w:themeColor="text1"/>
          <w:sz w:val="24"/>
          <w14:textFill>
            <w14:solidFill>
              <w14:schemeClr w14:val="tx1"/>
            </w14:solidFill>
          </w14:textFill>
        </w:rPr>
        <w:t>为准)</w:t>
      </w:r>
    </w:p>
    <w:p>
      <w:pPr>
        <w:widowControl/>
        <w:shd w:val="clear" w:color="auto" w:fill="FFFFFF"/>
        <w:spacing w:line="440" w:lineRule="exact"/>
        <w:ind w:left="0" w:firstLine="936" w:firstLineChars="39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报名地点：龙岩市连城县北大东路1号</w:t>
      </w:r>
      <w:r>
        <w:rPr>
          <w:rFonts w:hint="eastAsia" w:ascii="宋体" w:cs="Times New Roman"/>
          <w:color w:val="000000" w:themeColor="text1"/>
          <w:sz w:val="24"/>
          <w14:textFill>
            <w14:solidFill>
              <w14:schemeClr w14:val="tx1"/>
            </w14:solidFill>
          </w14:textFill>
        </w:rPr>
        <w:t>（连城县农业银行7楼）</w:t>
      </w:r>
    </w:p>
    <w:p>
      <w:pPr>
        <w:widowControl/>
        <w:shd w:val="clear" w:color="auto" w:fill="FFFFFF"/>
        <w:spacing w:line="440" w:lineRule="exact"/>
        <w:ind w:firstLine="936" w:firstLineChars="390"/>
        <w:rPr>
          <w:rFonts w:hint="eastAsia" w:ascii="宋体" w:cs="Times New Roman"/>
          <w:b w:val="0"/>
          <w:bCs w:val="0"/>
          <w:color w:val="000000" w:themeColor="text1"/>
          <w:sz w:val="24"/>
          <w14:textFill>
            <w14:solidFill>
              <w14:schemeClr w14:val="tx1"/>
            </w14:solidFill>
          </w14:textFill>
        </w:rPr>
      </w:pPr>
      <w:r>
        <w:rPr>
          <w:rFonts w:hint="eastAsia" w:ascii="宋体" w:cs="Times New Roman"/>
          <w:color w:val="000000" w:themeColor="text1"/>
          <w:sz w:val="24"/>
          <w14:textFill>
            <w14:solidFill>
              <w14:schemeClr w14:val="tx1"/>
            </w14:solidFill>
          </w14:textFill>
        </w:rPr>
        <w:t>看样时间：</w:t>
      </w:r>
      <w:r>
        <w:rPr>
          <w:rFonts w:hint="eastAsia" w:ascii="宋体" w:cs="Times New Roman"/>
          <w:color w:val="000000" w:themeColor="text1"/>
          <w:sz w:val="24"/>
          <w14:textFill>
            <w14:solidFill>
              <w14:schemeClr w14:val="tx1"/>
            </w14:solidFill>
          </w14:textFill>
        </w:rPr>
        <w:t>2021年</w:t>
      </w:r>
      <w:r>
        <w:rPr>
          <w:rFonts w:hint="eastAsia" w:ascii="宋体" w:cs="Times New Roman"/>
          <w:color w:val="000000" w:themeColor="text1"/>
          <w:sz w:val="24"/>
          <w:lang w:val="en-US" w:eastAsia="zh-CN"/>
          <w14:textFill>
            <w14:solidFill>
              <w14:schemeClr w14:val="tx1"/>
            </w14:solidFill>
          </w14:textFill>
        </w:rPr>
        <w:t>9</w:t>
      </w:r>
      <w:r>
        <w:rPr>
          <w:rFonts w:hint="eastAsia" w:ascii="宋体" w:cs="Times New Roman"/>
          <w:color w:val="000000" w:themeColor="text1"/>
          <w:sz w:val="24"/>
          <w14:textFill>
            <w14:solidFill>
              <w14:schemeClr w14:val="tx1"/>
            </w14:solidFill>
          </w14:textFill>
        </w:rPr>
        <w:t>月</w:t>
      </w:r>
      <w:r>
        <w:rPr>
          <w:rFonts w:hint="eastAsia" w:ascii="宋体" w:cs="Times New Roman"/>
          <w:color w:val="000000" w:themeColor="text1"/>
          <w:sz w:val="24"/>
          <w:lang w:val="en-US" w:eastAsia="zh-CN"/>
          <w14:textFill>
            <w14:solidFill>
              <w14:schemeClr w14:val="tx1"/>
            </w14:solidFill>
          </w14:textFill>
        </w:rPr>
        <w:t xml:space="preserve"> 27 </w:t>
      </w:r>
      <w:r>
        <w:rPr>
          <w:rFonts w:hint="eastAsia" w:ascii="宋体" w:cs="Times New Roman"/>
          <w:color w:val="000000" w:themeColor="text1"/>
          <w:sz w:val="24"/>
          <w14:textFill>
            <w14:solidFill>
              <w14:schemeClr w14:val="tx1"/>
            </w14:solidFill>
          </w14:textFill>
        </w:rPr>
        <w:t>日（预约看样）</w:t>
      </w:r>
    </w:p>
    <w:p>
      <w:pPr>
        <w:widowControl/>
        <w:shd w:val="clear" w:color="auto" w:fill="FFFFFF"/>
        <w:spacing w:line="440" w:lineRule="exact"/>
        <w:ind w:firstLine="936" w:firstLineChars="390"/>
        <w:rPr>
          <w:rFonts w:hint="eastAsia" w:ascii="宋体" w:cs="Times New Roman"/>
          <w:color w:val="000000" w:themeColor="text1"/>
          <w:sz w:val="24"/>
          <w14:textFill>
            <w14:solidFill>
              <w14:schemeClr w14:val="tx1"/>
            </w14:solidFill>
          </w14:textFill>
        </w:rPr>
      </w:pPr>
      <w:r>
        <w:rPr>
          <w:rFonts w:hint="eastAsia" w:ascii="宋体" w:cs="Times New Roman"/>
          <w:color w:val="000000" w:themeColor="text1"/>
          <w:sz w:val="24"/>
          <w14:textFill>
            <w14:solidFill>
              <w14:schemeClr w14:val="tx1"/>
            </w14:solidFill>
          </w14:textFill>
        </w:rPr>
        <w:t>看样地点：标的所在地</w:t>
      </w:r>
    </w:p>
    <w:p>
      <w:pPr>
        <w:widowControl/>
        <w:shd w:val="clear" w:color="auto" w:fill="FFFFFF"/>
        <w:spacing w:line="440" w:lineRule="exact"/>
        <w:ind w:left="0" w:firstLine="936" w:firstLineChars="390"/>
        <w:rPr>
          <w:rFonts w:ascii="宋体" w:cs="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联系电话：</w:t>
      </w:r>
      <w:r>
        <w:rPr>
          <w:rFonts w:hint="eastAsia" w:ascii="宋体" w:cs="宋体"/>
          <w:color w:val="000000" w:themeColor="text1"/>
          <w:sz w:val="24"/>
          <w14:textFill>
            <w14:solidFill>
              <w14:schemeClr w14:val="tx1"/>
            </w14:solidFill>
          </w14:textFill>
        </w:rPr>
        <w:t>0597-8911670   联系人：江女士</w:t>
      </w:r>
    </w:p>
    <w:p>
      <w:pPr>
        <w:numPr>
          <w:ilvl w:val="-1"/>
          <w:numId w:val="0"/>
        </w:numPr>
        <w:spacing w:line="440" w:lineRule="exact"/>
        <w:ind w:left="420" w:firstLine="482" w:firstLineChars="200"/>
        <w:rPr>
          <w:rFonts w:ascii="宋体"/>
          <w:color w:val="000000" w:themeColor="text1"/>
          <w:sz w:val="24"/>
          <w14:textFill>
            <w14:solidFill>
              <w14:schemeClr w14:val="tx1"/>
            </w14:solidFill>
          </w14:textFill>
        </w:rPr>
      </w:pPr>
      <w:r>
        <w:rPr>
          <w:rFonts w:hint="eastAsia" w:ascii="宋体"/>
          <w:b/>
          <w:color w:val="000000" w:themeColor="text1"/>
          <w:sz w:val="24"/>
          <w:lang w:val="en-US" w:eastAsia="zh-CN"/>
          <w14:textFill>
            <w14:solidFill>
              <w14:schemeClr w14:val="tx1"/>
            </w14:solidFill>
          </w14:textFill>
        </w:rPr>
        <w:t>二、</w:t>
      </w:r>
      <w:r>
        <w:rPr>
          <w:rFonts w:hint="eastAsia" w:ascii="宋体"/>
          <w:b/>
          <w:color w:val="000000" w:themeColor="text1"/>
          <w:sz w:val="24"/>
          <w14:textFill>
            <w14:solidFill>
              <w14:schemeClr w14:val="tx1"/>
            </w14:solidFill>
          </w14:textFill>
        </w:rPr>
        <w:t>竞价标的：</w:t>
      </w:r>
      <w:r>
        <w:rPr>
          <w:rFonts w:hint="eastAsia" w:ascii="宋体"/>
          <w:b w:val="0"/>
          <w:bCs/>
          <w:color w:val="000000" w:themeColor="text1"/>
          <w:sz w:val="24"/>
          <w14:textFill>
            <w14:solidFill>
              <w14:schemeClr w14:val="tx1"/>
            </w14:solidFill>
          </w14:textFill>
        </w:rPr>
        <w:t>连城县冠豸山古寨遗址、东桃园服务区及冠豸山山下路32号等1</w:t>
      </w:r>
      <w:r>
        <w:rPr>
          <w:rFonts w:hint="eastAsia" w:ascii="宋体"/>
          <w:b w:val="0"/>
          <w:bCs/>
          <w:color w:val="000000" w:themeColor="text1"/>
          <w:sz w:val="24"/>
          <w:lang w:val="en-US" w:eastAsia="zh-CN"/>
          <w14:textFill>
            <w14:solidFill>
              <w14:schemeClr w14:val="tx1"/>
            </w14:solidFill>
          </w14:textFill>
        </w:rPr>
        <w:t>4</w:t>
      </w:r>
      <w:r>
        <w:rPr>
          <w:rFonts w:hint="eastAsia" w:ascii="宋体"/>
          <w:b w:val="0"/>
          <w:bCs/>
          <w:color w:val="000000" w:themeColor="text1"/>
          <w:sz w:val="24"/>
          <w14:textFill>
            <w14:solidFill>
              <w14:schemeClr w14:val="tx1"/>
            </w14:solidFill>
          </w14:textFill>
        </w:rPr>
        <w:t>处房产</w:t>
      </w:r>
      <w:r>
        <w:rPr>
          <w:rFonts w:hint="eastAsia" w:ascii="宋体"/>
          <w:b w:val="0"/>
          <w:bCs/>
          <w:color w:val="000000" w:themeColor="text1"/>
          <w:sz w:val="24"/>
          <w:lang w:val="en-US" w:eastAsia="zh-CN"/>
          <w14:textFill>
            <w14:solidFill>
              <w14:schemeClr w14:val="tx1"/>
            </w14:solidFill>
          </w14:textFill>
        </w:rPr>
        <w:t>三</w:t>
      </w:r>
      <w:r>
        <w:rPr>
          <w:rFonts w:hint="eastAsia" w:ascii="宋体"/>
          <w:b w:val="0"/>
          <w:bCs/>
          <w:color w:val="000000" w:themeColor="text1"/>
          <w:sz w:val="24"/>
          <w14:textFill>
            <w14:solidFill>
              <w14:schemeClr w14:val="tx1"/>
            </w14:solidFill>
          </w14:textFill>
        </w:rPr>
        <w:t>年租赁权（</w:t>
      </w:r>
      <w:r>
        <w:rPr>
          <w:rFonts w:hint="eastAsia" w:ascii="宋体"/>
          <w:color w:val="000000" w:themeColor="text1"/>
          <w:sz w:val="24"/>
          <w14:textFill>
            <w14:solidFill>
              <w14:schemeClr w14:val="tx1"/>
            </w14:solidFill>
          </w14:textFill>
        </w:rPr>
        <w:t>详见《竞价招租清单》）</w:t>
      </w:r>
    </w:p>
    <w:p>
      <w:pPr>
        <w:spacing w:line="440" w:lineRule="exact"/>
        <w:ind w:left="50" w:firstLine="361" w:firstLineChars="150"/>
        <w:jc w:val="center"/>
        <w:rPr>
          <w:rFonts w:ascii="宋体" w:cs="宋体"/>
          <w:color w:val="000000" w:themeColor="text1"/>
          <w:sz w:val="24"/>
          <w14:textFill>
            <w14:solidFill>
              <w14:schemeClr w14:val="tx1"/>
            </w14:solidFill>
          </w14:textFill>
        </w:rPr>
      </w:pPr>
      <w:r>
        <w:rPr>
          <w:rFonts w:hint="eastAsia" w:ascii="宋体" w:cs="宋体"/>
          <w:b/>
          <w:bCs/>
          <w:color w:val="000000" w:themeColor="text1"/>
          <w:sz w:val="24"/>
          <w14:textFill>
            <w14:solidFill>
              <w14:schemeClr w14:val="tx1"/>
            </w14:solidFill>
          </w14:textFill>
        </w:rPr>
        <w:t>竞价招租清单（项目编号：</w:t>
      </w:r>
      <w:r>
        <w:rPr>
          <w:rFonts w:hint="eastAsia" w:ascii="宋体" w:cs="宋体"/>
          <w:b/>
          <w:bCs/>
          <w:color w:val="000000" w:themeColor="text1"/>
          <w:sz w:val="24"/>
          <w14:textFill>
            <w14:solidFill>
              <w14:schemeClr w14:val="tx1"/>
            </w14:solidFill>
          </w14:textFill>
        </w:rPr>
        <w:t>LC20210</w:t>
      </w:r>
      <w:r>
        <w:rPr>
          <w:rFonts w:hint="eastAsia" w:ascii="宋体" w:cs="宋体"/>
          <w:b/>
          <w:bCs/>
          <w:color w:val="000000" w:themeColor="text1"/>
          <w:sz w:val="24"/>
          <w:lang w:val="en-US" w:eastAsia="zh-CN"/>
          <w14:textFill>
            <w14:solidFill>
              <w14:schemeClr w14:val="tx1"/>
            </w14:solidFill>
          </w14:textFill>
        </w:rPr>
        <w:t xml:space="preserve">929 </w:t>
      </w:r>
      <w:r>
        <w:rPr>
          <w:rFonts w:hint="eastAsia" w:ascii="宋体" w:cs="宋体"/>
          <w:b/>
          <w:bCs/>
          <w:color w:val="000000" w:themeColor="text1"/>
          <w:sz w:val="24"/>
          <w14:textFill>
            <w14:solidFill>
              <w14:schemeClr w14:val="tx1"/>
            </w14:solidFill>
          </w14:textFill>
        </w:rPr>
        <w:t>）</w:t>
      </w:r>
    </w:p>
    <w:tbl>
      <w:tblPr>
        <w:tblStyle w:val="12"/>
        <w:tblW w:w="49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3209"/>
        <w:gridCol w:w="1510"/>
        <w:gridCol w:w="1471"/>
        <w:gridCol w:w="1507"/>
        <w:gridCol w:w="792"/>
        <w:gridCol w:w="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exact"/>
          <w:tblHeader/>
          <w:jc w:val="center"/>
        </w:trPr>
        <w:tc>
          <w:tcPr>
            <w:tcW w:w="305" w:type="pct"/>
            <w:vAlign w:val="center"/>
          </w:tcPr>
          <w:p>
            <w:pPr>
              <w:spacing w:line="260" w:lineRule="exact"/>
              <w:jc w:val="center"/>
              <w:rPr>
                <w:rFonts w:ascii="宋体" w:cs="宋体"/>
                <w:color w:val="000000" w:themeColor="text1"/>
                <w:sz w:val="21"/>
                <w:szCs w:val="21"/>
                <w14:textFill>
                  <w14:solidFill>
                    <w14:schemeClr w14:val="tx1"/>
                  </w14:solidFill>
                </w14:textFill>
              </w:rPr>
            </w:pPr>
            <w:r>
              <w:rPr>
                <w:rFonts w:hint="eastAsia" w:ascii="宋体" w:cs="宋体"/>
                <w:color w:val="000000" w:themeColor="text1"/>
                <w:sz w:val="21"/>
                <w:szCs w:val="21"/>
                <w14:textFill>
                  <w14:solidFill>
                    <w14:schemeClr w14:val="tx1"/>
                  </w14:solidFill>
                </w14:textFill>
              </w:rPr>
              <w:t>序号</w:t>
            </w:r>
          </w:p>
        </w:tc>
        <w:tc>
          <w:tcPr>
            <w:tcW w:w="1620" w:type="pct"/>
            <w:vAlign w:val="center"/>
          </w:tcPr>
          <w:p>
            <w:pPr>
              <w:spacing w:line="260" w:lineRule="exact"/>
              <w:jc w:val="center"/>
              <w:rPr>
                <w:rFonts w:ascii="宋体" w:cs="宋体"/>
                <w:color w:val="000000" w:themeColor="text1"/>
                <w:sz w:val="21"/>
                <w:szCs w:val="21"/>
                <w14:textFill>
                  <w14:solidFill>
                    <w14:schemeClr w14:val="tx1"/>
                  </w14:solidFill>
                </w14:textFill>
              </w:rPr>
            </w:pPr>
            <w:r>
              <w:rPr>
                <w:rFonts w:hint="eastAsia" w:ascii="宋体" w:cs="宋体"/>
                <w:color w:val="000000" w:themeColor="text1"/>
                <w:sz w:val="21"/>
                <w:szCs w:val="21"/>
                <w14:textFill>
                  <w14:solidFill>
                    <w14:schemeClr w14:val="tx1"/>
                  </w14:solidFill>
                </w14:textFill>
              </w:rPr>
              <w:t>竞价招租</w:t>
            </w:r>
          </w:p>
          <w:p>
            <w:pPr>
              <w:spacing w:line="260" w:lineRule="exact"/>
              <w:jc w:val="center"/>
              <w:rPr>
                <w:rFonts w:ascii="宋体" w:cs="宋体"/>
                <w:color w:val="000000" w:themeColor="text1"/>
                <w:sz w:val="21"/>
                <w:szCs w:val="21"/>
                <w14:textFill>
                  <w14:solidFill>
                    <w14:schemeClr w14:val="tx1"/>
                  </w14:solidFill>
                </w14:textFill>
              </w:rPr>
            </w:pPr>
            <w:r>
              <w:rPr>
                <w:rFonts w:hint="eastAsia" w:ascii="宋体" w:cs="宋体"/>
                <w:color w:val="000000" w:themeColor="text1"/>
                <w:sz w:val="21"/>
                <w:szCs w:val="21"/>
                <w14:textFill>
                  <w14:solidFill>
                    <w14:schemeClr w14:val="tx1"/>
                  </w14:solidFill>
                </w14:textFill>
              </w:rPr>
              <w:t>标的</w:t>
            </w:r>
          </w:p>
        </w:tc>
        <w:tc>
          <w:tcPr>
            <w:tcW w:w="762" w:type="pct"/>
            <w:vAlign w:val="center"/>
          </w:tcPr>
          <w:p>
            <w:pPr>
              <w:spacing w:line="260" w:lineRule="exact"/>
              <w:jc w:val="center"/>
              <w:rPr>
                <w:rFonts w:ascii="宋体" w:cs="宋体"/>
                <w:color w:val="000000" w:themeColor="text1"/>
                <w:sz w:val="21"/>
                <w:szCs w:val="21"/>
                <w14:textFill>
                  <w14:solidFill>
                    <w14:schemeClr w14:val="tx1"/>
                  </w14:solidFill>
                </w14:textFill>
              </w:rPr>
            </w:pPr>
            <w:r>
              <w:rPr>
                <w:rFonts w:hint="eastAsia" w:ascii="宋体" w:cs="宋体"/>
                <w:color w:val="000000" w:themeColor="text1"/>
                <w:sz w:val="21"/>
                <w:szCs w:val="21"/>
                <w14:textFill>
                  <w14:solidFill>
                    <w14:schemeClr w14:val="tx1"/>
                  </w14:solidFill>
                </w14:textFill>
              </w:rPr>
              <w:t>面积约</w:t>
            </w:r>
          </w:p>
          <w:p>
            <w:pPr>
              <w:spacing w:line="260" w:lineRule="exact"/>
              <w:jc w:val="center"/>
              <w:rPr>
                <w:rFonts w:ascii="宋体" w:cs="宋体"/>
                <w:color w:val="000000" w:themeColor="text1"/>
                <w:sz w:val="21"/>
                <w:szCs w:val="21"/>
                <w14:textFill>
                  <w14:solidFill>
                    <w14:schemeClr w14:val="tx1"/>
                  </w14:solidFill>
                </w14:textFill>
              </w:rPr>
            </w:pPr>
            <w:r>
              <w:rPr>
                <w:rFonts w:hint="eastAsia" w:ascii="宋体" w:cs="宋体"/>
                <w:color w:val="000000" w:themeColor="text1"/>
                <w:sz w:val="21"/>
                <w:szCs w:val="21"/>
                <w14:textFill>
                  <w14:solidFill>
                    <w14:schemeClr w14:val="tx1"/>
                  </w14:solidFill>
                </w14:textFill>
              </w:rPr>
              <w:t>（㎡）</w:t>
            </w:r>
          </w:p>
        </w:tc>
        <w:tc>
          <w:tcPr>
            <w:tcW w:w="742" w:type="pct"/>
            <w:vAlign w:val="center"/>
          </w:tcPr>
          <w:p>
            <w:pPr>
              <w:spacing w:line="260" w:lineRule="exact"/>
              <w:jc w:val="center"/>
              <w:rPr>
                <w:rFonts w:ascii="宋体" w:cs="宋体"/>
                <w:color w:val="000000" w:themeColor="text1"/>
                <w:sz w:val="21"/>
                <w:szCs w:val="21"/>
                <w14:textFill>
                  <w14:solidFill>
                    <w14:schemeClr w14:val="tx1"/>
                  </w14:solidFill>
                </w14:textFill>
              </w:rPr>
            </w:pPr>
            <w:r>
              <w:rPr>
                <w:rFonts w:hint="eastAsia" w:ascii="宋体" w:cs="宋体"/>
                <w:color w:val="000000" w:themeColor="text1"/>
                <w:sz w:val="21"/>
                <w:szCs w:val="21"/>
                <w14:textFill>
                  <w14:solidFill>
                    <w14:schemeClr w14:val="tx1"/>
                  </w14:solidFill>
                </w14:textFill>
              </w:rPr>
              <w:t>起始价</w:t>
            </w:r>
          </w:p>
          <w:p>
            <w:pPr>
              <w:spacing w:line="260" w:lineRule="exact"/>
              <w:jc w:val="center"/>
              <w:rPr>
                <w:rFonts w:ascii="宋体" w:cs="宋体"/>
                <w:color w:val="000000" w:themeColor="text1"/>
                <w:sz w:val="21"/>
                <w:szCs w:val="21"/>
                <w14:textFill>
                  <w14:solidFill>
                    <w14:schemeClr w14:val="tx1"/>
                  </w14:solidFill>
                </w14:textFill>
              </w:rPr>
            </w:pPr>
            <w:r>
              <w:rPr>
                <w:rFonts w:hint="eastAsia" w:ascii="宋体" w:cs="宋体"/>
                <w:color w:val="000000" w:themeColor="text1"/>
                <w:sz w:val="21"/>
                <w:szCs w:val="21"/>
                <w14:textFill>
                  <w14:solidFill>
                    <w14:schemeClr w14:val="tx1"/>
                  </w14:solidFill>
                </w14:textFill>
              </w:rPr>
              <w:t>（元/月）</w:t>
            </w:r>
          </w:p>
        </w:tc>
        <w:tc>
          <w:tcPr>
            <w:tcW w:w="761" w:type="pct"/>
            <w:vAlign w:val="center"/>
          </w:tcPr>
          <w:p>
            <w:pPr>
              <w:spacing w:line="260" w:lineRule="exact"/>
              <w:jc w:val="center"/>
              <w:rPr>
                <w:rFonts w:ascii="宋体" w:cs="宋体"/>
                <w:color w:val="000000" w:themeColor="text1"/>
                <w:sz w:val="21"/>
                <w:szCs w:val="21"/>
                <w14:textFill>
                  <w14:solidFill>
                    <w14:schemeClr w14:val="tx1"/>
                  </w14:solidFill>
                </w14:textFill>
              </w:rPr>
            </w:pPr>
            <w:r>
              <w:rPr>
                <w:rFonts w:hint="eastAsia" w:ascii="宋体" w:cs="宋体"/>
                <w:color w:val="000000" w:themeColor="text1"/>
                <w:sz w:val="21"/>
                <w:szCs w:val="21"/>
                <w14:textFill>
                  <w14:solidFill>
                    <w14:schemeClr w14:val="tx1"/>
                  </w14:solidFill>
                </w14:textFill>
              </w:rPr>
              <w:t>竞价保证金（元）</w:t>
            </w:r>
          </w:p>
        </w:tc>
        <w:tc>
          <w:tcPr>
            <w:tcW w:w="400" w:type="pct"/>
            <w:vAlign w:val="center"/>
          </w:tcPr>
          <w:p>
            <w:pPr>
              <w:spacing w:line="260" w:lineRule="exact"/>
              <w:jc w:val="center"/>
              <w:rPr>
                <w:rFonts w:hint="default" w:ascii="宋体" w:eastAsia="宋体" w:cs="宋体"/>
                <w:color w:val="000000" w:themeColor="text1"/>
                <w:sz w:val="21"/>
                <w:szCs w:val="21"/>
                <w:lang w:val="en-US" w:eastAsia="zh-CN"/>
                <w14:textFill>
                  <w14:solidFill>
                    <w14:schemeClr w14:val="tx1"/>
                  </w14:solidFill>
                </w14:textFill>
              </w:rPr>
            </w:pPr>
            <w:r>
              <w:rPr>
                <w:rFonts w:hint="eastAsia" w:ascii="宋体" w:cs="宋体"/>
                <w:color w:val="000000" w:themeColor="text1"/>
                <w:sz w:val="21"/>
                <w:szCs w:val="21"/>
                <w:lang w:val="en-US" w:eastAsia="zh-CN"/>
                <w14:textFill>
                  <w14:solidFill>
                    <w14:schemeClr w14:val="tx1"/>
                  </w14:solidFill>
                </w14:textFill>
              </w:rPr>
              <w:t>租赁用途</w:t>
            </w:r>
          </w:p>
        </w:tc>
        <w:tc>
          <w:tcPr>
            <w:tcW w:w="407" w:type="pct"/>
            <w:vAlign w:val="center"/>
          </w:tcPr>
          <w:p>
            <w:pPr>
              <w:spacing w:line="260" w:lineRule="exact"/>
              <w:jc w:val="center"/>
              <w:rPr>
                <w:rFonts w:hint="default" w:ascii="宋体" w:eastAsia="宋体" w:cs="宋体"/>
                <w:color w:val="000000" w:themeColor="text1"/>
                <w:sz w:val="21"/>
                <w:szCs w:val="21"/>
                <w:lang w:val="en-US" w:eastAsia="zh-CN"/>
                <w14:textFill>
                  <w14:solidFill>
                    <w14:schemeClr w14:val="tx1"/>
                  </w14:solidFill>
                </w14:textFill>
              </w:rPr>
            </w:pPr>
            <w:r>
              <w:rPr>
                <w:rFonts w:hint="eastAsia" w:ascii="宋体" w:cs="宋体"/>
                <w:color w:val="000000" w:themeColor="text1"/>
                <w:sz w:val="21"/>
                <w:szCs w:val="21"/>
                <w:lang w:val="en-US" w:eastAsia="zh-CN"/>
                <w14:textFill>
                  <w14:solidFill>
                    <w14:schemeClr w14:val="tx1"/>
                  </w14:solidFill>
                </w14:textFill>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exact"/>
          <w:jc w:val="center"/>
        </w:trPr>
        <w:tc>
          <w:tcPr>
            <w:tcW w:w="305" w:type="pct"/>
            <w:vAlign w:val="center"/>
          </w:tcPr>
          <w:p>
            <w:pPr>
              <w:widowControl/>
              <w:spacing w:line="260" w:lineRule="exact"/>
              <w:jc w:val="center"/>
              <w:textAlignment w:val="center"/>
              <w:rPr>
                <w:rFonts w:ascii="宋体" w:cs="宋体"/>
                <w:color w:val="000000" w:themeColor="text1"/>
                <w:sz w:val="21"/>
                <w:szCs w:val="21"/>
                <w14:textFill>
                  <w14:solidFill>
                    <w14:schemeClr w14:val="tx1"/>
                  </w14:solidFill>
                </w14:textFill>
              </w:rPr>
            </w:pPr>
            <w:r>
              <w:rPr>
                <w:rFonts w:hint="eastAsia" w:ascii="宋体" w:cs="宋体"/>
                <w:color w:val="000000" w:themeColor="text1"/>
                <w:kern w:val="0"/>
                <w:sz w:val="21"/>
                <w:szCs w:val="21"/>
                <w14:textFill>
                  <w14:solidFill>
                    <w14:schemeClr w14:val="tx1"/>
                  </w14:solidFill>
                </w14:textFill>
              </w:rPr>
              <w:t>1</w:t>
            </w:r>
          </w:p>
        </w:tc>
        <w:tc>
          <w:tcPr>
            <w:tcW w:w="1620" w:type="pct"/>
            <w:vAlign w:val="center"/>
          </w:tcPr>
          <w:p>
            <w:pPr>
              <w:keepNext w:val="0"/>
              <w:keepLines w:val="0"/>
              <w:widowControl/>
              <w:suppressLineNumbers w:val="0"/>
              <w:jc w:val="center"/>
              <w:textAlignment w:val="center"/>
              <w:rPr>
                <w:rFonts w:ascii="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连城县冠豸山古寨服务区2#楼</w:t>
            </w:r>
          </w:p>
        </w:tc>
        <w:tc>
          <w:tcPr>
            <w:tcW w:w="762" w:type="pct"/>
            <w:vAlign w:val="center"/>
          </w:tcPr>
          <w:p>
            <w:pPr>
              <w:keepNext w:val="0"/>
              <w:keepLines w:val="0"/>
              <w:widowControl/>
              <w:suppressLineNumbers w:val="0"/>
              <w:jc w:val="center"/>
              <w:textAlignment w:val="center"/>
              <w:rPr>
                <w:rFonts w:ascii="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387㎡（两层）</w:t>
            </w:r>
          </w:p>
        </w:tc>
        <w:tc>
          <w:tcPr>
            <w:tcW w:w="742" w:type="pct"/>
            <w:vAlign w:val="center"/>
          </w:tcPr>
          <w:p>
            <w:pPr>
              <w:keepNext w:val="0"/>
              <w:keepLines w:val="0"/>
              <w:widowControl/>
              <w:suppressLineNumbers w:val="0"/>
              <w:jc w:val="center"/>
              <w:textAlignment w:val="center"/>
              <w:rPr>
                <w:rFonts w:ascii="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1000</w:t>
            </w:r>
          </w:p>
        </w:tc>
        <w:tc>
          <w:tcPr>
            <w:tcW w:w="761" w:type="pct"/>
            <w:vAlign w:val="center"/>
          </w:tcPr>
          <w:p>
            <w:pPr>
              <w:keepNext w:val="0"/>
              <w:keepLines w:val="0"/>
              <w:widowControl/>
              <w:suppressLineNumbers w:val="0"/>
              <w:jc w:val="center"/>
              <w:textAlignment w:val="center"/>
              <w:rPr>
                <w:rFonts w:ascii="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5000</w:t>
            </w:r>
          </w:p>
        </w:tc>
        <w:tc>
          <w:tcPr>
            <w:tcW w:w="400" w:type="pct"/>
            <w:vMerge w:val="restart"/>
            <w:vAlign w:val="center"/>
          </w:tcPr>
          <w:p>
            <w:pPr>
              <w:widowControl/>
              <w:spacing w:line="260" w:lineRule="exact"/>
              <w:jc w:val="center"/>
              <w:textAlignment w:val="center"/>
              <w:rPr>
                <w:rFonts w:hint="eastAsia" w:ascii="宋体" w:cs="宋体"/>
                <w:color w:val="000000" w:themeColor="text1"/>
                <w:kern w:val="0"/>
                <w:sz w:val="21"/>
                <w:szCs w:val="21"/>
                <w14:textFill>
                  <w14:solidFill>
                    <w14:schemeClr w14:val="tx1"/>
                  </w14:solidFill>
                </w14:textFill>
              </w:rPr>
            </w:pPr>
            <w:r>
              <w:rPr>
                <w:rFonts w:hint="eastAsia" w:ascii="宋体" w:cs="宋体"/>
                <w:color w:val="000000" w:themeColor="text1"/>
                <w:kern w:val="0"/>
                <w:sz w:val="21"/>
                <w:szCs w:val="21"/>
                <w14:textFill>
                  <w14:solidFill>
                    <w14:schemeClr w14:val="tx1"/>
                  </w14:solidFill>
                </w14:textFill>
              </w:rPr>
              <w:t>禁止作为易燃、易爆、化工、有毒等用途</w:t>
            </w:r>
          </w:p>
        </w:tc>
        <w:tc>
          <w:tcPr>
            <w:tcW w:w="407" w:type="pct"/>
            <w:vMerge w:val="restart"/>
            <w:vAlign w:val="center"/>
          </w:tcPr>
          <w:p>
            <w:pPr>
              <w:widowControl/>
              <w:spacing w:line="260" w:lineRule="exact"/>
              <w:jc w:val="center"/>
              <w:textAlignment w:val="center"/>
              <w:rPr>
                <w:rFonts w:hint="eastAsia" w:ascii="宋体" w:cs="宋体"/>
                <w:color w:val="000000" w:themeColor="text1"/>
                <w:kern w:val="0"/>
                <w:sz w:val="21"/>
                <w:szCs w:val="21"/>
                <w14:textFill>
                  <w14:solidFill>
                    <w14:schemeClr w14:val="tx1"/>
                  </w14:solidFill>
                </w14:textFill>
              </w:rPr>
            </w:pPr>
          </w:p>
          <w:p>
            <w:pPr>
              <w:widowControl/>
              <w:spacing w:line="260" w:lineRule="exact"/>
              <w:jc w:val="center"/>
              <w:textAlignment w:val="center"/>
              <w:rPr>
                <w:rFonts w:hint="eastAsia" w:ascii="宋体" w:cs="宋体"/>
                <w:color w:val="000000" w:themeColor="text1"/>
                <w:kern w:val="0"/>
                <w:sz w:val="21"/>
                <w:szCs w:val="21"/>
                <w14:textFill>
                  <w14:solidFill>
                    <w14:schemeClr w14:val="tx1"/>
                  </w14:solidFill>
                </w14:textFill>
              </w:rPr>
            </w:pPr>
            <w:r>
              <w:rPr>
                <w:rFonts w:hint="eastAsia" w:ascii="宋体" w:cs="宋体"/>
                <w:color w:val="000000" w:themeColor="text1"/>
                <w:kern w:val="0"/>
                <w:sz w:val="21"/>
                <w:szCs w:val="21"/>
                <w14:textFill>
                  <w14:solidFill>
                    <w14:schemeClr w14:val="tx1"/>
                  </w14:solidFill>
                </w14:textFill>
              </w:rPr>
              <w:t>可配套冷饮、特产、文创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exact"/>
          <w:jc w:val="center"/>
        </w:trPr>
        <w:tc>
          <w:tcPr>
            <w:tcW w:w="305" w:type="pct"/>
            <w:vAlign w:val="center"/>
          </w:tcPr>
          <w:p>
            <w:pPr>
              <w:widowControl/>
              <w:spacing w:line="260" w:lineRule="exact"/>
              <w:jc w:val="center"/>
              <w:textAlignment w:val="center"/>
              <w:rPr>
                <w:rFonts w:ascii="宋体" w:cs="宋体"/>
                <w:color w:val="000000" w:themeColor="text1"/>
                <w:sz w:val="21"/>
                <w:szCs w:val="21"/>
                <w14:textFill>
                  <w14:solidFill>
                    <w14:schemeClr w14:val="tx1"/>
                  </w14:solidFill>
                </w14:textFill>
              </w:rPr>
            </w:pPr>
            <w:r>
              <w:rPr>
                <w:rFonts w:hint="eastAsia" w:ascii="宋体" w:cs="宋体"/>
                <w:color w:val="000000" w:themeColor="text1"/>
                <w:kern w:val="0"/>
                <w:sz w:val="21"/>
                <w:szCs w:val="21"/>
                <w14:textFill>
                  <w14:solidFill>
                    <w14:schemeClr w14:val="tx1"/>
                  </w14:solidFill>
                </w14:textFill>
              </w:rPr>
              <w:t>2</w:t>
            </w:r>
          </w:p>
        </w:tc>
        <w:tc>
          <w:tcPr>
            <w:tcW w:w="1620" w:type="pct"/>
            <w:vAlign w:val="center"/>
          </w:tcPr>
          <w:p>
            <w:pPr>
              <w:keepNext w:val="0"/>
              <w:keepLines w:val="0"/>
              <w:widowControl/>
              <w:suppressLineNumbers w:val="0"/>
              <w:jc w:val="center"/>
              <w:textAlignment w:val="center"/>
              <w:rPr>
                <w:rFonts w:ascii="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连城县冠豸山古寨服务区3#楼</w:t>
            </w:r>
          </w:p>
        </w:tc>
        <w:tc>
          <w:tcPr>
            <w:tcW w:w="762" w:type="pct"/>
            <w:vAlign w:val="center"/>
          </w:tcPr>
          <w:p>
            <w:pPr>
              <w:keepNext w:val="0"/>
              <w:keepLines w:val="0"/>
              <w:widowControl/>
              <w:suppressLineNumbers w:val="0"/>
              <w:jc w:val="center"/>
              <w:textAlignment w:val="center"/>
              <w:rPr>
                <w:rFonts w:ascii="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210㎡（两层）</w:t>
            </w:r>
          </w:p>
        </w:tc>
        <w:tc>
          <w:tcPr>
            <w:tcW w:w="742" w:type="pct"/>
            <w:vAlign w:val="center"/>
          </w:tcPr>
          <w:p>
            <w:pPr>
              <w:keepNext w:val="0"/>
              <w:keepLines w:val="0"/>
              <w:widowControl/>
              <w:suppressLineNumbers w:val="0"/>
              <w:jc w:val="center"/>
              <w:textAlignment w:val="center"/>
              <w:rPr>
                <w:rFonts w:ascii="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1000</w:t>
            </w:r>
          </w:p>
        </w:tc>
        <w:tc>
          <w:tcPr>
            <w:tcW w:w="761" w:type="pct"/>
            <w:vAlign w:val="center"/>
          </w:tcPr>
          <w:p>
            <w:pPr>
              <w:keepNext w:val="0"/>
              <w:keepLines w:val="0"/>
              <w:widowControl/>
              <w:suppressLineNumbers w:val="0"/>
              <w:jc w:val="center"/>
              <w:textAlignment w:val="center"/>
              <w:rPr>
                <w:rFonts w:hint="default" w:ascii="宋体" w:cs="宋体"/>
                <w:color w:val="000000" w:themeColor="text1"/>
                <w:sz w:val="21"/>
                <w:szCs w:val="21"/>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5000</w:t>
            </w:r>
          </w:p>
        </w:tc>
        <w:tc>
          <w:tcPr>
            <w:tcW w:w="400" w:type="pct"/>
            <w:vMerge w:val="continue"/>
            <w:vAlign w:val="center"/>
          </w:tcPr>
          <w:p>
            <w:pPr>
              <w:widowControl/>
              <w:spacing w:line="260" w:lineRule="exact"/>
              <w:jc w:val="center"/>
              <w:textAlignment w:val="center"/>
              <w:rPr>
                <w:rFonts w:hint="eastAsia" w:ascii="宋体" w:cs="宋体"/>
                <w:color w:val="000000" w:themeColor="text1"/>
                <w:kern w:val="0"/>
                <w:sz w:val="21"/>
                <w:szCs w:val="21"/>
                <w14:textFill>
                  <w14:solidFill>
                    <w14:schemeClr w14:val="tx1"/>
                  </w14:solidFill>
                </w14:textFill>
              </w:rPr>
            </w:pPr>
          </w:p>
        </w:tc>
        <w:tc>
          <w:tcPr>
            <w:tcW w:w="407" w:type="pct"/>
            <w:vMerge w:val="continue"/>
            <w:vAlign w:val="center"/>
          </w:tcPr>
          <w:p>
            <w:pPr>
              <w:widowControl/>
              <w:spacing w:line="260" w:lineRule="exact"/>
              <w:jc w:val="center"/>
              <w:textAlignment w:val="center"/>
              <w:rPr>
                <w:rFonts w:hint="eastAsia" w:ascii="宋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exact"/>
          <w:jc w:val="center"/>
        </w:trPr>
        <w:tc>
          <w:tcPr>
            <w:tcW w:w="305" w:type="pct"/>
            <w:vAlign w:val="center"/>
          </w:tcPr>
          <w:p>
            <w:pPr>
              <w:widowControl/>
              <w:spacing w:line="260" w:lineRule="exact"/>
              <w:jc w:val="center"/>
              <w:textAlignment w:val="center"/>
              <w:rPr>
                <w:rFonts w:ascii="宋体" w:cs="宋体"/>
                <w:color w:val="000000" w:themeColor="text1"/>
                <w:sz w:val="21"/>
                <w:szCs w:val="21"/>
                <w14:textFill>
                  <w14:solidFill>
                    <w14:schemeClr w14:val="tx1"/>
                  </w14:solidFill>
                </w14:textFill>
              </w:rPr>
            </w:pPr>
            <w:r>
              <w:rPr>
                <w:rFonts w:hint="eastAsia" w:ascii="宋体" w:cs="宋体"/>
                <w:color w:val="000000" w:themeColor="text1"/>
                <w:kern w:val="0"/>
                <w:sz w:val="21"/>
                <w:szCs w:val="21"/>
                <w14:textFill>
                  <w14:solidFill>
                    <w14:schemeClr w14:val="tx1"/>
                  </w14:solidFill>
                </w14:textFill>
              </w:rPr>
              <w:t>3</w:t>
            </w:r>
          </w:p>
        </w:tc>
        <w:tc>
          <w:tcPr>
            <w:tcW w:w="1620" w:type="pct"/>
            <w:vAlign w:val="center"/>
          </w:tcPr>
          <w:p>
            <w:pPr>
              <w:keepNext w:val="0"/>
              <w:keepLines w:val="0"/>
              <w:widowControl/>
              <w:suppressLineNumbers w:val="0"/>
              <w:jc w:val="center"/>
              <w:textAlignment w:val="center"/>
              <w:rPr>
                <w:rFonts w:ascii="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连城县冠豸山古寨服务区4#-1楼</w:t>
            </w:r>
          </w:p>
        </w:tc>
        <w:tc>
          <w:tcPr>
            <w:tcW w:w="762" w:type="pct"/>
            <w:vAlign w:val="center"/>
          </w:tcPr>
          <w:p>
            <w:pPr>
              <w:keepNext w:val="0"/>
              <w:keepLines w:val="0"/>
              <w:widowControl/>
              <w:suppressLineNumbers w:val="0"/>
              <w:jc w:val="center"/>
              <w:textAlignment w:val="center"/>
              <w:rPr>
                <w:rFonts w:ascii="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24.3㎡</w:t>
            </w:r>
          </w:p>
        </w:tc>
        <w:tc>
          <w:tcPr>
            <w:tcW w:w="742" w:type="pct"/>
            <w:vAlign w:val="center"/>
          </w:tcPr>
          <w:p>
            <w:pPr>
              <w:keepNext w:val="0"/>
              <w:keepLines w:val="0"/>
              <w:widowControl/>
              <w:suppressLineNumbers w:val="0"/>
              <w:jc w:val="center"/>
              <w:textAlignment w:val="center"/>
              <w:rPr>
                <w:rFonts w:ascii="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w:t>
            </w:r>
          </w:p>
        </w:tc>
        <w:tc>
          <w:tcPr>
            <w:tcW w:w="761" w:type="pct"/>
            <w:vAlign w:val="center"/>
          </w:tcPr>
          <w:p>
            <w:pPr>
              <w:keepNext w:val="0"/>
              <w:keepLines w:val="0"/>
              <w:widowControl/>
              <w:suppressLineNumbers w:val="0"/>
              <w:jc w:val="center"/>
              <w:textAlignment w:val="center"/>
              <w:rPr>
                <w:rFonts w:ascii="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1500</w:t>
            </w:r>
          </w:p>
        </w:tc>
        <w:tc>
          <w:tcPr>
            <w:tcW w:w="400" w:type="pct"/>
            <w:vMerge w:val="continue"/>
            <w:vAlign w:val="center"/>
          </w:tcPr>
          <w:p>
            <w:pPr>
              <w:widowControl/>
              <w:spacing w:line="260" w:lineRule="exact"/>
              <w:jc w:val="center"/>
              <w:textAlignment w:val="center"/>
              <w:rPr>
                <w:rFonts w:hint="eastAsia" w:ascii="宋体" w:cs="宋体"/>
                <w:color w:val="000000" w:themeColor="text1"/>
                <w:kern w:val="0"/>
                <w:sz w:val="21"/>
                <w:szCs w:val="21"/>
                <w14:textFill>
                  <w14:solidFill>
                    <w14:schemeClr w14:val="tx1"/>
                  </w14:solidFill>
                </w14:textFill>
              </w:rPr>
            </w:pPr>
          </w:p>
        </w:tc>
        <w:tc>
          <w:tcPr>
            <w:tcW w:w="407" w:type="pct"/>
            <w:vMerge w:val="continue"/>
            <w:vAlign w:val="center"/>
          </w:tcPr>
          <w:p>
            <w:pPr>
              <w:widowControl/>
              <w:spacing w:line="260" w:lineRule="exact"/>
              <w:jc w:val="center"/>
              <w:textAlignment w:val="center"/>
              <w:rPr>
                <w:rFonts w:hint="eastAsia" w:ascii="宋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305" w:type="pct"/>
            <w:vAlign w:val="center"/>
          </w:tcPr>
          <w:p>
            <w:pPr>
              <w:widowControl/>
              <w:spacing w:line="260" w:lineRule="exact"/>
              <w:jc w:val="center"/>
              <w:textAlignment w:val="center"/>
              <w:rPr>
                <w:rFonts w:hint="eastAsia" w:ascii="宋体" w:eastAsia="宋体" w:cs="宋体"/>
                <w:color w:val="000000" w:themeColor="text1"/>
                <w:sz w:val="21"/>
                <w:szCs w:val="21"/>
                <w:lang w:eastAsia="zh-CN"/>
                <w14:textFill>
                  <w14:solidFill>
                    <w14:schemeClr w14:val="tx1"/>
                  </w14:solidFill>
                </w14:textFill>
              </w:rPr>
            </w:pPr>
            <w:r>
              <w:rPr>
                <w:rFonts w:hint="eastAsia" w:ascii="宋体" w:cs="宋体"/>
                <w:color w:val="000000" w:themeColor="text1"/>
                <w:kern w:val="0"/>
                <w:sz w:val="21"/>
                <w:szCs w:val="21"/>
                <w:lang w:val="en-US" w:eastAsia="zh-CN"/>
                <w14:textFill>
                  <w14:solidFill>
                    <w14:schemeClr w14:val="tx1"/>
                  </w14:solidFill>
                </w14:textFill>
              </w:rPr>
              <w:t>4</w:t>
            </w:r>
          </w:p>
        </w:tc>
        <w:tc>
          <w:tcPr>
            <w:tcW w:w="1620" w:type="pct"/>
            <w:vAlign w:val="center"/>
          </w:tcPr>
          <w:p>
            <w:pPr>
              <w:keepNext w:val="0"/>
              <w:keepLines w:val="0"/>
              <w:widowControl/>
              <w:suppressLineNumbers w:val="0"/>
              <w:jc w:val="center"/>
              <w:textAlignment w:val="center"/>
              <w:rPr>
                <w:rFonts w:ascii="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连城县冠豸山古寨服务区4#-3楼</w:t>
            </w:r>
          </w:p>
        </w:tc>
        <w:tc>
          <w:tcPr>
            <w:tcW w:w="762" w:type="pct"/>
            <w:vAlign w:val="center"/>
          </w:tcPr>
          <w:p>
            <w:pPr>
              <w:keepNext w:val="0"/>
              <w:keepLines w:val="0"/>
              <w:widowControl/>
              <w:suppressLineNumbers w:val="0"/>
              <w:jc w:val="center"/>
              <w:textAlignment w:val="center"/>
              <w:rPr>
                <w:rFonts w:ascii="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24.3㎡</w:t>
            </w:r>
          </w:p>
        </w:tc>
        <w:tc>
          <w:tcPr>
            <w:tcW w:w="742" w:type="pct"/>
            <w:vAlign w:val="center"/>
          </w:tcPr>
          <w:p>
            <w:pPr>
              <w:keepNext w:val="0"/>
              <w:keepLines w:val="0"/>
              <w:widowControl/>
              <w:suppressLineNumbers w:val="0"/>
              <w:jc w:val="center"/>
              <w:textAlignment w:val="center"/>
              <w:rPr>
                <w:rFonts w:ascii="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w:t>
            </w:r>
          </w:p>
        </w:tc>
        <w:tc>
          <w:tcPr>
            <w:tcW w:w="761" w:type="pct"/>
            <w:vAlign w:val="center"/>
          </w:tcPr>
          <w:p>
            <w:pPr>
              <w:keepNext w:val="0"/>
              <w:keepLines w:val="0"/>
              <w:widowControl/>
              <w:suppressLineNumbers w:val="0"/>
              <w:jc w:val="center"/>
              <w:textAlignment w:val="center"/>
              <w:rPr>
                <w:rFonts w:ascii="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1500</w:t>
            </w:r>
          </w:p>
        </w:tc>
        <w:tc>
          <w:tcPr>
            <w:tcW w:w="400" w:type="pct"/>
            <w:vMerge w:val="continue"/>
            <w:vAlign w:val="center"/>
          </w:tcPr>
          <w:p>
            <w:pPr>
              <w:widowControl/>
              <w:spacing w:line="260" w:lineRule="exact"/>
              <w:jc w:val="center"/>
              <w:textAlignment w:val="center"/>
              <w:rPr>
                <w:rFonts w:hint="eastAsia" w:ascii="宋体" w:cs="宋体"/>
                <w:color w:val="000000" w:themeColor="text1"/>
                <w:kern w:val="0"/>
                <w:sz w:val="21"/>
                <w:szCs w:val="21"/>
                <w14:textFill>
                  <w14:solidFill>
                    <w14:schemeClr w14:val="tx1"/>
                  </w14:solidFill>
                </w14:textFill>
              </w:rPr>
            </w:pPr>
          </w:p>
        </w:tc>
        <w:tc>
          <w:tcPr>
            <w:tcW w:w="407" w:type="pct"/>
            <w:vMerge w:val="continue"/>
            <w:vAlign w:val="center"/>
          </w:tcPr>
          <w:p>
            <w:pPr>
              <w:widowControl/>
              <w:spacing w:line="260" w:lineRule="exact"/>
              <w:jc w:val="center"/>
              <w:textAlignment w:val="center"/>
              <w:rPr>
                <w:rFonts w:hint="eastAsia" w:ascii="宋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exact"/>
          <w:jc w:val="center"/>
        </w:trPr>
        <w:tc>
          <w:tcPr>
            <w:tcW w:w="305" w:type="pct"/>
            <w:vAlign w:val="center"/>
          </w:tcPr>
          <w:p>
            <w:pPr>
              <w:widowControl/>
              <w:spacing w:line="260" w:lineRule="exact"/>
              <w:jc w:val="center"/>
              <w:textAlignment w:val="center"/>
              <w:rPr>
                <w:rFonts w:hint="eastAsia" w:ascii="宋体" w:eastAsia="宋体" w:cs="宋体"/>
                <w:color w:val="000000" w:themeColor="text1"/>
                <w:sz w:val="21"/>
                <w:szCs w:val="21"/>
                <w:lang w:eastAsia="zh-CN"/>
                <w14:textFill>
                  <w14:solidFill>
                    <w14:schemeClr w14:val="tx1"/>
                  </w14:solidFill>
                </w14:textFill>
              </w:rPr>
            </w:pPr>
            <w:r>
              <w:rPr>
                <w:rFonts w:hint="eastAsia" w:ascii="宋体" w:cs="宋体"/>
                <w:color w:val="000000" w:themeColor="text1"/>
                <w:kern w:val="0"/>
                <w:sz w:val="21"/>
                <w:szCs w:val="21"/>
                <w:lang w:val="en-US" w:eastAsia="zh-CN"/>
                <w14:textFill>
                  <w14:solidFill>
                    <w14:schemeClr w14:val="tx1"/>
                  </w14:solidFill>
                </w14:textFill>
              </w:rPr>
              <w:t>5</w:t>
            </w:r>
          </w:p>
        </w:tc>
        <w:tc>
          <w:tcPr>
            <w:tcW w:w="1620" w:type="pct"/>
            <w:vAlign w:val="center"/>
          </w:tcPr>
          <w:p>
            <w:pPr>
              <w:keepNext w:val="0"/>
              <w:keepLines w:val="0"/>
              <w:widowControl/>
              <w:suppressLineNumbers w:val="0"/>
              <w:jc w:val="center"/>
              <w:textAlignment w:val="center"/>
              <w:rPr>
                <w:rFonts w:ascii="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连城县冠豸山古寨服务区4#-4楼</w:t>
            </w:r>
          </w:p>
        </w:tc>
        <w:tc>
          <w:tcPr>
            <w:tcW w:w="762" w:type="pct"/>
            <w:vAlign w:val="center"/>
          </w:tcPr>
          <w:p>
            <w:pPr>
              <w:keepNext w:val="0"/>
              <w:keepLines w:val="0"/>
              <w:widowControl/>
              <w:suppressLineNumbers w:val="0"/>
              <w:jc w:val="center"/>
              <w:textAlignment w:val="center"/>
              <w:rPr>
                <w:rFonts w:ascii="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24.3㎡</w:t>
            </w:r>
          </w:p>
        </w:tc>
        <w:tc>
          <w:tcPr>
            <w:tcW w:w="742" w:type="pct"/>
            <w:vAlign w:val="center"/>
          </w:tcPr>
          <w:p>
            <w:pPr>
              <w:keepNext w:val="0"/>
              <w:keepLines w:val="0"/>
              <w:widowControl/>
              <w:suppressLineNumbers w:val="0"/>
              <w:jc w:val="center"/>
              <w:textAlignment w:val="center"/>
              <w:rPr>
                <w:rFonts w:ascii="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w:t>
            </w:r>
          </w:p>
        </w:tc>
        <w:tc>
          <w:tcPr>
            <w:tcW w:w="761" w:type="pct"/>
            <w:vAlign w:val="center"/>
          </w:tcPr>
          <w:p>
            <w:pPr>
              <w:keepNext w:val="0"/>
              <w:keepLines w:val="0"/>
              <w:widowControl/>
              <w:suppressLineNumbers w:val="0"/>
              <w:jc w:val="center"/>
              <w:textAlignment w:val="center"/>
              <w:rPr>
                <w:rFonts w:ascii="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1500</w:t>
            </w:r>
          </w:p>
        </w:tc>
        <w:tc>
          <w:tcPr>
            <w:tcW w:w="400" w:type="pct"/>
            <w:vMerge w:val="continue"/>
            <w:vAlign w:val="center"/>
          </w:tcPr>
          <w:p>
            <w:pPr>
              <w:widowControl/>
              <w:spacing w:line="260" w:lineRule="exact"/>
              <w:jc w:val="center"/>
              <w:textAlignment w:val="center"/>
              <w:rPr>
                <w:rFonts w:hint="eastAsia" w:ascii="宋体" w:cs="宋体"/>
                <w:color w:val="000000" w:themeColor="text1"/>
                <w:kern w:val="0"/>
                <w:sz w:val="21"/>
                <w:szCs w:val="21"/>
                <w14:textFill>
                  <w14:solidFill>
                    <w14:schemeClr w14:val="tx1"/>
                  </w14:solidFill>
                </w14:textFill>
              </w:rPr>
            </w:pPr>
          </w:p>
        </w:tc>
        <w:tc>
          <w:tcPr>
            <w:tcW w:w="407" w:type="pct"/>
            <w:vMerge w:val="continue"/>
            <w:vAlign w:val="center"/>
          </w:tcPr>
          <w:p>
            <w:pPr>
              <w:widowControl/>
              <w:spacing w:line="260" w:lineRule="exact"/>
              <w:jc w:val="center"/>
              <w:textAlignment w:val="center"/>
              <w:rPr>
                <w:rFonts w:hint="eastAsia" w:ascii="宋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exact"/>
          <w:jc w:val="center"/>
        </w:trPr>
        <w:tc>
          <w:tcPr>
            <w:tcW w:w="305" w:type="pct"/>
            <w:vAlign w:val="center"/>
          </w:tcPr>
          <w:p>
            <w:pPr>
              <w:widowControl/>
              <w:spacing w:line="260" w:lineRule="exact"/>
              <w:jc w:val="center"/>
              <w:textAlignment w:val="center"/>
              <w:rPr>
                <w:rFonts w:hint="eastAsia" w:ascii="宋体" w:eastAsia="宋体" w:cs="宋体"/>
                <w:color w:val="000000" w:themeColor="text1"/>
                <w:sz w:val="21"/>
                <w:szCs w:val="21"/>
                <w:lang w:eastAsia="zh-CN"/>
                <w14:textFill>
                  <w14:solidFill>
                    <w14:schemeClr w14:val="tx1"/>
                  </w14:solidFill>
                </w14:textFill>
              </w:rPr>
            </w:pPr>
            <w:r>
              <w:rPr>
                <w:rFonts w:hint="eastAsia" w:ascii="宋体" w:cs="宋体"/>
                <w:color w:val="000000" w:themeColor="text1"/>
                <w:kern w:val="0"/>
                <w:sz w:val="21"/>
                <w:szCs w:val="21"/>
                <w:lang w:val="en-US" w:eastAsia="zh-CN"/>
                <w14:textFill>
                  <w14:solidFill>
                    <w14:schemeClr w14:val="tx1"/>
                  </w14:solidFill>
                </w14:textFill>
              </w:rPr>
              <w:t>6</w:t>
            </w:r>
          </w:p>
        </w:tc>
        <w:tc>
          <w:tcPr>
            <w:tcW w:w="1620" w:type="pct"/>
            <w:vAlign w:val="center"/>
          </w:tcPr>
          <w:p>
            <w:pPr>
              <w:keepNext w:val="0"/>
              <w:keepLines w:val="0"/>
              <w:widowControl/>
              <w:suppressLineNumbers w:val="0"/>
              <w:jc w:val="center"/>
              <w:textAlignment w:val="center"/>
              <w:rPr>
                <w:rFonts w:ascii="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连城县冠豸山古寨服务区4#-5楼</w:t>
            </w:r>
          </w:p>
        </w:tc>
        <w:tc>
          <w:tcPr>
            <w:tcW w:w="762" w:type="pct"/>
            <w:vAlign w:val="center"/>
          </w:tcPr>
          <w:p>
            <w:pPr>
              <w:keepNext w:val="0"/>
              <w:keepLines w:val="0"/>
              <w:widowControl/>
              <w:suppressLineNumbers w:val="0"/>
              <w:jc w:val="center"/>
              <w:textAlignment w:val="center"/>
              <w:rPr>
                <w:rFonts w:ascii="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24.3㎡</w:t>
            </w:r>
          </w:p>
        </w:tc>
        <w:tc>
          <w:tcPr>
            <w:tcW w:w="742" w:type="pct"/>
            <w:vAlign w:val="center"/>
          </w:tcPr>
          <w:p>
            <w:pPr>
              <w:keepNext w:val="0"/>
              <w:keepLines w:val="0"/>
              <w:widowControl/>
              <w:suppressLineNumbers w:val="0"/>
              <w:jc w:val="center"/>
              <w:textAlignment w:val="center"/>
              <w:rPr>
                <w:rFonts w:ascii="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w:t>
            </w:r>
          </w:p>
        </w:tc>
        <w:tc>
          <w:tcPr>
            <w:tcW w:w="761" w:type="pct"/>
            <w:vAlign w:val="center"/>
          </w:tcPr>
          <w:p>
            <w:pPr>
              <w:keepNext w:val="0"/>
              <w:keepLines w:val="0"/>
              <w:widowControl/>
              <w:suppressLineNumbers w:val="0"/>
              <w:jc w:val="center"/>
              <w:textAlignment w:val="center"/>
              <w:rPr>
                <w:rFonts w:ascii="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1500</w:t>
            </w:r>
          </w:p>
        </w:tc>
        <w:tc>
          <w:tcPr>
            <w:tcW w:w="400" w:type="pct"/>
            <w:vMerge w:val="continue"/>
            <w:vAlign w:val="center"/>
          </w:tcPr>
          <w:p>
            <w:pPr>
              <w:widowControl/>
              <w:spacing w:line="260" w:lineRule="exact"/>
              <w:jc w:val="center"/>
              <w:textAlignment w:val="center"/>
              <w:rPr>
                <w:rFonts w:hint="eastAsia" w:ascii="宋体" w:cs="宋体"/>
                <w:color w:val="000000" w:themeColor="text1"/>
                <w:kern w:val="0"/>
                <w:sz w:val="21"/>
                <w:szCs w:val="21"/>
                <w14:textFill>
                  <w14:solidFill>
                    <w14:schemeClr w14:val="tx1"/>
                  </w14:solidFill>
                </w14:textFill>
              </w:rPr>
            </w:pPr>
          </w:p>
        </w:tc>
        <w:tc>
          <w:tcPr>
            <w:tcW w:w="407" w:type="pct"/>
            <w:vMerge w:val="continue"/>
            <w:vAlign w:val="center"/>
          </w:tcPr>
          <w:p>
            <w:pPr>
              <w:widowControl/>
              <w:spacing w:line="260" w:lineRule="exact"/>
              <w:jc w:val="center"/>
              <w:textAlignment w:val="center"/>
              <w:rPr>
                <w:rFonts w:hint="eastAsia" w:ascii="宋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jc w:val="center"/>
        </w:trPr>
        <w:tc>
          <w:tcPr>
            <w:tcW w:w="305" w:type="pct"/>
            <w:vAlign w:val="center"/>
          </w:tcPr>
          <w:p>
            <w:pPr>
              <w:widowControl/>
              <w:spacing w:line="260" w:lineRule="exact"/>
              <w:jc w:val="center"/>
              <w:textAlignment w:val="center"/>
              <w:rPr>
                <w:rFonts w:hint="eastAsia" w:ascii="宋体" w:eastAsia="宋体" w:cs="宋体"/>
                <w:color w:val="000000" w:themeColor="text1"/>
                <w:sz w:val="21"/>
                <w:szCs w:val="21"/>
                <w:lang w:eastAsia="zh-CN"/>
                <w14:textFill>
                  <w14:solidFill>
                    <w14:schemeClr w14:val="tx1"/>
                  </w14:solidFill>
                </w14:textFill>
              </w:rPr>
            </w:pPr>
            <w:r>
              <w:rPr>
                <w:rFonts w:hint="eastAsia" w:ascii="宋体" w:cs="宋体"/>
                <w:color w:val="000000" w:themeColor="text1"/>
                <w:kern w:val="0"/>
                <w:sz w:val="21"/>
                <w:szCs w:val="21"/>
                <w:lang w:val="en-US" w:eastAsia="zh-CN"/>
                <w14:textFill>
                  <w14:solidFill>
                    <w14:schemeClr w14:val="tx1"/>
                  </w14:solidFill>
                </w14:textFill>
              </w:rPr>
              <w:t>7</w:t>
            </w:r>
          </w:p>
        </w:tc>
        <w:tc>
          <w:tcPr>
            <w:tcW w:w="1620" w:type="pct"/>
            <w:vAlign w:val="center"/>
          </w:tcPr>
          <w:p>
            <w:pPr>
              <w:keepNext w:val="0"/>
              <w:keepLines w:val="0"/>
              <w:widowControl/>
              <w:suppressLineNumbers w:val="0"/>
              <w:jc w:val="center"/>
              <w:textAlignment w:val="center"/>
              <w:rPr>
                <w:rFonts w:ascii="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连城县冠豸山古寨服务区4#-6楼</w:t>
            </w:r>
          </w:p>
        </w:tc>
        <w:tc>
          <w:tcPr>
            <w:tcW w:w="762" w:type="pct"/>
            <w:vAlign w:val="center"/>
          </w:tcPr>
          <w:p>
            <w:pPr>
              <w:keepNext w:val="0"/>
              <w:keepLines w:val="0"/>
              <w:widowControl/>
              <w:suppressLineNumbers w:val="0"/>
              <w:jc w:val="center"/>
              <w:textAlignment w:val="center"/>
              <w:rPr>
                <w:rFonts w:ascii="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24.3㎡</w:t>
            </w:r>
          </w:p>
        </w:tc>
        <w:tc>
          <w:tcPr>
            <w:tcW w:w="742" w:type="pct"/>
            <w:vAlign w:val="center"/>
          </w:tcPr>
          <w:p>
            <w:pPr>
              <w:keepNext w:val="0"/>
              <w:keepLines w:val="0"/>
              <w:widowControl/>
              <w:suppressLineNumbers w:val="0"/>
              <w:jc w:val="center"/>
              <w:textAlignment w:val="center"/>
              <w:rPr>
                <w:rFonts w:ascii="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w:t>
            </w:r>
          </w:p>
        </w:tc>
        <w:tc>
          <w:tcPr>
            <w:tcW w:w="761" w:type="pct"/>
            <w:vAlign w:val="center"/>
          </w:tcPr>
          <w:p>
            <w:pPr>
              <w:keepNext w:val="0"/>
              <w:keepLines w:val="0"/>
              <w:widowControl/>
              <w:suppressLineNumbers w:val="0"/>
              <w:jc w:val="center"/>
              <w:textAlignment w:val="center"/>
              <w:rPr>
                <w:rFonts w:ascii="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1500</w:t>
            </w:r>
          </w:p>
        </w:tc>
        <w:tc>
          <w:tcPr>
            <w:tcW w:w="400" w:type="pct"/>
            <w:vMerge w:val="continue"/>
            <w:vAlign w:val="center"/>
          </w:tcPr>
          <w:p>
            <w:pPr>
              <w:widowControl/>
              <w:spacing w:line="260" w:lineRule="exact"/>
              <w:jc w:val="center"/>
              <w:textAlignment w:val="center"/>
              <w:rPr>
                <w:rFonts w:hint="eastAsia" w:ascii="宋体" w:cs="宋体"/>
                <w:color w:val="000000" w:themeColor="text1"/>
                <w:kern w:val="0"/>
                <w:sz w:val="21"/>
                <w:szCs w:val="21"/>
                <w14:textFill>
                  <w14:solidFill>
                    <w14:schemeClr w14:val="tx1"/>
                  </w14:solidFill>
                </w14:textFill>
              </w:rPr>
            </w:pPr>
          </w:p>
        </w:tc>
        <w:tc>
          <w:tcPr>
            <w:tcW w:w="407" w:type="pct"/>
            <w:vMerge w:val="continue"/>
            <w:vAlign w:val="center"/>
          </w:tcPr>
          <w:p>
            <w:pPr>
              <w:widowControl/>
              <w:spacing w:line="260" w:lineRule="exact"/>
              <w:jc w:val="center"/>
              <w:textAlignment w:val="center"/>
              <w:rPr>
                <w:rFonts w:hint="eastAsia" w:ascii="宋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exact"/>
          <w:jc w:val="center"/>
        </w:trPr>
        <w:tc>
          <w:tcPr>
            <w:tcW w:w="305" w:type="pct"/>
            <w:vAlign w:val="center"/>
          </w:tcPr>
          <w:p>
            <w:pPr>
              <w:widowControl/>
              <w:spacing w:line="260" w:lineRule="exact"/>
              <w:jc w:val="center"/>
              <w:textAlignment w:val="center"/>
              <w:rPr>
                <w:rFonts w:hint="eastAsia" w:ascii="宋体" w:eastAsia="宋体" w:cs="宋体"/>
                <w:color w:val="000000" w:themeColor="text1"/>
                <w:sz w:val="21"/>
                <w:szCs w:val="21"/>
                <w:lang w:eastAsia="zh-CN"/>
                <w14:textFill>
                  <w14:solidFill>
                    <w14:schemeClr w14:val="tx1"/>
                  </w14:solidFill>
                </w14:textFill>
              </w:rPr>
            </w:pPr>
            <w:r>
              <w:rPr>
                <w:rFonts w:hint="eastAsia" w:ascii="宋体" w:cs="宋体"/>
                <w:color w:val="000000" w:themeColor="text1"/>
                <w:kern w:val="0"/>
                <w:sz w:val="21"/>
                <w:szCs w:val="21"/>
                <w:lang w:val="en-US" w:eastAsia="zh-CN"/>
                <w14:textFill>
                  <w14:solidFill>
                    <w14:schemeClr w14:val="tx1"/>
                  </w14:solidFill>
                </w14:textFill>
              </w:rPr>
              <w:t>8</w:t>
            </w:r>
          </w:p>
        </w:tc>
        <w:tc>
          <w:tcPr>
            <w:tcW w:w="1620" w:type="pct"/>
            <w:vAlign w:val="center"/>
          </w:tcPr>
          <w:p>
            <w:pPr>
              <w:keepNext w:val="0"/>
              <w:keepLines w:val="0"/>
              <w:widowControl/>
              <w:suppressLineNumbers w:val="0"/>
              <w:jc w:val="center"/>
              <w:textAlignment w:val="center"/>
              <w:rPr>
                <w:rFonts w:ascii="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连城县冠豸山东桃园2#</w:t>
            </w:r>
          </w:p>
        </w:tc>
        <w:tc>
          <w:tcPr>
            <w:tcW w:w="762" w:type="pct"/>
            <w:vAlign w:val="center"/>
          </w:tcPr>
          <w:p>
            <w:pPr>
              <w:keepNext w:val="0"/>
              <w:keepLines w:val="0"/>
              <w:widowControl/>
              <w:suppressLineNumbers w:val="0"/>
              <w:jc w:val="center"/>
              <w:textAlignment w:val="center"/>
              <w:rPr>
                <w:rFonts w:ascii="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60㎡</w:t>
            </w:r>
          </w:p>
        </w:tc>
        <w:tc>
          <w:tcPr>
            <w:tcW w:w="742" w:type="pct"/>
            <w:vAlign w:val="center"/>
          </w:tcPr>
          <w:p>
            <w:pPr>
              <w:keepNext w:val="0"/>
              <w:keepLines w:val="0"/>
              <w:widowControl/>
              <w:suppressLineNumbers w:val="0"/>
              <w:jc w:val="center"/>
              <w:textAlignment w:val="center"/>
              <w:rPr>
                <w:rFonts w:ascii="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800</w:t>
            </w:r>
          </w:p>
        </w:tc>
        <w:tc>
          <w:tcPr>
            <w:tcW w:w="761" w:type="pct"/>
            <w:vAlign w:val="center"/>
          </w:tcPr>
          <w:p>
            <w:pPr>
              <w:keepNext w:val="0"/>
              <w:keepLines w:val="0"/>
              <w:widowControl/>
              <w:suppressLineNumbers w:val="0"/>
              <w:jc w:val="center"/>
              <w:textAlignment w:val="center"/>
              <w:rPr>
                <w:rFonts w:ascii="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3500</w:t>
            </w:r>
          </w:p>
        </w:tc>
        <w:tc>
          <w:tcPr>
            <w:tcW w:w="400" w:type="pct"/>
            <w:vMerge w:val="continue"/>
            <w:vAlign w:val="center"/>
          </w:tcPr>
          <w:p>
            <w:pPr>
              <w:widowControl/>
              <w:spacing w:line="260" w:lineRule="exact"/>
              <w:jc w:val="center"/>
              <w:textAlignment w:val="center"/>
              <w:rPr>
                <w:rFonts w:hint="eastAsia" w:ascii="宋体" w:cs="宋体"/>
                <w:color w:val="000000" w:themeColor="text1"/>
                <w:kern w:val="0"/>
                <w:sz w:val="21"/>
                <w:szCs w:val="21"/>
                <w14:textFill>
                  <w14:solidFill>
                    <w14:schemeClr w14:val="tx1"/>
                  </w14:solidFill>
                </w14:textFill>
              </w:rPr>
            </w:pPr>
          </w:p>
        </w:tc>
        <w:tc>
          <w:tcPr>
            <w:tcW w:w="407" w:type="pct"/>
            <w:vMerge w:val="restart"/>
            <w:vAlign w:val="center"/>
          </w:tcPr>
          <w:p>
            <w:pPr>
              <w:widowControl/>
              <w:spacing w:line="260" w:lineRule="exact"/>
              <w:jc w:val="center"/>
              <w:textAlignment w:val="center"/>
              <w:rPr>
                <w:rFonts w:hint="eastAsia" w:ascii="宋体" w:cs="宋体"/>
                <w:color w:val="000000" w:themeColor="text1"/>
                <w:kern w:val="0"/>
                <w:sz w:val="21"/>
                <w:szCs w:val="21"/>
                <w14:textFill>
                  <w14:solidFill>
                    <w14:schemeClr w14:val="tx1"/>
                  </w14:solidFill>
                </w14:textFill>
              </w:rPr>
            </w:pPr>
            <w:r>
              <w:rPr>
                <w:rFonts w:hint="eastAsia" w:ascii="宋体" w:cs="宋体"/>
                <w:color w:val="000000" w:themeColor="text1"/>
                <w:kern w:val="0"/>
                <w:sz w:val="21"/>
                <w:szCs w:val="21"/>
                <w14:textFill>
                  <w14:solidFill>
                    <w14:schemeClr w14:val="tx1"/>
                  </w14:solidFill>
                </w14:textFill>
              </w:rPr>
              <w:t>可配套冷饮、水吧、咖啡厅、文创、特产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exact"/>
          <w:jc w:val="center"/>
        </w:trPr>
        <w:tc>
          <w:tcPr>
            <w:tcW w:w="305" w:type="pct"/>
            <w:vAlign w:val="center"/>
          </w:tcPr>
          <w:p>
            <w:pPr>
              <w:widowControl/>
              <w:spacing w:line="260" w:lineRule="exact"/>
              <w:jc w:val="center"/>
              <w:textAlignment w:val="center"/>
              <w:rPr>
                <w:rFonts w:hint="eastAsia" w:ascii="宋体" w:eastAsia="宋体" w:cs="宋体"/>
                <w:color w:val="000000" w:themeColor="text1"/>
                <w:sz w:val="21"/>
                <w:szCs w:val="21"/>
                <w:lang w:eastAsia="zh-CN"/>
                <w14:textFill>
                  <w14:solidFill>
                    <w14:schemeClr w14:val="tx1"/>
                  </w14:solidFill>
                </w14:textFill>
              </w:rPr>
            </w:pPr>
            <w:r>
              <w:rPr>
                <w:rFonts w:hint="eastAsia" w:ascii="宋体" w:cs="宋体"/>
                <w:color w:val="000000" w:themeColor="text1"/>
                <w:kern w:val="0"/>
                <w:sz w:val="21"/>
                <w:szCs w:val="21"/>
                <w:lang w:val="en-US" w:eastAsia="zh-CN"/>
                <w14:textFill>
                  <w14:solidFill>
                    <w14:schemeClr w14:val="tx1"/>
                  </w14:solidFill>
                </w14:textFill>
              </w:rPr>
              <w:t>9</w:t>
            </w:r>
          </w:p>
        </w:tc>
        <w:tc>
          <w:tcPr>
            <w:tcW w:w="1620" w:type="pct"/>
            <w:vAlign w:val="center"/>
          </w:tcPr>
          <w:p>
            <w:pPr>
              <w:keepNext w:val="0"/>
              <w:keepLines w:val="0"/>
              <w:widowControl/>
              <w:suppressLineNumbers w:val="0"/>
              <w:jc w:val="center"/>
              <w:textAlignment w:val="center"/>
              <w:rPr>
                <w:rFonts w:ascii="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连城县冠豸山东桃园3#</w:t>
            </w:r>
          </w:p>
        </w:tc>
        <w:tc>
          <w:tcPr>
            <w:tcW w:w="762" w:type="pct"/>
            <w:vAlign w:val="center"/>
          </w:tcPr>
          <w:p>
            <w:pPr>
              <w:keepNext w:val="0"/>
              <w:keepLines w:val="0"/>
              <w:widowControl/>
              <w:suppressLineNumbers w:val="0"/>
              <w:jc w:val="center"/>
              <w:textAlignment w:val="center"/>
              <w:rPr>
                <w:rFonts w:ascii="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60㎡</w:t>
            </w:r>
          </w:p>
        </w:tc>
        <w:tc>
          <w:tcPr>
            <w:tcW w:w="742" w:type="pct"/>
            <w:vAlign w:val="center"/>
          </w:tcPr>
          <w:p>
            <w:pPr>
              <w:keepNext w:val="0"/>
              <w:keepLines w:val="0"/>
              <w:widowControl/>
              <w:suppressLineNumbers w:val="0"/>
              <w:jc w:val="center"/>
              <w:textAlignment w:val="center"/>
              <w:rPr>
                <w:rFonts w:ascii="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800</w:t>
            </w:r>
          </w:p>
        </w:tc>
        <w:tc>
          <w:tcPr>
            <w:tcW w:w="761" w:type="pct"/>
            <w:vAlign w:val="center"/>
          </w:tcPr>
          <w:p>
            <w:pPr>
              <w:keepNext w:val="0"/>
              <w:keepLines w:val="0"/>
              <w:widowControl/>
              <w:suppressLineNumbers w:val="0"/>
              <w:jc w:val="center"/>
              <w:textAlignment w:val="center"/>
              <w:rPr>
                <w:rFonts w:ascii="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3500</w:t>
            </w:r>
          </w:p>
        </w:tc>
        <w:tc>
          <w:tcPr>
            <w:tcW w:w="400" w:type="pct"/>
            <w:vMerge w:val="continue"/>
            <w:vAlign w:val="center"/>
          </w:tcPr>
          <w:p>
            <w:pPr>
              <w:widowControl/>
              <w:spacing w:line="260" w:lineRule="exact"/>
              <w:jc w:val="center"/>
              <w:textAlignment w:val="center"/>
              <w:rPr>
                <w:rFonts w:hint="eastAsia" w:ascii="宋体" w:cs="宋体"/>
                <w:color w:val="000000" w:themeColor="text1"/>
                <w:kern w:val="0"/>
                <w:sz w:val="21"/>
                <w:szCs w:val="21"/>
                <w14:textFill>
                  <w14:solidFill>
                    <w14:schemeClr w14:val="tx1"/>
                  </w14:solidFill>
                </w14:textFill>
              </w:rPr>
            </w:pPr>
          </w:p>
        </w:tc>
        <w:tc>
          <w:tcPr>
            <w:tcW w:w="407" w:type="pct"/>
            <w:vMerge w:val="continue"/>
            <w:vAlign w:val="center"/>
          </w:tcPr>
          <w:p>
            <w:pPr>
              <w:widowControl/>
              <w:spacing w:line="260" w:lineRule="exact"/>
              <w:jc w:val="center"/>
              <w:textAlignment w:val="center"/>
              <w:rPr>
                <w:rFonts w:hint="eastAsia" w:ascii="宋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305" w:type="pct"/>
            <w:vAlign w:val="center"/>
          </w:tcPr>
          <w:p>
            <w:pPr>
              <w:widowControl/>
              <w:spacing w:line="260" w:lineRule="exact"/>
              <w:jc w:val="center"/>
              <w:textAlignment w:val="center"/>
              <w:rPr>
                <w:rFonts w:hint="eastAsia" w:ascii="宋体" w:eastAsia="宋体" w:cs="宋体"/>
                <w:color w:val="000000" w:themeColor="text1"/>
                <w:sz w:val="21"/>
                <w:szCs w:val="21"/>
                <w:lang w:eastAsia="zh-CN"/>
                <w14:textFill>
                  <w14:solidFill>
                    <w14:schemeClr w14:val="tx1"/>
                  </w14:solidFill>
                </w14:textFill>
              </w:rPr>
            </w:pPr>
            <w:r>
              <w:rPr>
                <w:rFonts w:hint="eastAsia" w:ascii="宋体" w:cs="宋体"/>
                <w:color w:val="000000" w:themeColor="text1"/>
                <w:kern w:val="0"/>
                <w:sz w:val="21"/>
                <w:szCs w:val="21"/>
                <w14:textFill>
                  <w14:solidFill>
                    <w14:schemeClr w14:val="tx1"/>
                  </w14:solidFill>
                </w14:textFill>
              </w:rPr>
              <w:t>1</w:t>
            </w:r>
            <w:r>
              <w:rPr>
                <w:rFonts w:hint="eastAsia" w:ascii="宋体" w:cs="宋体"/>
                <w:color w:val="000000" w:themeColor="text1"/>
                <w:kern w:val="0"/>
                <w:sz w:val="21"/>
                <w:szCs w:val="21"/>
                <w:lang w:val="en-US" w:eastAsia="zh-CN"/>
                <w14:textFill>
                  <w14:solidFill>
                    <w14:schemeClr w14:val="tx1"/>
                  </w14:solidFill>
                </w14:textFill>
              </w:rPr>
              <w:t>0</w:t>
            </w:r>
          </w:p>
        </w:tc>
        <w:tc>
          <w:tcPr>
            <w:tcW w:w="1620" w:type="pct"/>
            <w:vAlign w:val="center"/>
          </w:tcPr>
          <w:p>
            <w:pPr>
              <w:keepNext w:val="0"/>
              <w:keepLines w:val="0"/>
              <w:widowControl/>
              <w:suppressLineNumbers w:val="0"/>
              <w:jc w:val="center"/>
              <w:textAlignment w:val="center"/>
              <w:rPr>
                <w:rFonts w:ascii="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连城县冠豸山东桃园4#</w:t>
            </w:r>
          </w:p>
        </w:tc>
        <w:tc>
          <w:tcPr>
            <w:tcW w:w="762" w:type="pct"/>
            <w:vAlign w:val="center"/>
          </w:tcPr>
          <w:p>
            <w:pPr>
              <w:keepNext w:val="0"/>
              <w:keepLines w:val="0"/>
              <w:widowControl/>
              <w:suppressLineNumbers w:val="0"/>
              <w:jc w:val="center"/>
              <w:textAlignment w:val="center"/>
              <w:rPr>
                <w:rFonts w:ascii="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40㎡</w:t>
            </w:r>
          </w:p>
        </w:tc>
        <w:tc>
          <w:tcPr>
            <w:tcW w:w="742" w:type="pct"/>
            <w:vAlign w:val="center"/>
          </w:tcPr>
          <w:p>
            <w:pPr>
              <w:keepNext w:val="0"/>
              <w:keepLines w:val="0"/>
              <w:widowControl/>
              <w:suppressLineNumbers w:val="0"/>
              <w:jc w:val="center"/>
              <w:textAlignment w:val="center"/>
              <w:rPr>
                <w:rFonts w:ascii="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800</w:t>
            </w:r>
          </w:p>
        </w:tc>
        <w:tc>
          <w:tcPr>
            <w:tcW w:w="761" w:type="pct"/>
            <w:vAlign w:val="center"/>
          </w:tcPr>
          <w:p>
            <w:pPr>
              <w:keepNext w:val="0"/>
              <w:keepLines w:val="0"/>
              <w:widowControl/>
              <w:suppressLineNumbers w:val="0"/>
              <w:jc w:val="center"/>
              <w:textAlignment w:val="center"/>
              <w:rPr>
                <w:rFonts w:ascii="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3500</w:t>
            </w:r>
          </w:p>
        </w:tc>
        <w:tc>
          <w:tcPr>
            <w:tcW w:w="400" w:type="pct"/>
            <w:vMerge w:val="continue"/>
            <w:vAlign w:val="center"/>
          </w:tcPr>
          <w:p>
            <w:pPr>
              <w:widowControl/>
              <w:spacing w:line="260" w:lineRule="exact"/>
              <w:jc w:val="center"/>
              <w:textAlignment w:val="center"/>
              <w:rPr>
                <w:rFonts w:hint="eastAsia" w:ascii="宋体" w:cs="宋体"/>
                <w:color w:val="000000" w:themeColor="text1"/>
                <w:kern w:val="0"/>
                <w:sz w:val="21"/>
                <w:szCs w:val="21"/>
                <w14:textFill>
                  <w14:solidFill>
                    <w14:schemeClr w14:val="tx1"/>
                  </w14:solidFill>
                </w14:textFill>
              </w:rPr>
            </w:pPr>
          </w:p>
        </w:tc>
        <w:tc>
          <w:tcPr>
            <w:tcW w:w="407" w:type="pct"/>
            <w:vMerge w:val="continue"/>
            <w:vAlign w:val="center"/>
          </w:tcPr>
          <w:p>
            <w:pPr>
              <w:widowControl/>
              <w:spacing w:line="260" w:lineRule="exact"/>
              <w:jc w:val="center"/>
              <w:textAlignment w:val="center"/>
              <w:rPr>
                <w:rFonts w:hint="eastAsia" w:ascii="宋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jc w:val="center"/>
        </w:trPr>
        <w:tc>
          <w:tcPr>
            <w:tcW w:w="305" w:type="pct"/>
            <w:vAlign w:val="center"/>
          </w:tcPr>
          <w:p>
            <w:pPr>
              <w:widowControl/>
              <w:spacing w:line="260" w:lineRule="exact"/>
              <w:jc w:val="center"/>
              <w:textAlignment w:val="center"/>
              <w:rPr>
                <w:rFonts w:hint="eastAsia" w:ascii="宋体" w:eastAsia="宋体" w:cs="宋体"/>
                <w:color w:val="000000" w:themeColor="text1"/>
                <w:sz w:val="21"/>
                <w:szCs w:val="21"/>
                <w:lang w:eastAsia="zh-CN"/>
                <w14:textFill>
                  <w14:solidFill>
                    <w14:schemeClr w14:val="tx1"/>
                  </w14:solidFill>
                </w14:textFill>
              </w:rPr>
            </w:pPr>
            <w:r>
              <w:rPr>
                <w:rFonts w:hint="eastAsia" w:ascii="宋体" w:cs="宋体"/>
                <w:color w:val="000000" w:themeColor="text1"/>
                <w:kern w:val="0"/>
                <w:sz w:val="21"/>
                <w:szCs w:val="21"/>
                <w14:textFill>
                  <w14:solidFill>
                    <w14:schemeClr w14:val="tx1"/>
                  </w14:solidFill>
                </w14:textFill>
              </w:rPr>
              <w:t>1</w:t>
            </w:r>
            <w:r>
              <w:rPr>
                <w:rFonts w:hint="eastAsia" w:ascii="宋体" w:cs="宋体"/>
                <w:color w:val="000000" w:themeColor="text1"/>
                <w:kern w:val="0"/>
                <w:sz w:val="21"/>
                <w:szCs w:val="21"/>
                <w:lang w:val="en-US" w:eastAsia="zh-CN"/>
                <w14:textFill>
                  <w14:solidFill>
                    <w14:schemeClr w14:val="tx1"/>
                  </w14:solidFill>
                </w14:textFill>
              </w:rPr>
              <w:t>1</w:t>
            </w:r>
          </w:p>
        </w:tc>
        <w:tc>
          <w:tcPr>
            <w:tcW w:w="1620" w:type="pct"/>
            <w:vAlign w:val="center"/>
          </w:tcPr>
          <w:p>
            <w:pPr>
              <w:keepNext w:val="0"/>
              <w:keepLines w:val="0"/>
              <w:widowControl/>
              <w:suppressLineNumbers w:val="0"/>
              <w:jc w:val="center"/>
              <w:textAlignment w:val="center"/>
              <w:rPr>
                <w:rFonts w:ascii="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连城县冠豸山东桃园5#</w:t>
            </w:r>
          </w:p>
        </w:tc>
        <w:tc>
          <w:tcPr>
            <w:tcW w:w="762" w:type="pct"/>
            <w:vAlign w:val="center"/>
          </w:tcPr>
          <w:p>
            <w:pPr>
              <w:keepNext w:val="0"/>
              <w:keepLines w:val="0"/>
              <w:widowControl/>
              <w:suppressLineNumbers w:val="0"/>
              <w:jc w:val="center"/>
              <w:textAlignment w:val="center"/>
              <w:rPr>
                <w:rFonts w:ascii="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60㎡</w:t>
            </w:r>
          </w:p>
        </w:tc>
        <w:tc>
          <w:tcPr>
            <w:tcW w:w="742" w:type="pct"/>
            <w:vAlign w:val="center"/>
          </w:tcPr>
          <w:p>
            <w:pPr>
              <w:keepNext w:val="0"/>
              <w:keepLines w:val="0"/>
              <w:widowControl/>
              <w:suppressLineNumbers w:val="0"/>
              <w:jc w:val="center"/>
              <w:textAlignment w:val="center"/>
              <w:rPr>
                <w:rFonts w:ascii="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800</w:t>
            </w:r>
          </w:p>
        </w:tc>
        <w:tc>
          <w:tcPr>
            <w:tcW w:w="761" w:type="pct"/>
            <w:vAlign w:val="center"/>
          </w:tcPr>
          <w:p>
            <w:pPr>
              <w:keepNext w:val="0"/>
              <w:keepLines w:val="0"/>
              <w:widowControl/>
              <w:suppressLineNumbers w:val="0"/>
              <w:jc w:val="center"/>
              <w:textAlignment w:val="center"/>
              <w:rPr>
                <w:rFonts w:ascii="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3500</w:t>
            </w:r>
          </w:p>
        </w:tc>
        <w:tc>
          <w:tcPr>
            <w:tcW w:w="400" w:type="pct"/>
            <w:vMerge w:val="continue"/>
            <w:vAlign w:val="center"/>
          </w:tcPr>
          <w:p>
            <w:pPr>
              <w:widowControl/>
              <w:spacing w:line="260" w:lineRule="exact"/>
              <w:jc w:val="center"/>
              <w:textAlignment w:val="center"/>
              <w:rPr>
                <w:rFonts w:hint="eastAsia" w:ascii="宋体" w:cs="宋体"/>
                <w:color w:val="000000" w:themeColor="text1"/>
                <w:kern w:val="0"/>
                <w:sz w:val="21"/>
                <w:szCs w:val="21"/>
                <w14:textFill>
                  <w14:solidFill>
                    <w14:schemeClr w14:val="tx1"/>
                  </w14:solidFill>
                </w14:textFill>
              </w:rPr>
            </w:pPr>
          </w:p>
        </w:tc>
        <w:tc>
          <w:tcPr>
            <w:tcW w:w="407" w:type="pct"/>
            <w:vMerge w:val="continue"/>
            <w:vAlign w:val="center"/>
          </w:tcPr>
          <w:p>
            <w:pPr>
              <w:widowControl/>
              <w:spacing w:line="260" w:lineRule="exact"/>
              <w:jc w:val="center"/>
              <w:textAlignment w:val="center"/>
              <w:rPr>
                <w:rFonts w:hint="eastAsia" w:ascii="宋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exact"/>
          <w:jc w:val="center"/>
        </w:trPr>
        <w:tc>
          <w:tcPr>
            <w:tcW w:w="305" w:type="pct"/>
            <w:vAlign w:val="center"/>
          </w:tcPr>
          <w:p>
            <w:pPr>
              <w:widowControl/>
              <w:spacing w:line="260" w:lineRule="exact"/>
              <w:jc w:val="center"/>
              <w:textAlignment w:val="center"/>
              <w:rPr>
                <w:rFonts w:hint="eastAsia" w:ascii="宋体" w:eastAsia="宋体" w:cs="宋体"/>
                <w:color w:val="000000" w:themeColor="text1"/>
                <w:sz w:val="21"/>
                <w:szCs w:val="21"/>
                <w:lang w:eastAsia="zh-CN"/>
                <w14:textFill>
                  <w14:solidFill>
                    <w14:schemeClr w14:val="tx1"/>
                  </w14:solidFill>
                </w14:textFill>
              </w:rPr>
            </w:pPr>
            <w:r>
              <w:rPr>
                <w:rFonts w:hint="eastAsia" w:ascii="宋体" w:cs="宋体"/>
                <w:color w:val="000000" w:themeColor="text1"/>
                <w:kern w:val="0"/>
                <w:sz w:val="21"/>
                <w:szCs w:val="21"/>
                <w14:textFill>
                  <w14:solidFill>
                    <w14:schemeClr w14:val="tx1"/>
                  </w14:solidFill>
                </w14:textFill>
              </w:rPr>
              <w:t>1</w:t>
            </w:r>
            <w:r>
              <w:rPr>
                <w:rFonts w:hint="eastAsia" w:ascii="宋体" w:cs="宋体"/>
                <w:color w:val="000000" w:themeColor="text1"/>
                <w:kern w:val="0"/>
                <w:sz w:val="21"/>
                <w:szCs w:val="21"/>
                <w:lang w:val="en-US" w:eastAsia="zh-CN"/>
                <w14:textFill>
                  <w14:solidFill>
                    <w14:schemeClr w14:val="tx1"/>
                  </w14:solidFill>
                </w14:textFill>
              </w:rPr>
              <w:t>2</w:t>
            </w:r>
          </w:p>
        </w:tc>
        <w:tc>
          <w:tcPr>
            <w:tcW w:w="1620" w:type="pct"/>
            <w:vAlign w:val="center"/>
          </w:tcPr>
          <w:p>
            <w:pPr>
              <w:keepNext w:val="0"/>
              <w:keepLines w:val="0"/>
              <w:widowControl/>
              <w:suppressLineNumbers w:val="0"/>
              <w:jc w:val="center"/>
              <w:textAlignment w:val="center"/>
              <w:rPr>
                <w:rFonts w:ascii="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连城县冠豸山山下路32号-1</w:t>
            </w:r>
          </w:p>
        </w:tc>
        <w:tc>
          <w:tcPr>
            <w:tcW w:w="762" w:type="pct"/>
            <w:vAlign w:val="center"/>
          </w:tcPr>
          <w:p>
            <w:pPr>
              <w:keepNext w:val="0"/>
              <w:keepLines w:val="0"/>
              <w:widowControl/>
              <w:suppressLineNumbers w:val="0"/>
              <w:jc w:val="center"/>
              <w:textAlignment w:val="center"/>
              <w:rPr>
                <w:rFonts w:ascii="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29.4㎡</w:t>
            </w:r>
          </w:p>
        </w:tc>
        <w:tc>
          <w:tcPr>
            <w:tcW w:w="742" w:type="pct"/>
            <w:vAlign w:val="center"/>
          </w:tcPr>
          <w:p>
            <w:pPr>
              <w:keepNext w:val="0"/>
              <w:keepLines w:val="0"/>
              <w:widowControl/>
              <w:suppressLineNumbers w:val="0"/>
              <w:jc w:val="center"/>
              <w:textAlignment w:val="center"/>
              <w:rPr>
                <w:rFonts w:ascii="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720</w:t>
            </w:r>
          </w:p>
        </w:tc>
        <w:tc>
          <w:tcPr>
            <w:tcW w:w="761" w:type="pct"/>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3000</w:t>
            </w:r>
          </w:p>
        </w:tc>
        <w:tc>
          <w:tcPr>
            <w:tcW w:w="400" w:type="pct"/>
            <w:vMerge w:val="continue"/>
            <w:vAlign w:val="center"/>
          </w:tcPr>
          <w:p>
            <w:pPr>
              <w:widowControl/>
              <w:spacing w:line="260" w:lineRule="exact"/>
              <w:jc w:val="center"/>
              <w:textAlignment w:val="center"/>
              <w:rPr>
                <w:rFonts w:hint="eastAsia" w:ascii="宋体" w:cs="宋体"/>
                <w:color w:val="000000" w:themeColor="text1"/>
                <w:kern w:val="0"/>
                <w:sz w:val="21"/>
                <w:szCs w:val="21"/>
                <w14:textFill>
                  <w14:solidFill>
                    <w14:schemeClr w14:val="tx1"/>
                  </w14:solidFill>
                </w14:textFill>
              </w:rPr>
            </w:pPr>
          </w:p>
        </w:tc>
        <w:tc>
          <w:tcPr>
            <w:tcW w:w="407" w:type="pct"/>
            <w:vMerge w:val="restart"/>
            <w:vAlign w:val="center"/>
          </w:tcPr>
          <w:p>
            <w:pPr>
              <w:widowControl/>
              <w:spacing w:line="260" w:lineRule="exact"/>
              <w:jc w:val="center"/>
              <w:textAlignment w:val="center"/>
              <w:rPr>
                <w:rFonts w:hint="eastAsia" w:ascii="宋体" w:eastAsia="宋体" w:cs="宋体"/>
                <w:color w:val="000000" w:themeColor="text1"/>
                <w:kern w:val="0"/>
                <w:sz w:val="21"/>
                <w:szCs w:val="21"/>
                <w:lang w:val="en-US" w:eastAsia="zh-CN"/>
                <w14:textFill>
                  <w14:solidFill>
                    <w14:schemeClr w14:val="tx1"/>
                  </w14:solidFill>
                </w14:textFill>
              </w:rPr>
            </w:pPr>
            <w:r>
              <w:rPr>
                <w:rFonts w:hint="eastAsia" w:ascii="宋体" w:cs="宋体"/>
                <w:color w:val="000000" w:themeColor="text1"/>
                <w:kern w:val="0"/>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jc w:val="center"/>
        </w:trPr>
        <w:tc>
          <w:tcPr>
            <w:tcW w:w="305" w:type="pct"/>
            <w:vAlign w:val="center"/>
          </w:tcPr>
          <w:p>
            <w:pPr>
              <w:widowControl/>
              <w:spacing w:line="260" w:lineRule="exact"/>
              <w:jc w:val="center"/>
              <w:textAlignment w:val="center"/>
              <w:rPr>
                <w:rFonts w:hint="eastAsia" w:ascii="宋体" w:eastAsia="宋体" w:cs="宋体"/>
                <w:color w:val="000000" w:themeColor="text1"/>
                <w:sz w:val="21"/>
                <w:szCs w:val="21"/>
                <w:lang w:eastAsia="zh-CN"/>
                <w14:textFill>
                  <w14:solidFill>
                    <w14:schemeClr w14:val="tx1"/>
                  </w14:solidFill>
                </w14:textFill>
              </w:rPr>
            </w:pPr>
            <w:r>
              <w:rPr>
                <w:rFonts w:hint="eastAsia" w:ascii="宋体" w:cs="宋体"/>
                <w:color w:val="000000" w:themeColor="text1"/>
                <w:kern w:val="0"/>
                <w:sz w:val="21"/>
                <w:szCs w:val="21"/>
                <w14:textFill>
                  <w14:solidFill>
                    <w14:schemeClr w14:val="tx1"/>
                  </w14:solidFill>
                </w14:textFill>
              </w:rPr>
              <w:t>1</w:t>
            </w:r>
            <w:r>
              <w:rPr>
                <w:rFonts w:hint="eastAsia" w:ascii="宋体" w:cs="宋体"/>
                <w:color w:val="000000" w:themeColor="text1"/>
                <w:kern w:val="0"/>
                <w:sz w:val="21"/>
                <w:szCs w:val="21"/>
                <w:lang w:val="en-US" w:eastAsia="zh-CN"/>
                <w14:textFill>
                  <w14:solidFill>
                    <w14:schemeClr w14:val="tx1"/>
                  </w14:solidFill>
                </w14:textFill>
              </w:rPr>
              <w:t>3</w:t>
            </w:r>
          </w:p>
        </w:tc>
        <w:tc>
          <w:tcPr>
            <w:tcW w:w="1620" w:type="pct"/>
            <w:vAlign w:val="center"/>
          </w:tcPr>
          <w:p>
            <w:pPr>
              <w:keepNext w:val="0"/>
              <w:keepLines w:val="0"/>
              <w:widowControl/>
              <w:suppressLineNumbers w:val="0"/>
              <w:jc w:val="center"/>
              <w:textAlignment w:val="center"/>
              <w:rPr>
                <w:rFonts w:ascii="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连城县冠豸山山下路32号-2</w:t>
            </w:r>
          </w:p>
        </w:tc>
        <w:tc>
          <w:tcPr>
            <w:tcW w:w="762" w:type="pct"/>
            <w:vAlign w:val="center"/>
          </w:tcPr>
          <w:p>
            <w:pPr>
              <w:keepNext w:val="0"/>
              <w:keepLines w:val="0"/>
              <w:widowControl/>
              <w:suppressLineNumbers w:val="0"/>
              <w:jc w:val="center"/>
              <w:textAlignment w:val="center"/>
              <w:rPr>
                <w:rFonts w:ascii="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29.4㎡</w:t>
            </w:r>
          </w:p>
        </w:tc>
        <w:tc>
          <w:tcPr>
            <w:tcW w:w="742" w:type="pct"/>
            <w:vAlign w:val="center"/>
          </w:tcPr>
          <w:p>
            <w:pPr>
              <w:keepNext w:val="0"/>
              <w:keepLines w:val="0"/>
              <w:widowControl/>
              <w:suppressLineNumbers w:val="0"/>
              <w:jc w:val="center"/>
              <w:textAlignment w:val="center"/>
              <w:rPr>
                <w:rFonts w:ascii="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720</w:t>
            </w:r>
          </w:p>
        </w:tc>
        <w:tc>
          <w:tcPr>
            <w:tcW w:w="761" w:type="pct"/>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3000</w:t>
            </w:r>
          </w:p>
        </w:tc>
        <w:tc>
          <w:tcPr>
            <w:tcW w:w="400" w:type="pct"/>
            <w:vMerge w:val="continue"/>
            <w:vAlign w:val="center"/>
          </w:tcPr>
          <w:p>
            <w:pPr>
              <w:widowControl/>
              <w:spacing w:line="260" w:lineRule="exact"/>
              <w:jc w:val="center"/>
              <w:textAlignment w:val="center"/>
              <w:rPr>
                <w:rFonts w:hint="eastAsia" w:ascii="宋体" w:cs="宋体"/>
                <w:color w:val="000000" w:themeColor="text1"/>
                <w:kern w:val="0"/>
                <w:sz w:val="21"/>
                <w:szCs w:val="21"/>
                <w14:textFill>
                  <w14:solidFill>
                    <w14:schemeClr w14:val="tx1"/>
                  </w14:solidFill>
                </w14:textFill>
              </w:rPr>
            </w:pPr>
          </w:p>
        </w:tc>
        <w:tc>
          <w:tcPr>
            <w:tcW w:w="407" w:type="pct"/>
            <w:vMerge w:val="continue"/>
            <w:vAlign w:val="center"/>
          </w:tcPr>
          <w:p>
            <w:pPr>
              <w:widowControl/>
              <w:spacing w:line="260" w:lineRule="exact"/>
              <w:jc w:val="center"/>
              <w:textAlignment w:val="center"/>
              <w:rPr>
                <w:rFonts w:hint="eastAsia" w:ascii="宋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exact"/>
          <w:jc w:val="center"/>
        </w:trPr>
        <w:tc>
          <w:tcPr>
            <w:tcW w:w="305" w:type="pct"/>
            <w:vAlign w:val="center"/>
          </w:tcPr>
          <w:p>
            <w:pPr>
              <w:widowControl/>
              <w:spacing w:line="260" w:lineRule="exact"/>
              <w:jc w:val="center"/>
              <w:textAlignment w:val="center"/>
              <w:rPr>
                <w:rFonts w:hint="eastAsia" w:ascii="宋体" w:eastAsia="宋体" w:cs="宋体"/>
                <w:color w:val="000000" w:themeColor="text1"/>
                <w:sz w:val="21"/>
                <w:szCs w:val="21"/>
                <w:lang w:eastAsia="zh-CN"/>
                <w14:textFill>
                  <w14:solidFill>
                    <w14:schemeClr w14:val="tx1"/>
                  </w14:solidFill>
                </w14:textFill>
              </w:rPr>
            </w:pPr>
            <w:r>
              <w:rPr>
                <w:rFonts w:hint="eastAsia" w:ascii="宋体" w:cs="宋体"/>
                <w:color w:val="000000" w:themeColor="text1"/>
                <w:kern w:val="0"/>
                <w:sz w:val="21"/>
                <w:szCs w:val="21"/>
                <w14:textFill>
                  <w14:solidFill>
                    <w14:schemeClr w14:val="tx1"/>
                  </w14:solidFill>
                </w14:textFill>
              </w:rPr>
              <w:t>1</w:t>
            </w:r>
            <w:r>
              <w:rPr>
                <w:rFonts w:hint="eastAsia" w:ascii="宋体" w:cs="宋体"/>
                <w:color w:val="000000" w:themeColor="text1"/>
                <w:kern w:val="0"/>
                <w:sz w:val="21"/>
                <w:szCs w:val="21"/>
                <w:lang w:val="en-US" w:eastAsia="zh-CN"/>
                <w14:textFill>
                  <w14:solidFill>
                    <w14:schemeClr w14:val="tx1"/>
                  </w14:solidFill>
                </w14:textFill>
              </w:rPr>
              <w:t>4</w:t>
            </w:r>
          </w:p>
        </w:tc>
        <w:tc>
          <w:tcPr>
            <w:tcW w:w="1620" w:type="pct"/>
            <w:vAlign w:val="center"/>
          </w:tcPr>
          <w:p>
            <w:pPr>
              <w:keepNext w:val="0"/>
              <w:keepLines w:val="0"/>
              <w:widowControl/>
              <w:suppressLineNumbers w:val="0"/>
              <w:jc w:val="center"/>
              <w:textAlignment w:val="center"/>
              <w:rPr>
                <w:rFonts w:ascii="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连城县冠豸山山下路32号-4</w:t>
            </w:r>
          </w:p>
        </w:tc>
        <w:tc>
          <w:tcPr>
            <w:tcW w:w="762" w:type="pct"/>
            <w:vAlign w:val="center"/>
          </w:tcPr>
          <w:p>
            <w:pPr>
              <w:keepNext w:val="0"/>
              <w:keepLines w:val="0"/>
              <w:widowControl/>
              <w:suppressLineNumbers w:val="0"/>
              <w:jc w:val="center"/>
              <w:textAlignment w:val="center"/>
              <w:rPr>
                <w:rFonts w:ascii="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29.4㎡</w:t>
            </w:r>
          </w:p>
        </w:tc>
        <w:tc>
          <w:tcPr>
            <w:tcW w:w="742" w:type="pct"/>
            <w:vAlign w:val="center"/>
          </w:tcPr>
          <w:p>
            <w:pPr>
              <w:keepNext w:val="0"/>
              <w:keepLines w:val="0"/>
              <w:widowControl/>
              <w:suppressLineNumbers w:val="0"/>
              <w:jc w:val="center"/>
              <w:textAlignment w:val="center"/>
              <w:rPr>
                <w:rFonts w:ascii="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720</w:t>
            </w:r>
          </w:p>
        </w:tc>
        <w:tc>
          <w:tcPr>
            <w:tcW w:w="761" w:type="pct"/>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3000</w:t>
            </w:r>
          </w:p>
        </w:tc>
        <w:tc>
          <w:tcPr>
            <w:tcW w:w="400" w:type="pct"/>
            <w:vMerge w:val="continue"/>
            <w:vAlign w:val="center"/>
          </w:tcPr>
          <w:p>
            <w:pPr>
              <w:widowControl/>
              <w:spacing w:line="260" w:lineRule="exact"/>
              <w:jc w:val="center"/>
              <w:textAlignment w:val="center"/>
              <w:rPr>
                <w:rFonts w:hint="eastAsia" w:ascii="宋体" w:cs="宋体"/>
                <w:color w:val="000000" w:themeColor="text1"/>
                <w:kern w:val="0"/>
                <w:sz w:val="21"/>
                <w:szCs w:val="21"/>
                <w14:textFill>
                  <w14:solidFill>
                    <w14:schemeClr w14:val="tx1"/>
                  </w14:solidFill>
                </w14:textFill>
              </w:rPr>
            </w:pPr>
          </w:p>
        </w:tc>
        <w:tc>
          <w:tcPr>
            <w:tcW w:w="407" w:type="pct"/>
            <w:vMerge w:val="continue"/>
            <w:vAlign w:val="center"/>
          </w:tcPr>
          <w:p>
            <w:pPr>
              <w:widowControl/>
              <w:spacing w:line="260" w:lineRule="exact"/>
              <w:jc w:val="center"/>
              <w:textAlignment w:val="center"/>
              <w:rPr>
                <w:rFonts w:hint="eastAsia" w:ascii="宋体" w:cs="宋体"/>
                <w:color w:val="000000" w:themeColor="text1"/>
                <w:kern w:val="0"/>
                <w:sz w:val="21"/>
                <w:szCs w:val="21"/>
                <w14:textFill>
                  <w14:solidFill>
                    <w14:schemeClr w14:val="tx1"/>
                  </w14:solidFill>
                </w14:textFill>
              </w:rPr>
            </w:pPr>
          </w:p>
        </w:tc>
      </w:tr>
    </w:tbl>
    <w:p>
      <w:pPr>
        <w:spacing w:line="440" w:lineRule="exact"/>
        <w:ind w:left="0" w:firstLine="480" w:firstLineChars="200"/>
        <w:jc w:val="left"/>
        <w:rPr>
          <w:rFonts w:ascii="宋体"/>
          <w:color w:val="000000" w:themeColor="text1"/>
          <w:sz w:val="24"/>
          <w14:textFill>
            <w14:solidFill>
              <w14:schemeClr w14:val="tx1"/>
            </w14:solidFill>
          </w14:textFill>
        </w:rPr>
      </w:pPr>
      <w:r>
        <w:rPr>
          <w:rFonts w:hint="eastAsia" w:ascii="宋体"/>
          <w:color w:val="000000" w:themeColor="text1"/>
          <w:sz w:val="24"/>
          <w:lang w:val="en-US" w:eastAsia="zh-CN"/>
          <w14:textFill>
            <w14:solidFill>
              <w14:schemeClr w14:val="tx1"/>
            </w14:solidFill>
          </w14:textFill>
        </w:rPr>
        <w:t>标的</w:t>
      </w:r>
      <w:r>
        <w:rPr>
          <w:rFonts w:hint="eastAsia" w:ascii="宋体"/>
          <w:color w:val="000000" w:themeColor="text1"/>
          <w:sz w:val="24"/>
          <w14:textFill>
            <w14:solidFill>
              <w14:schemeClr w14:val="tx1"/>
            </w14:solidFill>
          </w14:textFill>
        </w:rPr>
        <w:t>特别</w:t>
      </w:r>
      <w:r>
        <w:rPr>
          <w:rFonts w:hint="eastAsia" w:ascii="宋体"/>
          <w:color w:val="000000" w:themeColor="text1"/>
          <w:sz w:val="24"/>
          <w:lang w:val="en-US" w:eastAsia="zh-CN"/>
          <w14:textFill>
            <w14:solidFill>
              <w14:schemeClr w14:val="tx1"/>
            </w14:solidFill>
          </w14:textFill>
        </w:rPr>
        <w:t>说明</w:t>
      </w:r>
      <w:r>
        <w:rPr>
          <w:rFonts w:hint="eastAsia" w:ascii="宋体"/>
          <w:color w:val="000000" w:themeColor="text1"/>
          <w:sz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10" w:lineRule="exact"/>
        <w:ind w:firstLine="480" w:firstLineChars="200"/>
        <w:jc w:val="left"/>
        <w:textAlignment w:val="auto"/>
        <w:rPr>
          <w:rFonts w:hint="eastAsia" w:ascii="宋体"/>
          <w:color w:val="000000" w:themeColor="text1"/>
          <w:sz w:val="24"/>
          <w:szCs w:val="24"/>
          <w:highlight w:val="none"/>
          <w14:textFill>
            <w14:solidFill>
              <w14:schemeClr w14:val="tx1"/>
            </w14:solidFill>
          </w14:textFill>
        </w:rPr>
      </w:pPr>
      <w:r>
        <w:rPr>
          <w:rFonts w:hint="eastAsia" w:ascii="宋体"/>
          <w:color w:val="000000" w:themeColor="text1"/>
          <w:sz w:val="24"/>
          <w14:textFill>
            <w14:solidFill>
              <w14:schemeClr w14:val="tx1"/>
            </w14:solidFill>
          </w14:textFill>
        </w:rPr>
        <w:t>1.成交人需缴纳履约保证金，履约保证金为成交月租金的三倍</w:t>
      </w:r>
      <w:r>
        <w:rPr>
          <w:rFonts w:hint="eastAsia" w:ascii="宋体"/>
          <w:color w:val="000000" w:themeColor="text1"/>
          <w:sz w:val="24"/>
          <w:lang w:eastAsia="zh-CN"/>
          <w14:textFill>
            <w14:solidFill>
              <w14:schemeClr w14:val="tx1"/>
            </w14:solidFill>
          </w14:textFill>
        </w:rPr>
        <w:t>，</w:t>
      </w:r>
      <w:r>
        <w:rPr>
          <w:rFonts w:hint="eastAsia" w:ascii="宋体"/>
          <w:color w:val="000000" w:themeColor="text1"/>
          <w:sz w:val="24"/>
          <w:lang w:eastAsia="zh-CN"/>
          <w14:textFill>
            <w14:solidFill>
              <w14:schemeClr w14:val="tx1"/>
            </w14:solidFill>
          </w14:textFill>
        </w:rPr>
        <w:t>其中古寨服务区3#楼需成交人另行缴纳厨具、家具押金1万元。</w:t>
      </w:r>
    </w:p>
    <w:p>
      <w:pPr>
        <w:spacing w:line="410" w:lineRule="exact"/>
        <w:ind w:firstLine="480" w:firstLineChars="200"/>
        <w:jc w:val="left"/>
        <w:rPr>
          <w:rFonts w:hint="eastAsia" w:ascii="宋体" w:cs="Times New Roman"/>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2.所有标的租期三年</w:t>
      </w:r>
      <w:r>
        <w:rPr>
          <w:rFonts w:hint="eastAsia" w:ascii="宋体"/>
          <w:color w:val="000000" w:themeColor="text1"/>
          <w:sz w:val="24"/>
          <w:lang w:eastAsia="zh-CN"/>
          <w14:textFill>
            <w14:solidFill>
              <w14:schemeClr w14:val="tx1"/>
            </w14:solidFill>
          </w14:textFill>
        </w:rPr>
        <w:t>，</w:t>
      </w:r>
      <w:r>
        <w:rPr>
          <w:rFonts w:hint="eastAsia" w:ascii="宋体"/>
          <w:color w:val="000000" w:themeColor="text1"/>
          <w:sz w:val="24"/>
          <w14:textFill>
            <w14:solidFill>
              <w14:schemeClr w14:val="tx1"/>
            </w14:solidFill>
          </w14:textFill>
        </w:rPr>
        <w:t>租金</w:t>
      </w:r>
      <w:r>
        <w:rPr>
          <w:rFonts w:hint="eastAsia" w:ascii="宋体" w:cs="Times New Roman"/>
          <w:color w:val="000000" w:themeColor="text1"/>
          <w:sz w:val="24"/>
          <w14:textFill>
            <w14:solidFill>
              <w14:schemeClr w14:val="tx1"/>
            </w14:solidFill>
          </w14:textFill>
        </w:rPr>
        <w:t>按</w:t>
      </w:r>
      <w:r>
        <w:rPr>
          <w:rFonts w:hint="eastAsia" w:ascii="宋体" w:cs="Times New Roman"/>
          <w:color w:val="000000" w:themeColor="text1"/>
          <w:sz w:val="24"/>
          <w:lang w:val="en-US" w:eastAsia="zh-CN"/>
          <w14:textFill>
            <w14:solidFill>
              <w14:schemeClr w14:val="tx1"/>
            </w14:solidFill>
          </w14:textFill>
        </w:rPr>
        <w:t>季度</w:t>
      </w:r>
      <w:r>
        <w:rPr>
          <w:rFonts w:hint="eastAsia" w:ascii="宋体" w:cs="Times New Roman"/>
          <w:color w:val="000000" w:themeColor="text1"/>
          <w:sz w:val="24"/>
          <w14:textFill>
            <w14:solidFill>
              <w14:schemeClr w14:val="tx1"/>
            </w14:solidFill>
          </w14:textFill>
        </w:rPr>
        <w:t>缴交，</w:t>
      </w:r>
      <w:r>
        <w:rPr>
          <w:rFonts w:hint="eastAsia" w:ascii="宋体" w:cs="Times New Roman"/>
          <w:color w:val="000000" w:themeColor="text1"/>
          <w:sz w:val="24"/>
          <w:lang w:val="en-US" w:eastAsia="zh-CN"/>
          <w14:textFill>
            <w14:solidFill>
              <w14:schemeClr w14:val="tx1"/>
            </w14:solidFill>
          </w14:textFill>
        </w:rPr>
        <w:t>不递增</w:t>
      </w:r>
      <w:r>
        <w:rPr>
          <w:rFonts w:hint="eastAsia" w:ascii="宋体" w:cs="Times New Roman"/>
          <w:color w:val="000000" w:themeColor="text1"/>
          <w:sz w:val="24"/>
          <w14:textFill>
            <w14:solidFill>
              <w14:schemeClr w14:val="tx1"/>
            </w14:solidFill>
          </w14:textFill>
        </w:rPr>
        <w:t>。</w:t>
      </w:r>
    </w:p>
    <w:p>
      <w:pPr>
        <w:keepNext w:val="0"/>
        <w:keepLines w:val="0"/>
        <w:widowControl w:val="0"/>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10" w:lineRule="exact"/>
        <w:ind w:left="0" w:right="0" w:firstLine="480" w:firstLineChars="200"/>
        <w:jc w:val="left"/>
        <w:rPr>
          <w:rFonts w:hint="eastAsia" w:ascii="宋体" w:hAnsi="Times New Roman" w:cs="Times New Roman"/>
          <w:i w:val="0"/>
          <w:iCs w:val="0"/>
          <w:caps w:val="0"/>
          <w:color w:val="000000" w:themeColor="text1"/>
          <w:spacing w:val="0"/>
          <w:sz w:val="24"/>
          <w:szCs w:val="24"/>
          <w14:textFill>
            <w14:solidFill>
              <w14:schemeClr w14:val="tx1"/>
            </w14:solidFill>
          </w14:textFill>
        </w:rPr>
      </w:pPr>
      <w:r>
        <w:rPr>
          <w:rFonts w:hint="eastAsia" w:ascii="宋体" w:hAnsi="Times New Roman" w:cs="Times New Roman"/>
          <w:i w:val="0"/>
          <w:iCs w:val="0"/>
          <w:caps w:val="0"/>
          <w:color w:val="000000" w:themeColor="text1"/>
          <w:spacing w:val="0"/>
          <w:sz w:val="24"/>
          <w:szCs w:val="24"/>
          <w:shd w:val="clear" w:fill="FFFFFF"/>
          <w:lang w:val="en-US" w:eastAsia="zh-CN"/>
          <w14:textFill>
            <w14:solidFill>
              <w14:schemeClr w14:val="tx1"/>
            </w14:solidFill>
          </w14:textFill>
        </w:rPr>
        <w:t>3.</w:t>
      </w:r>
      <w:r>
        <w:rPr>
          <w:rFonts w:hint="eastAsia" w:ascii="宋体" w:hAnsi="Times New Roman" w:cs="Times New Roman"/>
          <w:i w:val="0"/>
          <w:iCs w:val="0"/>
          <w:caps w:val="0"/>
          <w:color w:val="000000" w:themeColor="text1"/>
          <w:spacing w:val="0"/>
          <w:sz w:val="24"/>
          <w:szCs w:val="24"/>
          <w:shd w:val="clear" w:fill="FFFFFF"/>
          <w14:textFill>
            <w14:solidFill>
              <w14:schemeClr w14:val="tx1"/>
            </w14:solidFill>
          </w14:textFill>
        </w:rPr>
        <w:t>出租房产的面积中含楼栋之间的通道，通道间不可封闭、摆设物品、不可占道经营，必须确保道路通畅。</w:t>
      </w:r>
    </w:p>
    <w:p>
      <w:pPr>
        <w:keepNext w:val="0"/>
        <w:keepLines w:val="0"/>
        <w:widowControl w:val="0"/>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10" w:lineRule="exact"/>
        <w:ind w:left="0" w:right="0" w:firstLine="480" w:firstLineChars="200"/>
        <w:jc w:val="left"/>
        <w:rPr>
          <w:rFonts w:hint="eastAsia" w:ascii="宋体" w:hAnsi="Times New Roman" w:cs="Times New Roman"/>
          <w:i w:val="0"/>
          <w:iCs w:val="0"/>
          <w:caps w:val="0"/>
          <w:color w:val="000000" w:themeColor="text1"/>
          <w:spacing w:val="0"/>
          <w:sz w:val="24"/>
          <w:szCs w:val="24"/>
          <w14:textFill>
            <w14:solidFill>
              <w14:schemeClr w14:val="tx1"/>
            </w14:solidFill>
          </w14:textFill>
        </w:rPr>
      </w:pPr>
      <w:r>
        <w:rPr>
          <w:rFonts w:hint="eastAsia" w:ascii="宋体" w:cs="Times New Roman"/>
          <w:i w:val="0"/>
          <w:iCs w:val="0"/>
          <w:caps w:val="0"/>
          <w:color w:val="000000" w:themeColor="text1"/>
          <w:spacing w:val="0"/>
          <w:sz w:val="24"/>
          <w:szCs w:val="24"/>
          <w:shd w:val="clear"/>
          <w:lang w:eastAsia="zh-CN"/>
          <w14:textFill>
            <w14:solidFill>
              <w14:schemeClr w14:val="tx1"/>
            </w14:solidFill>
          </w14:textFill>
        </w:rPr>
        <w:t>4</w:t>
      </w:r>
      <w:r>
        <w:rPr>
          <w:rFonts w:hint="eastAsia" w:ascii="宋体" w:cs="Times New Roman"/>
          <w:i w:val="0"/>
          <w:iCs w:val="0"/>
          <w:caps w:val="0"/>
          <w:color w:val="000000" w:themeColor="text1"/>
          <w:spacing w:val="0"/>
          <w:sz w:val="24"/>
          <w:szCs w:val="24"/>
          <w:shd w:val="clear"/>
          <w:lang w:val="en-US" w:eastAsia="zh-CN"/>
          <w14:textFill>
            <w14:solidFill>
              <w14:schemeClr w14:val="tx1"/>
            </w14:solidFill>
          </w14:textFill>
        </w:rPr>
        <w:t>.</w:t>
      </w:r>
      <w:r>
        <w:rPr>
          <w:rFonts w:hint="eastAsia" w:ascii="宋体" w:hAnsi="Times New Roman" w:cs="Times New Roman"/>
          <w:i w:val="0"/>
          <w:iCs w:val="0"/>
          <w:caps w:val="0"/>
          <w:color w:val="000000" w:themeColor="text1"/>
          <w:spacing w:val="0"/>
          <w:sz w:val="24"/>
          <w:szCs w:val="24"/>
          <w:shd w:val="clear" w:fill="FFFFFF"/>
          <w14:textFill>
            <w14:solidFill>
              <w14:schemeClr w14:val="tx1"/>
            </w14:solidFill>
          </w14:textFill>
        </w:rPr>
        <w:t>二次装修施工图纸应由有资质</w:t>
      </w:r>
      <w:r>
        <w:rPr>
          <w:rFonts w:hint="eastAsia" w:ascii="宋体" w:cs="Times New Roman"/>
          <w:i w:val="0"/>
          <w:iCs w:val="0"/>
          <w:caps w:val="0"/>
          <w:color w:val="000000" w:themeColor="text1"/>
          <w:spacing w:val="0"/>
          <w:sz w:val="24"/>
          <w:szCs w:val="24"/>
          <w:shd w:val="clear" w:fill="FFFFFF"/>
          <w:lang w:eastAsia="zh-CN"/>
          <w14:textFill>
            <w14:solidFill>
              <w14:schemeClr w14:val="tx1"/>
            </w14:solidFill>
          </w14:textFill>
        </w:rPr>
        <w:t>的</w:t>
      </w:r>
      <w:r>
        <w:rPr>
          <w:rFonts w:hint="eastAsia" w:ascii="宋体" w:hAnsi="Times New Roman" w:cs="Times New Roman"/>
          <w:i w:val="0"/>
          <w:iCs w:val="0"/>
          <w:caps w:val="0"/>
          <w:color w:val="000000" w:themeColor="text1"/>
          <w:spacing w:val="0"/>
          <w:sz w:val="24"/>
          <w:szCs w:val="24"/>
          <w:shd w:val="clear" w:fill="FFFFFF"/>
          <w14:textFill>
            <w14:solidFill>
              <w14:schemeClr w14:val="tx1"/>
            </w14:solidFill>
          </w14:textFill>
        </w:rPr>
        <w:t>设计单位设计并经消防部门审核通过（需消防备案），同时相关图纸应在开工前报备委托人，否则不得进行二次装修施工。二次装修不得更改原有建筑结构。若需对建筑平面布局进行调整，应事先征得</w:t>
      </w:r>
      <w:r>
        <w:rPr>
          <w:rFonts w:hint="eastAsia" w:ascii="宋体" w:cs="Times New Roman"/>
          <w:i w:val="0"/>
          <w:iCs w:val="0"/>
          <w:caps w:val="0"/>
          <w:color w:val="000000" w:themeColor="text1"/>
          <w:spacing w:val="0"/>
          <w:sz w:val="24"/>
          <w:szCs w:val="24"/>
          <w:shd w:val="clear" w:fill="FFFFFF"/>
          <w:lang w:eastAsia="zh-CN"/>
          <w14:textFill>
            <w14:solidFill>
              <w14:schemeClr w14:val="tx1"/>
            </w14:solidFill>
          </w14:textFill>
        </w:rPr>
        <w:t>委托人同意</w:t>
      </w:r>
      <w:r>
        <w:rPr>
          <w:rFonts w:hint="eastAsia" w:ascii="宋体" w:hAnsi="Times New Roman" w:cs="Times New Roman"/>
          <w:i w:val="0"/>
          <w:iCs w:val="0"/>
          <w:caps w:val="0"/>
          <w:color w:val="000000" w:themeColor="text1"/>
          <w:spacing w:val="0"/>
          <w:sz w:val="24"/>
          <w:szCs w:val="24"/>
          <w:shd w:val="clear" w:fill="FFFFFF"/>
          <w14:textFill>
            <w14:solidFill>
              <w14:schemeClr w14:val="tx1"/>
            </w14:solidFill>
          </w14:textFill>
        </w:rPr>
        <w:t>后由有资质</w:t>
      </w:r>
      <w:r>
        <w:rPr>
          <w:rFonts w:hint="eastAsia" w:ascii="宋体" w:cs="Times New Roman"/>
          <w:i w:val="0"/>
          <w:iCs w:val="0"/>
          <w:caps w:val="0"/>
          <w:color w:val="000000" w:themeColor="text1"/>
          <w:spacing w:val="0"/>
          <w:sz w:val="24"/>
          <w:szCs w:val="24"/>
          <w:shd w:val="clear" w:fill="FFFFFF"/>
          <w:lang w:eastAsia="zh-CN"/>
          <w14:textFill>
            <w14:solidFill>
              <w14:schemeClr w14:val="tx1"/>
            </w14:solidFill>
          </w14:textFill>
        </w:rPr>
        <w:t>的</w:t>
      </w:r>
      <w:r>
        <w:rPr>
          <w:rFonts w:hint="eastAsia" w:ascii="宋体" w:hAnsi="Times New Roman" w:cs="Times New Roman"/>
          <w:i w:val="0"/>
          <w:iCs w:val="0"/>
          <w:caps w:val="0"/>
          <w:color w:val="000000" w:themeColor="text1"/>
          <w:spacing w:val="0"/>
          <w:sz w:val="24"/>
          <w:szCs w:val="24"/>
          <w:shd w:val="clear" w:fill="FFFFFF"/>
          <w14:textFill>
            <w14:solidFill>
              <w14:schemeClr w14:val="tx1"/>
            </w14:solidFill>
          </w14:textFill>
        </w:rPr>
        <w:t>设计单位进行设计，二次装修不得破坏或更改原有建筑的外立面效果。</w:t>
      </w:r>
    </w:p>
    <w:p>
      <w:pPr>
        <w:keepNext w:val="0"/>
        <w:keepLines w:val="0"/>
        <w:widowControl w:val="0"/>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10" w:lineRule="exact"/>
        <w:ind w:left="0" w:right="0" w:firstLine="480" w:firstLineChars="200"/>
        <w:jc w:val="left"/>
        <w:rPr>
          <w:rFonts w:hint="eastAsia" w:ascii="宋体" w:hAnsi="Times New Roman" w:cs="Times New Roman"/>
          <w:i w:val="0"/>
          <w:iCs w:val="0"/>
          <w:caps w:val="0"/>
          <w:color w:val="000000" w:themeColor="text1"/>
          <w:spacing w:val="0"/>
          <w:sz w:val="24"/>
          <w:szCs w:val="24"/>
          <w14:textFill>
            <w14:solidFill>
              <w14:schemeClr w14:val="tx1"/>
            </w14:solidFill>
          </w14:textFill>
        </w:rPr>
      </w:pPr>
      <w:r>
        <w:rPr>
          <w:rFonts w:hint="eastAsia" w:ascii="宋体" w:cs="Times New Roman"/>
          <w:i w:val="0"/>
          <w:iCs w:val="0"/>
          <w:caps w:val="0"/>
          <w:color w:val="000000" w:themeColor="text1"/>
          <w:spacing w:val="0"/>
          <w:sz w:val="24"/>
          <w:szCs w:val="24"/>
          <w:shd w:val="clear"/>
          <w:lang w:eastAsia="zh-CN"/>
          <w14:textFill>
            <w14:solidFill>
              <w14:schemeClr w14:val="tx1"/>
            </w14:solidFill>
          </w14:textFill>
        </w:rPr>
        <w:t>5</w:t>
      </w:r>
      <w:r>
        <w:rPr>
          <w:rFonts w:hint="eastAsia" w:ascii="宋体" w:cs="Times New Roman"/>
          <w:i w:val="0"/>
          <w:iCs w:val="0"/>
          <w:caps w:val="0"/>
          <w:color w:val="000000" w:themeColor="text1"/>
          <w:spacing w:val="0"/>
          <w:sz w:val="24"/>
          <w:szCs w:val="24"/>
          <w:shd w:val="clear"/>
          <w:lang w:val="en-US" w:eastAsia="zh-CN"/>
          <w14:textFill>
            <w14:solidFill>
              <w14:schemeClr w14:val="tx1"/>
            </w14:solidFill>
          </w14:textFill>
        </w:rPr>
        <w:t>.</w:t>
      </w:r>
      <w:r>
        <w:rPr>
          <w:rFonts w:hint="eastAsia" w:ascii="宋体" w:cs="Times New Roman"/>
          <w:i w:val="0"/>
          <w:iCs w:val="0"/>
          <w:caps w:val="0"/>
          <w:color w:val="000000" w:themeColor="text1"/>
          <w:spacing w:val="0"/>
          <w:sz w:val="24"/>
          <w:szCs w:val="24"/>
          <w:shd w:val="clear" w:fill="FFFFFF"/>
          <w:lang w:val="en-US" w:eastAsia="zh-CN"/>
          <w14:textFill>
            <w14:solidFill>
              <w14:schemeClr w14:val="tx1"/>
            </w14:solidFill>
          </w14:textFill>
        </w:rPr>
        <w:t>成交</w:t>
      </w:r>
      <w:r>
        <w:rPr>
          <w:rFonts w:hint="eastAsia" w:ascii="宋体" w:hAnsi="Times New Roman" w:cs="Times New Roman"/>
          <w:i w:val="0"/>
          <w:iCs w:val="0"/>
          <w:caps w:val="0"/>
          <w:color w:val="000000" w:themeColor="text1"/>
          <w:spacing w:val="0"/>
          <w:sz w:val="24"/>
          <w:szCs w:val="24"/>
          <w:shd w:val="clear" w:fill="FFFFFF"/>
          <w14:textFill>
            <w14:solidFill>
              <w14:schemeClr w14:val="tx1"/>
            </w14:solidFill>
          </w14:textFill>
        </w:rPr>
        <w:t>人在经营管理期间应做好各项措施、设备的日常检查、保养和维护工作。各专业岗位工作人员必须持证上岗，配备人员和技术能力应符合相关主管部门的要求。</w:t>
      </w:r>
    </w:p>
    <w:p>
      <w:pPr>
        <w:spacing w:line="410" w:lineRule="exact"/>
        <w:ind w:firstLine="480" w:firstLineChars="200"/>
        <w:jc w:val="left"/>
        <w:rPr>
          <w:rFonts w:hint="eastAsia" w:ascii="宋体" w:cs="宋体"/>
          <w:color w:val="000000" w:themeColor="text1"/>
          <w:sz w:val="24"/>
          <w14:textFill>
            <w14:solidFill>
              <w14:schemeClr w14:val="tx1"/>
            </w14:solidFill>
          </w14:textFill>
        </w:rPr>
      </w:pPr>
      <w:r>
        <w:rPr>
          <w:rFonts w:hint="eastAsia" w:ascii="宋体" w:cs="Times New Roman"/>
          <w:i w:val="0"/>
          <w:iCs w:val="0"/>
          <w:caps w:val="0"/>
          <w:color w:val="000000" w:themeColor="text1"/>
          <w:spacing w:val="0"/>
          <w:sz w:val="24"/>
          <w:szCs w:val="24"/>
          <w:shd w:val="clear"/>
          <w:lang w:eastAsia="zh-CN"/>
          <w14:textFill>
            <w14:solidFill>
              <w14:schemeClr w14:val="tx1"/>
            </w14:solidFill>
          </w14:textFill>
        </w:rPr>
        <w:t>6</w:t>
      </w:r>
      <w:r>
        <w:rPr>
          <w:rFonts w:hint="eastAsia" w:ascii="宋体" w:cs="Times New Roman"/>
          <w:i w:val="0"/>
          <w:iCs w:val="0"/>
          <w:caps w:val="0"/>
          <w:color w:val="000000" w:themeColor="text1"/>
          <w:spacing w:val="0"/>
          <w:sz w:val="24"/>
          <w:szCs w:val="24"/>
          <w:shd w:val="clear"/>
          <w:lang w:val="en-US" w:eastAsia="zh-CN"/>
          <w14:textFill>
            <w14:solidFill>
              <w14:schemeClr w14:val="tx1"/>
            </w14:solidFill>
          </w14:textFill>
        </w:rPr>
        <w:t>.成交</w:t>
      </w:r>
      <w:r>
        <w:rPr>
          <w:rFonts w:hint="eastAsia" w:ascii="宋体" w:hAnsi="Times New Roman" w:cs="Times New Roman"/>
          <w:i w:val="0"/>
          <w:iCs w:val="0"/>
          <w:caps w:val="0"/>
          <w:color w:val="000000" w:themeColor="text1"/>
          <w:spacing w:val="0"/>
          <w:sz w:val="24"/>
          <w:szCs w:val="24"/>
          <w:shd w:val="clear" w:fill="auto"/>
          <w14:textFill>
            <w14:solidFill>
              <w14:schemeClr w14:val="tx1"/>
            </w14:solidFill>
          </w14:textFill>
        </w:rPr>
        <w:t>人在租赁期间应服从龙岩福豸企业管理有限公司及连城县冠豸山国家级风景名胜区管理委员会的管理，根据实际需要签订有关管理协议并缴纳有关费用、押金（如水电押金等）。租赁行为及租赁期间应缴交的税费根据国家法规各自承担；水电费、空调使用费等一切其它费用均由承租人自行承担，并负责及时缴交；租赁范围内保持卫生整洁干净。</w:t>
      </w:r>
    </w:p>
    <w:p>
      <w:pPr>
        <w:spacing w:line="440" w:lineRule="exact"/>
        <w:ind w:firstLine="482" w:firstLineChars="200"/>
        <w:rPr>
          <w:rFonts w:ascii="宋体"/>
          <w:b/>
          <w:color w:val="000000" w:themeColor="text1"/>
          <w:sz w:val="24"/>
          <w14:textFill>
            <w14:solidFill>
              <w14:schemeClr w14:val="tx1"/>
            </w14:solidFill>
          </w14:textFill>
        </w:rPr>
      </w:pPr>
      <w:r>
        <w:rPr>
          <w:rFonts w:hint="eastAsia" w:ascii="宋体"/>
          <w:b/>
          <w:color w:val="000000" w:themeColor="text1"/>
          <w:sz w:val="24"/>
          <w14:textFill>
            <w14:solidFill>
              <w14:schemeClr w14:val="tx1"/>
            </w14:solidFill>
          </w14:textFill>
        </w:rPr>
        <w:t>三、竞价资格：</w:t>
      </w:r>
    </w:p>
    <w:p>
      <w:pPr>
        <w:spacing w:line="44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1.凡遵守中华人民共和国法律、法规、具有独立法人资格的国内外企业、组织和自然人均可参加竞价(法律法规另有规定的除外)。</w:t>
      </w:r>
    </w:p>
    <w:p>
      <w:pPr>
        <w:spacing w:line="440" w:lineRule="exact"/>
        <w:ind w:left="50" w:firstLine="360" w:firstLineChars="150"/>
        <w:jc w:val="left"/>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2.参加本次竞价会的竞价人在规定的时间前需交纳竞价保证金、登录权益云交易平台办理竞价登记手续并签订《承诺书》。竞价人为自然人的，应提供本人有效身份证件及其复印件。竞价人为法人或者其他组织的，应提供法人营业执照或登记证、法定代表人身份证明，并提交复印件。</w:t>
      </w:r>
    </w:p>
    <w:p>
      <w:pPr>
        <w:spacing w:line="440" w:lineRule="exact"/>
        <w:ind w:firstLine="482" w:firstLineChars="200"/>
        <w:rPr>
          <w:rFonts w:ascii="宋体"/>
          <w:b/>
          <w:color w:val="000000" w:themeColor="text1"/>
          <w:sz w:val="24"/>
          <w14:textFill>
            <w14:solidFill>
              <w14:schemeClr w14:val="tx1"/>
            </w14:solidFill>
          </w14:textFill>
        </w:rPr>
      </w:pPr>
      <w:r>
        <w:rPr>
          <w:rFonts w:hint="eastAsia" w:ascii="宋体"/>
          <w:b/>
          <w:color w:val="000000" w:themeColor="text1"/>
          <w:sz w:val="24"/>
          <w14:textFill>
            <w14:solidFill>
              <w14:schemeClr w14:val="tx1"/>
            </w14:solidFill>
          </w14:textFill>
        </w:rPr>
        <w:t>四、报名及竞价保证金：</w:t>
      </w:r>
    </w:p>
    <w:p>
      <w:pPr>
        <w:spacing w:line="44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1.</w:t>
      </w:r>
      <w:r>
        <w:rPr>
          <w:rFonts w:ascii="宋体"/>
          <w:color w:val="000000" w:themeColor="text1"/>
          <w:sz w:val="24"/>
          <w14:textFill>
            <w14:solidFill>
              <w14:schemeClr w14:val="tx1"/>
            </w14:solidFill>
          </w14:textFill>
        </w:rPr>
        <w:t>符合前述条件的</w:t>
      </w:r>
      <w:r>
        <w:rPr>
          <w:rFonts w:hint="eastAsia" w:ascii="宋体"/>
          <w:color w:val="000000" w:themeColor="text1"/>
          <w:sz w:val="24"/>
          <w14:textFill>
            <w14:solidFill>
              <w14:schemeClr w14:val="tx1"/>
            </w14:solidFill>
          </w14:textFill>
        </w:rPr>
        <w:t>竞价</w:t>
      </w:r>
      <w:r>
        <w:rPr>
          <w:rFonts w:ascii="宋体"/>
          <w:color w:val="000000" w:themeColor="text1"/>
          <w:sz w:val="24"/>
          <w14:textFill>
            <w14:solidFill>
              <w14:schemeClr w14:val="tx1"/>
            </w14:solidFill>
          </w14:textFill>
        </w:rPr>
        <w:t>人，应于</w:t>
      </w:r>
      <w:r>
        <w:rPr>
          <w:rFonts w:ascii="宋体"/>
          <w:b/>
          <w:bCs/>
          <w:color w:val="000000" w:themeColor="text1"/>
          <w:sz w:val="24"/>
          <w14:textFill>
            <w14:solidFill>
              <w14:schemeClr w14:val="tx1"/>
            </w14:solidFill>
          </w14:textFill>
        </w:rPr>
        <w:t>202</w:t>
      </w:r>
      <w:r>
        <w:rPr>
          <w:rFonts w:hint="eastAsia" w:ascii="宋体"/>
          <w:b/>
          <w:bCs/>
          <w:color w:val="000000" w:themeColor="text1"/>
          <w:sz w:val="24"/>
          <w14:textFill>
            <w14:solidFill>
              <w14:schemeClr w14:val="tx1"/>
            </w14:solidFill>
          </w14:textFill>
        </w:rPr>
        <w:t>1</w:t>
      </w:r>
      <w:r>
        <w:rPr>
          <w:rFonts w:ascii="宋体"/>
          <w:b/>
          <w:bCs/>
          <w:color w:val="000000" w:themeColor="text1"/>
          <w:sz w:val="24"/>
          <w14:textFill>
            <w14:solidFill>
              <w14:schemeClr w14:val="tx1"/>
            </w14:solidFill>
          </w14:textFill>
        </w:rPr>
        <w:t>年</w:t>
      </w:r>
      <w:r>
        <w:rPr>
          <w:rFonts w:hint="eastAsia" w:ascii="宋体"/>
          <w:b/>
          <w:bCs/>
          <w:color w:val="000000" w:themeColor="text1"/>
          <w:sz w:val="24"/>
          <w:lang w:val="en-US" w:eastAsia="zh-CN"/>
          <w14:textFill>
            <w14:solidFill>
              <w14:schemeClr w14:val="tx1"/>
            </w14:solidFill>
          </w14:textFill>
        </w:rPr>
        <w:t>9</w:t>
      </w:r>
      <w:r>
        <w:rPr>
          <w:rFonts w:ascii="宋体"/>
          <w:b/>
          <w:bCs/>
          <w:color w:val="000000" w:themeColor="text1"/>
          <w:sz w:val="24"/>
          <w14:textFill>
            <w14:solidFill>
              <w14:schemeClr w14:val="tx1"/>
            </w14:solidFill>
          </w14:textFill>
        </w:rPr>
        <w:t>月</w:t>
      </w:r>
      <w:r>
        <w:rPr>
          <w:rFonts w:hint="eastAsia" w:ascii="宋体"/>
          <w:b/>
          <w:bCs/>
          <w:color w:val="000000" w:themeColor="text1"/>
          <w:sz w:val="24"/>
          <w:lang w:val="en-US" w:eastAsia="zh-CN"/>
          <w14:textFill>
            <w14:solidFill>
              <w14:schemeClr w14:val="tx1"/>
            </w14:solidFill>
          </w14:textFill>
        </w:rPr>
        <w:t xml:space="preserve"> 28 </w:t>
      </w:r>
      <w:r>
        <w:rPr>
          <w:rFonts w:ascii="宋体"/>
          <w:b/>
          <w:bCs/>
          <w:color w:val="000000" w:themeColor="text1"/>
          <w:sz w:val="24"/>
          <w14:textFill>
            <w14:solidFill>
              <w14:schemeClr w14:val="tx1"/>
            </w14:solidFill>
          </w14:textFill>
        </w:rPr>
        <w:t>日17时前</w:t>
      </w:r>
      <w:r>
        <w:rPr>
          <w:rFonts w:ascii="宋体"/>
          <w:color w:val="000000" w:themeColor="text1"/>
          <w:sz w:val="24"/>
          <w14:textFill>
            <w14:solidFill>
              <w14:schemeClr w14:val="tx1"/>
            </w14:solidFill>
          </w14:textFill>
        </w:rPr>
        <w:t>将相应</w:t>
      </w:r>
      <w:r>
        <w:rPr>
          <w:rFonts w:hint="eastAsia" w:ascii="宋体"/>
          <w:color w:val="000000" w:themeColor="text1"/>
          <w:sz w:val="24"/>
          <w14:textFill>
            <w14:solidFill>
              <w14:schemeClr w14:val="tx1"/>
            </w14:solidFill>
          </w14:textFill>
        </w:rPr>
        <w:t>竞价</w:t>
      </w:r>
      <w:r>
        <w:rPr>
          <w:rFonts w:ascii="宋体"/>
          <w:color w:val="000000" w:themeColor="text1"/>
          <w:sz w:val="24"/>
          <w14:textFill>
            <w14:solidFill>
              <w14:schemeClr w14:val="tx1"/>
            </w14:solidFill>
          </w14:textFill>
        </w:rPr>
        <w:t>保证金存指定账户（以到账时间为准），</w:t>
      </w:r>
      <w:r>
        <w:rPr>
          <w:rFonts w:hint="eastAsia" w:ascii="宋体"/>
          <w:color w:val="000000" w:themeColor="text1"/>
          <w:sz w:val="24"/>
          <w14:textFill>
            <w14:solidFill>
              <w14:schemeClr w14:val="tx1"/>
            </w14:solidFill>
          </w14:textFill>
        </w:rPr>
        <w:t>并登录权益云交易平台报名和到我公司确认相关竞价文件。</w:t>
      </w:r>
    </w:p>
    <w:p>
      <w:pPr>
        <w:spacing w:line="44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2.意向竞价人应自行至权益云网站学习竞价流程，注册竞价系统账号并在报名截止时间之前登录竞价系统申请竞价（支持微信公众号“权益云交易平台”），根据流程上传相关资料，若有疑问应及时咨询本公司业务部门；由于意向竞价人竞价材料或者竞价申请未按时提交而导致本公司无法进行资格审核、或者竞价账号未注册或者未激活的，均视为意向竞价人放弃本次竞价报名，不得成为竞价人。</w:t>
      </w:r>
    </w:p>
    <w:p>
      <w:pPr>
        <w:spacing w:line="44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3.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pPr>
        <w:spacing w:line="44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4.未竞得标的的竞价人，其竞价保证金于竞价会结束之日起十个工作日内无息退还至缴款人本人账户。</w:t>
      </w:r>
    </w:p>
    <w:p>
      <w:pPr>
        <w:spacing w:line="44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5.成交人（即承租人，下同）的竞价保证金直接抵作交易服务费，如有剩余，由产权交易服务机构将剩余部分转付给委托人抵作部分成交款，如不足抵扣交易服务费的，成交人应在竞价成交</w:t>
      </w:r>
      <w:r>
        <w:rPr>
          <w:rFonts w:hint="eastAsia" w:ascii="宋体"/>
          <w:color w:val="000000" w:themeColor="text1"/>
          <w:sz w:val="24"/>
          <w:lang w:val="en-US" w:eastAsia="zh-CN"/>
          <w14:textFill>
            <w14:solidFill>
              <w14:schemeClr w14:val="tx1"/>
            </w14:solidFill>
          </w14:textFill>
        </w:rPr>
        <w:t>之</w:t>
      </w:r>
      <w:r>
        <w:rPr>
          <w:rFonts w:hint="eastAsia" w:ascii="宋体"/>
          <w:color w:val="000000" w:themeColor="text1"/>
          <w:sz w:val="24"/>
          <w14:textFill>
            <w14:solidFill>
              <w14:schemeClr w14:val="tx1"/>
            </w14:solidFill>
          </w14:textFill>
        </w:rPr>
        <w:t>日起二日内付清。</w:t>
      </w:r>
    </w:p>
    <w:p>
      <w:pPr>
        <w:spacing w:line="440" w:lineRule="exact"/>
        <w:ind w:firstLine="482" w:firstLineChars="200"/>
        <w:rPr>
          <w:rFonts w:ascii="宋体"/>
          <w:b/>
          <w:color w:val="000000" w:themeColor="text1"/>
          <w:sz w:val="24"/>
          <w14:textFill>
            <w14:solidFill>
              <w14:schemeClr w14:val="tx1"/>
            </w14:solidFill>
          </w14:textFill>
        </w:rPr>
      </w:pPr>
      <w:r>
        <w:rPr>
          <w:rFonts w:hint="eastAsia" w:ascii="宋体"/>
          <w:b/>
          <w:color w:val="000000" w:themeColor="text1"/>
          <w:sz w:val="24"/>
          <w14:textFill>
            <w14:solidFill>
              <w14:schemeClr w14:val="tx1"/>
            </w14:solidFill>
          </w14:textFill>
        </w:rPr>
        <w:t>五、竞价保证金、交易服务费及竞价成交款的交付账户：</w:t>
      </w:r>
    </w:p>
    <w:p>
      <w:pPr>
        <w:spacing w:line="44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1.竞价人的竞价保证金、交易服务费及竞价成交款存入产权交易服务机构指定的银行帐户（户名：连城县国有资产产权交易服务有限公司，开户行：农业银行连城县支行，账号： 1377 0101 0400 18263），竞价保证金缴至以上账户时，交款单中“款项来源”或“用途”一栏内须填写“****人的竞价保证金”。</w:t>
      </w:r>
    </w:p>
    <w:p>
      <w:pPr>
        <w:spacing w:line="44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2.竞价人必须从本人或单位的银行账户采用转账、电汇、网上汇款等方式汇入指定账户，或直接在银行现金缴款到指定账户，不得以他人名义代缴，不接受ATM自助转账、微信、支付宝等方式，否则产权交易服务机构可以视其缴交竞价保证金行为无效。</w:t>
      </w:r>
    </w:p>
    <w:p>
      <w:pPr>
        <w:spacing w:line="440" w:lineRule="exact"/>
        <w:ind w:firstLine="482" w:firstLineChars="200"/>
        <w:rPr>
          <w:rFonts w:ascii="宋体" w:cs="宋体"/>
          <w:b/>
          <w:color w:val="000000" w:themeColor="text1"/>
          <w:sz w:val="24"/>
          <w14:textFill>
            <w14:solidFill>
              <w14:schemeClr w14:val="tx1"/>
            </w14:solidFill>
          </w14:textFill>
        </w:rPr>
      </w:pPr>
      <w:r>
        <w:rPr>
          <w:rFonts w:hint="eastAsia" w:ascii="宋体"/>
          <w:b/>
          <w:color w:val="000000" w:themeColor="text1"/>
          <w:sz w:val="24"/>
          <w14:textFill>
            <w14:solidFill>
              <w14:schemeClr w14:val="tx1"/>
            </w14:solidFill>
          </w14:textFill>
        </w:rPr>
        <w:t>六、</w:t>
      </w:r>
      <w:r>
        <w:rPr>
          <w:rFonts w:hint="eastAsia" w:ascii="宋体" w:cs="宋体"/>
          <w:b/>
          <w:color w:val="000000" w:themeColor="text1"/>
          <w:sz w:val="24"/>
          <w14:textFill>
            <w14:solidFill>
              <w14:schemeClr w14:val="tx1"/>
            </w14:solidFill>
          </w14:textFill>
        </w:rPr>
        <w:t>竞价规则：</w:t>
      </w:r>
    </w:p>
    <w:p>
      <w:pPr>
        <w:spacing w:line="440" w:lineRule="exact"/>
        <w:ind w:firstLine="480" w:firstLineChars="200"/>
        <w:rPr>
          <w:rFonts w:ascii="宋体" w:cs="宋体"/>
          <w:color w:val="000000" w:themeColor="text1"/>
          <w:kern w:val="0"/>
          <w:sz w:val="24"/>
          <w14:textFill>
            <w14:solidFill>
              <w14:schemeClr w14:val="tx1"/>
            </w14:solidFill>
          </w14:textFill>
        </w:rPr>
      </w:pPr>
      <w:r>
        <w:rPr>
          <w:rFonts w:hint="eastAsia" w:ascii="宋体" w:cs="宋体"/>
          <w:color w:val="000000" w:themeColor="text1"/>
          <w:kern w:val="0"/>
          <w:sz w:val="24"/>
          <w14:textFill>
            <w14:solidFill>
              <w14:schemeClr w14:val="tx1"/>
            </w14:solidFill>
          </w14:textFill>
        </w:rPr>
        <w:t>1.本次竞价采用权益云交易平台（网址：</w:t>
      </w:r>
      <w:r>
        <w:rPr>
          <w:rFonts w:hint="eastAsia" w:ascii="宋体" w:cs="宋体"/>
          <w:color w:val="000000" w:themeColor="text1"/>
          <w:kern w:val="0"/>
          <w:sz w:val="24"/>
          <w14:textFill>
            <w14:solidFill>
              <w14:schemeClr w14:val="tx1"/>
            </w14:solidFill>
          </w14:textFill>
        </w:rPr>
        <w:fldChar w:fldCharType="begin"/>
      </w:r>
      <w:r>
        <w:rPr>
          <w:color w:val="000000" w:themeColor="text1"/>
          <w14:textFill>
            <w14:solidFill>
              <w14:schemeClr w14:val="tx1"/>
            </w14:solidFill>
          </w14:textFill>
        </w:rPr>
        <w:instrText xml:space="preserve">HYPERLINK "https://www.unibid.cn/"</w:instrText>
      </w:r>
      <w:r>
        <w:rPr>
          <w:rFonts w:hint="eastAsia" w:ascii="宋体" w:cs="宋体"/>
          <w:color w:val="000000" w:themeColor="text1"/>
          <w:kern w:val="0"/>
          <w:sz w:val="24"/>
          <w14:textFill>
            <w14:solidFill>
              <w14:schemeClr w14:val="tx1"/>
            </w14:solidFill>
          </w14:textFill>
        </w:rPr>
        <w:fldChar w:fldCharType="separate"/>
      </w:r>
      <w:r>
        <w:rPr>
          <w:rFonts w:hint="eastAsia" w:ascii="宋体" w:cs="宋体"/>
          <w:color w:val="000000" w:themeColor="text1"/>
          <w:kern w:val="0"/>
          <w:sz w:val="24"/>
          <w14:textFill>
            <w14:solidFill>
              <w14:schemeClr w14:val="tx1"/>
            </w14:solidFill>
          </w14:textFill>
        </w:rPr>
        <w:t>https://www.unibid.cn/</w:t>
      </w:r>
      <w:r>
        <w:rPr>
          <w:rFonts w:hint="eastAsia" w:ascii="宋体" w:cs="宋体"/>
          <w:color w:val="000000" w:themeColor="text1"/>
          <w:kern w:val="0"/>
          <w:sz w:val="24"/>
          <w14:textFill>
            <w14:solidFill>
              <w14:schemeClr w14:val="tx1"/>
            </w14:solidFill>
          </w14:textFill>
        </w:rPr>
        <w:fldChar w:fldCharType="end"/>
      </w:r>
      <w:r>
        <w:rPr>
          <w:rFonts w:hint="eastAsia" w:ascii="宋体" w:cs="宋体"/>
          <w:color w:val="000000" w:themeColor="text1"/>
          <w:kern w:val="0"/>
          <w:sz w:val="24"/>
          <w14:textFill>
            <w14:solidFill>
              <w14:schemeClr w14:val="tx1"/>
            </w14:solidFill>
          </w14:textFill>
        </w:rPr>
        <w:t>)正向一次性报价的方式，按价高者得确定承租人（</w:t>
      </w:r>
      <w:r>
        <w:rPr>
          <w:rFonts w:hint="eastAsia" w:ascii="宋体" w:cs="宋体"/>
          <w:b/>
          <w:bCs/>
          <w:color w:val="000000" w:themeColor="text1"/>
          <w:kern w:val="0"/>
          <w:sz w:val="24"/>
          <w14:textFill>
            <w14:solidFill>
              <w14:schemeClr w14:val="tx1"/>
            </w14:solidFill>
          </w14:textFill>
        </w:rPr>
        <w:t>若有优先权人的，优先权人</w:t>
      </w:r>
      <w:r>
        <w:rPr>
          <w:rFonts w:hint="eastAsia" w:ascii="宋体"/>
          <w:b/>
          <w:bCs/>
          <w:color w:val="000000" w:themeColor="text1"/>
          <w:sz w:val="24"/>
          <w14:textFill>
            <w14:solidFill>
              <w14:schemeClr w14:val="tx1"/>
            </w14:solidFill>
          </w14:textFill>
        </w:rPr>
        <w:t>参加竞价的在同等条件下享有优先承租权，优先权人应报名参加竞价会，否则视为放弃优先权</w:t>
      </w:r>
      <w:r>
        <w:rPr>
          <w:rFonts w:hint="eastAsia" w:ascii="宋体" w:cs="宋体"/>
          <w:color w:val="000000" w:themeColor="text1"/>
          <w:kern w:val="0"/>
          <w:sz w:val="24"/>
          <w14:textFill>
            <w14:solidFill>
              <w14:schemeClr w14:val="tx1"/>
            </w14:solidFill>
          </w14:textFill>
        </w:rPr>
        <w:t>），未达保留价不成交。</w:t>
      </w:r>
    </w:p>
    <w:p>
      <w:pPr>
        <w:spacing w:line="440" w:lineRule="exact"/>
        <w:ind w:firstLine="480" w:firstLineChars="200"/>
        <w:rPr>
          <w:rFonts w:ascii="宋体" w:cs="宋体"/>
          <w:color w:val="000000" w:themeColor="text1"/>
          <w:kern w:val="0"/>
          <w:sz w:val="24"/>
          <w14:textFill>
            <w14:solidFill>
              <w14:schemeClr w14:val="tx1"/>
            </w14:solidFill>
          </w14:textFill>
        </w:rPr>
      </w:pPr>
      <w:r>
        <w:rPr>
          <w:rFonts w:hint="eastAsia" w:ascii="宋体" w:cs="宋体"/>
          <w:color w:val="000000" w:themeColor="text1"/>
          <w:kern w:val="0"/>
          <w:sz w:val="24"/>
          <w14:textFill>
            <w14:solidFill>
              <w14:schemeClr w14:val="tx1"/>
            </w14:solidFill>
          </w14:textFill>
        </w:rPr>
        <w:t>2.意向</w:t>
      </w:r>
      <w:r>
        <w:rPr>
          <w:rFonts w:hint="eastAsia" w:ascii="宋体"/>
          <w:color w:val="000000" w:themeColor="text1"/>
          <w:sz w:val="24"/>
          <w14:textFill>
            <w14:solidFill>
              <w14:schemeClr w14:val="tx1"/>
            </w14:solidFill>
          </w14:textFill>
        </w:rPr>
        <w:t>竞价</w:t>
      </w:r>
      <w:r>
        <w:rPr>
          <w:rFonts w:hint="eastAsia" w:ascii="宋体" w:cs="宋体"/>
          <w:color w:val="000000" w:themeColor="text1"/>
          <w:kern w:val="0"/>
          <w:sz w:val="24"/>
          <w14:textFill>
            <w14:solidFill>
              <w14:schemeClr w14:val="tx1"/>
            </w14:solidFill>
          </w14:textFill>
        </w:rPr>
        <w:t>人申请竞价经本公司审核通过才能进入竞价大厅正式报价。</w:t>
      </w:r>
    </w:p>
    <w:p>
      <w:pPr>
        <w:spacing w:line="440" w:lineRule="exact"/>
        <w:ind w:firstLine="480" w:firstLineChars="200"/>
        <w:rPr>
          <w:rFonts w:ascii="宋体" w:cs="宋体"/>
          <w:b/>
          <w:bCs/>
          <w:color w:val="000000" w:themeColor="text1"/>
          <w:kern w:val="0"/>
          <w:sz w:val="24"/>
          <w14:textFill>
            <w14:solidFill>
              <w14:schemeClr w14:val="tx1"/>
            </w14:solidFill>
          </w14:textFill>
        </w:rPr>
      </w:pPr>
      <w:r>
        <w:rPr>
          <w:rFonts w:hint="eastAsia" w:ascii="宋体" w:cs="宋体"/>
          <w:color w:val="000000" w:themeColor="text1"/>
          <w:kern w:val="0"/>
          <w:sz w:val="24"/>
          <w14:textFill>
            <w14:solidFill>
              <w14:schemeClr w14:val="tx1"/>
            </w14:solidFill>
          </w14:textFill>
        </w:rPr>
        <w:t>3.</w:t>
      </w:r>
      <w:r>
        <w:rPr>
          <w:rFonts w:hint="eastAsia" w:ascii="宋体" w:cs="宋体"/>
          <w:b/>
          <w:bCs/>
          <w:color w:val="000000" w:themeColor="text1"/>
          <w:kern w:val="0"/>
          <w:sz w:val="24"/>
          <w14:textFill>
            <w14:solidFill>
              <w14:schemeClr w14:val="tx1"/>
            </w14:solidFill>
          </w14:textFill>
        </w:rPr>
        <w:t>若有优先权人的，报价分成两个阶段，先进行一般竞买人一次报价阶段（第一报价阶段），然后为优先权人行使优先权阶段（第二报价阶段）；若无优先权人的，在第一报价阶段时间结束就确定最高报价者，具体如下：</w:t>
      </w:r>
    </w:p>
    <w:p>
      <w:pPr>
        <w:spacing w:line="440" w:lineRule="exact"/>
        <w:ind w:firstLine="482" w:firstLineChars="200"/>
        <w:rPr>
          <w:rFonts w:ascii="宋体" w:cs="宋体"/>
          <w:b/>
          <w:bCs/>
          <w:color w:val="000000" w:themeColor="text1"/>
          <w:kern w:val="0"/>
          <w:sz w:val="24"/>
          <w14:textFill>
            <w14:solidFill>
              <w14:schemeClr w14:val="tx1"/>
            </w14:solidFill>
          </w14:textFill>
        </w:rPr>
      </w:pPr>
      <w:r>
        <w:rPr>
          <w:rFonts w:hint="eastAsia" w:ascii="宋体" w:cs="宋体"/>
          <w:b/>
          <w:bCs/>
          <w:color w:val="000000" w:themeColor="text1"/>
          <w:kern w:val="0"/>
          <w:sz w:val="24"/>
          <w14:textFill>
            <w14:solidFill>
              <w14:schemeClr w14:val="tx1"/>
            </w14:solidFill>
          </w14:textFill>
        </w:rPr>
        <w:t>（1）第一报价阶段：即本公司约定时间至优先权人行使优先承租权阶段开始之前。在报价时间内，所有竞买人（优先权人不用报价）都可以对本项目标的进行一次报价，报价提交后不可撤销或更改，竞买人一经报价，不得反悔，按照价格优先、时间优先的原则确定最高报价者。</w:t>
      </w:r>
    </w:p>
    <w:p>
      <w:pPr>
        <w:spacing w:line="440" w:lineRule="exact"/>
        <w:ind w:firstLine="482" w:firstLineChars="200"/>
        <w:rPr>
          <w:rFonts w:ascii="宋体" w:cs="宋体"/>
          <w:b/>
          <w:bCs/>
          <w:color w:val="000000" w:themeColor="text1"/>
          <w:kern w:val="0"/>
          <w:sz w:val="24"/>
          <w14:textFill>
            <w14:solidFill>
              <w14:schemeClr w14:val="tx1"/>
            </w14:solidFill>
          </w14:textFill>
        </w:rPr>
      </w:pPr>
      <w:r>
        <w:rPr>
          <w:rFonts w:hint="eastAsia" w:ascii="宋体" w:cs="宋体"/>
          <w:b/>
          <w:bCs/>
          <w:color w:val="000000" w:themeColor="text1"/>
          <w:kern w:val="0"/>
          <w:sz w:val="24"/>
          <w14:textFill>
            <w14:solidFill>
              <w14:schemeClr w14:val="tx1"/>
            </w14:solidFill>
          </w14:textFill>
        </w:rPr>
        <w:t>（2）第二报价阶段：即优先权人行使优先权阶段。第一阶段报价完成产生结果后，优先权人根据结果决定是否行使优先权（优先权人的报价应高于或等于最高报价），行使优先权的时间为</w:t>
      </w:r>
      <w:r>
        <w:rPr>
          <w:rFonts w:ascii="宋体" w:cs="宋体"/>
          <w:b/>
          <w:bCs/>
          <w:color w:val="000000" w:themeColor="text1"/>
          <w:kern w:val="0"/>
          <w:sz w:val="24"/>
          <w14:textFill>
            <w14:solidFill>
              <w14:schemeClr w14:val="tx1"/>
            </w14:solidFill>
          </w14:textFill>
        </w:rPr>
        <w:t>10分钟</w:t>
      </w:r>
      <w:r>
        <w:rPr>
          <w:rFonts w:hint="eastAsia" w:ascii="宋体" w:cs="宋体"/>
          <w:b/>
          <w:bCs/>
          <w:color w:val="000000" w:themeColor="text1"/>
          <w:kern w:val="0"/>
          <w:sz w:val="24"/>
          <w14:textFill>
            <w14:solidFill>
              <w14:schemeClr w14:val="tx1"/>
            </w14:solidFill>
          </w14:textFill>
        </w:rPr>
        <w:t>。</w:t>
      </w:r>
    </w:p>
    <w:p>
      <w:pPr>
        <w:spacing w:line="440" w:lineRule="exact"/>
        <w:ind w:firstLine="480" w:firstLineChars="200"/>
        <w:rPr>
          <w:rFonts w:ascii="宋体" w:cs="宋体"/>
          <w:bCs/>
          <w:color w:val="000000" w:themeColor="text1"/>
          <w:kern w:val="0"/>
          <w:sz w:val="24"/>
          <w14:textFill>
            <w14:solidFill>
              <w14:schemeClr w14:val="tx1"/>
            </w14:solidFill>
          </w14:textFill>
        </w:rPr>
      </w:pPr>
      <w:r>
        <w:rPr>
          <w:rFonts w:hint="eastAsia" w:ascii="宋体" w:cs="宋体"/>
          <w:bCs/>
          <w:color w:val="000000" w:themeColor="text1"/>
          <w:kern w:val="0"/>
          <w:sz w:val="24"/>
          <w14:textFill>
            <w14:solidFill>
              <w14:schemeClr w14:val="tx1"/>
            </w14:solidFill>
          </w14:textFill>
        </w:rPr>
        <w:t>4.在规定的报价时点截止后，最高报价超过或达到保留价时成交，不到保留价不成交。成交人应在竞价成交后2日内前来本公司签署《竞价结果通知书》，且不得变更成交人的名字。如逾期未签署，视成交人根本违约，</w:t>
      </w:r>
      <w:r>
        <w:rPr>
          <w:rFonts w:hint="eastAsia" w:ascii="宋体"/>
          <w:color w:val="000000" w:themeColor="text1"/>
          <w:sz w:val="24"/>
          <w14:textFill>
            <w14:solidFill>
              <w14:schemeClr w14:val="tx1"/>
            </w14:solidFill>
          </w14:textFill>
        </w:rPr>
        <w:t>竞价</w:t>
      </w:r>
      <w:r>
        <w:rPr>
          <w:rFonts w:hint="eastAsia" w:ascii="宋体" w:cs="宋体"/>
          <w:bCs/>
          <w:color w:val="000000" w:themeColor="text1"/>
          <w:kern w:val="0"/>
          <w:sz w:val="24"/>
          <w14:textFill>
            <w14:solidFill>
              <w14:schemeClr w14:val="tx1"/>
            </w14:solidFill>
          </w14:textFill>
        </w:rPr>
        <w:t>保证金不予退回，逾期2日后委托人有权另行委托竞价招租。</w:t>
      </w:r>
    </w:p>
    <w:p>
      <w:pPr>
        <w:spacing w:line="440" w:lineRule="exact"/>
        <w:ind w:firstLine="480" w:firstLineChars="200"/>
        <w:rPr>
          <w:rFonts w:ascii="宋体" w:cs="宋体"/>
          <w:bCs/>
          <w:color w:val="000000" w:themeColor="text1"/>
          <w:kern w:val="0"/>
          <w:sz w:val="24"/>
          <w14:textFill>
            <w14:solidFill>
              <w14:schemeClr w14:val="tx1"/>
            </w14:solidFill>
          </w14:textFill>
        </w:rPr>
      </w:pPr>
      <w:r>
        <w:rPr>
          <w:rFonts w:hint="eastAsia" w:ascii="宋体" w:cs="宋体"/>
          <w:bCs/>
          <w:color w:val="000000" w:themeColor="text1"/>
          <w:kern w:val="0"/>
          <w:sz w:val="24"/>
          <w14:textFill>
            <w14:solidFill>
              <w14:schemeClr w14:val="tx1"/>
            </w14:solidFill>
          </w14:textFill>
        </w:rPr>
        <w:t>5.因平台在竞价当日无法正常登录使用，或因不可预见的原因导致上述竞价不能正常进行的，本公司有权调整竞价时间、中止交易或临时决定采用其它竞价方式和竞价交易规则，</w:t>
      </w:r>
      <w:r>
        <w:rPr>
          <w:rFonts w:hint="eastAsia" w:ascii="宋体"/>
          <w:color w:val="000000" w:themeColor="text1"/>
          <w:sz w:val="24"/>
          <w14:textFill>
            <w14:solidFill>
              <w14:schemeClr w14:val="tx1"/>
            </w14:solidFill>
          </w14:textFill>
        </w:rPr>
        <w:t>竞价</w:t>
      </w:r>
      <w:r>
        <w:rPr>
          <w:rFonts w:hint="eastAsia" w:ascii="宋体" w:cs="宋体"/>
          <w:bCs/>
          <w:color w:val="000000" w:themeColor="text1"/>
          <w:kern w:val="0"/>
          <w:sz w:val="24"/>
          <w14:textFill>
            <w14:solidFill>
              <w14:schemeClr w14:val="tx1"/>
            </w14:solidFill>
          </w14:textFill>
        </w:rPr>
        <w:t>人对此不得有异议。如有调整将在在</w:t>
      </w:r>
      <w:r>
        <w:rPr>
          <w:rFonts w:hint="eastAsia" w:ascii="宋体"/>
          <w:b/>
          <w:bCs/>
          <w:color w:val="000000" w:themeColor="text1"/>
          <w:sz w:val="24"/>
          <w14:textFill>
            <w14:solidFill>
              <w14:schemeClr w14:val="tx1"/>
            </w14:solidFill>
          </w14:textFill>
        </w:rPr>
        <w:t>连城产权交易网（网址：http://www.lcxcqjy.com/）</w:t>
      </w:r>
      <w:r>
        <w:rPr>
          <w:rFonts w:hint="eastAsia" w:ascii="宋体"/>
          <w:b/>
          <w:bCs/>
          <w:color w:val="000000" w:themeColor="text1"/>
          <w:sz w:val="24"/>
          <w:lang w:val="en-US" w:eastAsia="zh-CN"/>
          <w14:textFill>
            <w14:solidFill>
              <w14:schemeClr w14:val="tx1"/>
            </w14:solidFill>
          </w14:textFill>
        </w:rPr>
        <w:t>和</w:t>
      </w:r>
      <w:r>
        <w:rPr>
          <w:rFonts w:hint="eastAsia" w:ascii="宋体"/>
          <w:b/>
          <w:bCs/>
          <w:strike w:val="0"/>
          <w:color w:val="000000" w:themeColor="text1"/>
          <w:sz w:val="24"/>
          <w14:textFill>
            <w14:solidFill>
              <w14:schemeClr w14:val="tx1"/>
            </w14:solidFill>
          </w14:textFill>
        </w:rPr>
        <w:t>龙岩市公共资源交易中心网（网址：https://ggzy.longyan.gov.cn:8443/lyztb/）</w:t>
      </w:r>
      <w:r>
        <w:rPr>
          <w:rFonts w:hint="eastAsia" w:ascii="宋体" w:cs="宋体"/>
          <w:bCs/>
          <w:color w:val="000000" w:themeColor="text1"/>
          <w:kern w:val="0"/>
          <w:sz w:val="24"/>
          <w14:textFill>
            <w14:solidFill>
              <w14:schemeClr w14:val="tx1"/>
            </w14:solidFill>
          </w14:textFill>
        </w:rPr>
        <w:t>进行公告</w:t>
      </w:r>
      <w:r>
        <w:rPr>
          <w:rFonts w:ascii="宋体" w:cs="宋体"/>
          <w:bCs/>
          <w:color w:val="000000" w:themeColor="text1"/>
          <w:kern w:val="0"/>
          <w:sz w:val="24"/>
          <w14:textFill>
            <w14:solidFill>
              <w14:schemeClr w14:val="tx1"/>
            </w14:solidFill>
          </w14:textFill>
        </w:rPr>
        <w:t>。</w:t>
      </w:r>
    </w:p>
    <w:p>
      <w:pPr>
        <w:spacing w:line="440" w:lineRule="exact"/>
        <w:ind w:firstLine="480" w:firstLineChars="200"/>
        <w:rPr>
          <w:rFonts w:ascii="宋体" w:cs="宋体"/>
          <w:bCs/>
          <w:color w:val="000000" w:themeColor="text1"/>
          <w:kern w:val="0"/>
          <w:sz w:val="24"/>
          <w14:textFill>
            <w14:solidFill>
              <w14:schemeClr w14:val="tx1"/>
            </w14:solidFill>
          </w14:textFill>
        </w:rPr>
      </w:pPr>
      <w:r>
        <w:rPr>
          <w:rFonts w:hint="eastAsia" w:ascii="宋体" w:cs="宋体"/>
          <w:bCs/>
          <w:color w:val="000000" w:themeColor="text1"/>
          <w:kern w:val="0"/>
          <w:sz w:val="24"/>
          <w14:textFill>
            <w14:solidFill>
              <w14:schemeClr w14:val="tx1"/>
            </w14:solidFill>
          </w14:textFill>
        </w:rPr>
        <w:t>6.</w:t>
      </w:r>
      <w:r>
        <w:rPr>
          <w:rFonts w:hint="eastAsia" w:ascii="宋体"/>
          <w:color w:val="000000" w:themeColor="text1"/>
          <w:sz w:val="24"/>
          <w14:textFill>
            <w14:solidFill>
              <w14:schemeClr w14:val="tx1"/>
            </w14:solidFill>
          </w14:textFill>
        </w:rPr>
        <w:t>竞价</w:t>
      </w:r>
      <w:r>
        <w:rPr>
          <w:rFonts w:hint="eastAsia" w:ascii="宋体" w:cs="宋体"/>
          <w:bCs/>
          <w:color w:val="000000" w:themeColor="text1"/>
          <w:kern w:val="0"/>
          <w:sz w:val="24"/>
          <w14:textFill>
            <w14:solidFill>
              <w14:schemeClr w14:val="tx1"/>
            </w14:solidFill>
          </w14:textFill>
        </w:rPr>
        <w:t>人应妥善保管好用户名及密码，用户名为</w:t>
      </w:r>
      <w:r>
        <w:rPr>
          <w:rFonts w:hint="eastAsia" w:ascii="宋体"/>
          <w:color w:val="000000" w:themeColor="text1"/>
          <w:sz w:val="24"/>
          <w14:textFill>
            <w14:solidFill>
              <w14:schemeClr w14:val="tx1"/>
            </w14:solidFill>
          </w14:textFill>
        </w:rPr>
        <w:t>竞价</w:t>
      </w:r>
      <w:r>
        <w:rPr>
          <w:rFonts w:hint="eastAsia" w:ascii="宋体" w:cs="宋体"/>
          <w:bCs/>
          <w:color w:val="000000" w:themeColor="text1"/>
          <w:kern w:val="0"/>
          <w:sz w:val="24"/>
          <w14:textFill>
            <w14:solidFill>
              <w14:schemeClr w14:val="tx1"/>
            </w14:solidFill>
          </w14:textFill>
        </w:rPr>
        <w:t>人参加网络竞价的唯一合法身份，所有用户登录后的报价均视为</w:t>
      </w:r>
      <w:r>
        <w:rPr>
          <w:rFonts w:hint="eastAsia" w:ascii="宋体"/>
          <w:color w:val="000000" w:themeColor="text1"/>
          <w:sz w:val="24"/>
          <w14:textFill>
            <w14:solidFill>
              <w14:schemeClr w14:val="tx1"/>
            </w14:solidFill>
          </w14:textFill>
        </w:rPr>
        <w:t>竞价</w:t>
      </w:r>
      <w:r>
        <w:rPr>
          <w:rFonts w:hint="eastAsia" w:ascii="宋体" w:cs="宋体"/>
          <w:bCs/>
          <w:color w:val="000000" w:themeColor="text1"/>
          <w:kern w:val="0"/>
          <w:sz w:val="24"/>
          <w14:textFill>
            <w14:solidFill>
              <w14:schemeClr w14:val="tx1"/>
            </w14:solidFill>
          </w14:textFill>
        </w:rPr>
        <w:t>人对本竞价文件各条款的完全接受；</w:t>
      </w:r>
      <w:r>
        <w:rPr>
          <w:rFonts w:hint="eastAsia" w:ascii="宋体"/>
          <w:color w:val="000000" w:themeColor="text1"/>
          <w:sz w:val="24"/>
          <w14:textFill>
            <w14:solidFill>
              <w14:schemeClr w14:val="tx1"/>
            </w14:solidFill>
          </w14:textFill>
        </w:rPr>
        <w:t>竞价</w:t>
      </w:r>
      <w:r>
        <w:rPr>
          <w:rFonts w:hint="eastAsia" w:ascii="宋体" w:cs="宋体"/>
          <w:bCs/>
          <w:color w:val="000000" w:themeColor="text1"/>
          <w:kern w:val="0"/>
          <w:sz w:val="24"/>
          <w14:textFill>
            <w14:solidFill>
              <w14:schemeClr w14:val="tx1"/>
            </w14:solidFill>
          </w14:textFill>
        </w:rPr>
        <w:t>人对于本公司和委托人的免责条款已知悉，并同意接受；并且是本人真实意愿的表示。如用户名丢失或被他人盗用所造成的一切后果均由</w:t>
      </w:r>
      <w:r>
        <w:rPr>
          <w:rFonts w:hint="eastAsia" w:ascii="宋体"/>
          <w:color w:val="000000" w:themeColor="text1"/>
          <w:sz w:val="24"/>
          <w14:textFill>
            <w14:solidFill>
              <w14:schemeClr w14:val="tx1"/>
            </w14:solidFill>
          </w14:textFill>
        </w:rPr>
        <w:t>竞价</w:t>
      </w:r>
      <w:r>
        <w:rPr>
          <w:rFonts w:hint="eastAsia" w:ascii="宋体" w:cs="宋体"/>
          <w:bCs/>
          <w:color w:val="000000" w:themeColor="text1"/>
          <w:kern w:val="0"/>
          <w:sz w:val="24"/>
          <w14:textFill>
            <w14:solidFill>
              <w14:schemeClr w14:val="tx1"/>
            </w14:solidFill>
          </w14:textFill>
        </w:rPr>
        <w:t>人负责。</w:t>
      </w:r>
    </w:p>
    <w:p>
      <w:pPr>
        <w:spacing w:line="440" w:lineRule="exact"/>
        <w:ind w:firstLine="480" w:firstLineChars="200"/>
        <w:rPr>
          <w:rFonts w:ascii="宋体" w:cs="宋体"/>
          <w:bCs/>
          <w:color w:val="000000" w:themeColor="text1"/>
          <w:kern w:val="0"/>
          <w:sz w:val="24"/>
          <w14:textFill>
            <w14:solidFill>
              <w14:schemeClr w14:val="tx1"/>
            </w14:solidFill>
          </w14:textFill>
        </w:rPr>
      </w:pPr>
      <w:r>
        <w:rPr>
          <w:rFonts w:hint="eastAsia" w:ascii="宋体" w:cs="宋体"/>
          <w:bCs/>
          <w:color w:val="000000" w:themeColor="text1"/>
          <w:kern w:val="0"/>
          <w:sz w:val="24"/>
          <w14:textFill>
            <w14:solidFill>
              <w14:schemeClr w14:val="tx1"/>
            </w14:solidFill>
          </w14:textFill>
        </w:rPr>
        <w:t>7.成交人无论以何种方式支付竞价成交价款，都必须按规定</w:t>
      </w:r>
      <w:r>
        <w:rPr>
          <w:rFonts w:ascii="宋体" w:cs="宋体"/>
          <w:bCs/>
          <w:color w:val="000000" w:themeColor="text1"/>
          <w:kern w:val="0"/>
          <w:sz w:val="24"/>
          <w14:textFill>
            <w14:solidFill>
              <w14:schemeClr w14:val="tx1"/>
            </w14:solidFill>
          </w14:textFill>
        </w:rPr>
        <w:t>将</w:t>
      </w:r>
      <w:r>
        <w:rPr>
          <w:rFonts w:hint="eastAsia" w:ascii="宋体" w:cs="宋体"/>
          <w:bCs/>
          <w:color w:val="000000" w:themeColor="text1"/>
          <w:kern w:val="0"/>
          <w:sz w:val="24"/>
          <w14:textFill>
            <w14:solidFill>
              <w14:schemeClr w14:val="tx1"/>
            </w14:solidFill>
          </w14:textFill>
        </w:rPr>
        <w:t>成交款存入指定帐户，并得到确认后，方能领取《竞价结果通知书》并办理标的的移交手续。</w:t>
      </w:r>
    </w:p>
    <w:p>
      <w:pPr>
        <w:spacing w:line="440" w:lineRule="exact"/>
        <w:ind w:firstLine="480" w:firstLineChars="200"/>
        <w:rPr>
          <w:rFonts w:ascii="宋体" w:cs="宋体"/>
          <w:bCs/>
          <w:color w:val="000000" w:themeColor="text1"/>
          <w:kern w:val="0"/>
          <w:sz w:val="24"/>
          <w14:textFill>
            <w14:solidFill>
              <w14:schemeClr w14:val="tx1"/>
            </w14:solidFill>
          </w14:textFill>
        </w:rPr>
      </w:pPr>
      <w:r>
        <w:rPr>
          <w:rFonts w:hint="eastAsia" w:ascii="宋体" w:cs="宋体"/>
          <w:bCs/>
          <w:color w:val="000000" w:themeColor="text1"/>
          <w:kern w:val="0"/>
          <w:sz w:val="24"/>
          <w14:textFill>
            <w14:solidFill>
              <w14:schemeClr w14:val="tx1"/>
            </w14:solidFill>
          </w14:textFill>
        </w:rPr>
        <w:t>8.</w:t>
      </w:r>
      <w:r>
        <w:rPr>
          <w:rFonts w:hint="eastAsia" w:ascii="宋体"/>
          <w:color w:val="000000" w:themeColor="text1"/>
          <w:sz w:val="24"/>
          <w14:textFill>
            <w14:solidFill>
              <w14:schemeClr w14:val="tx1"/>
            </w14:solidFill>
          </w14:textFill>
        </w:rPr>
        <w:t>竞价</w:t>
      </w:r>
      <w:r>
        <w:rPr>
          <w:rFonts w:hint="eastAsia" w:ascii="宋体" w:cs="宋体"/>
          <w:bCs/>
          <w:color w:val="000000" w:themeColor="text1"/>
          <w:kern w:val="0"/>
          <w:sz w:val="24"/>
          <w14:textFill>
            <w14:solidFill>
              <w14:schemeClr w14:val="tx1"/>
            </w14:solidFill>
          </w14:textFill>
        </w:rPr>
        <w:t>登记时</w:t>
      </w:r>
      <w:r>
        <w:rPr>
          <w:rFonts w:hint="eastAsia" w:ascii="宋体"/>
          <w:color w:val="000000" w:themeColor="text1"/>
          <w:sz w:val="24"/>
          <w14:textFill>
            <w14:solidFill>
              <w14:schemeClr w14:val="tx1"/>
            </w14:solidFill>
          </w14:textFill>
        </w:rPr>
        <w:t>竞价</w:t>
      </w:r>
      <w:r>
        <w:rPr>
          <w:rFonts w:hint="eastAsia" w:ascii="宋体" w:cs="宋体"/>
          <w:bCs/>
          <w:color w:val="000000" w:themeColor="text1"/>
          <w:kern w:val="0"/>
          <w:sz w:val="24"/>
          <w14:textFill>
            <w14:solidFill>
              <w14:schemeClr w14:val="tx1"/>
            </w14:solidFill>
          </w14:textFill>
        </w:rPr>
        <w:t>人应保证提供真实有效的身份证明及其他相关材料，确保</w:t>
      </w:r>
      <w:r>
        <w:rPr>
          <w:rFonts w:hint="eastAsia" w:ascii="宋体"/>
          <w:color w:val="000000" w:themeColor="text1"/>
          <w:sz w:val="24"/>
          <w14:textFill>
            <w14:solidFill>
              <w14:schemeClr w14:val="tx1"/>
            </w14:solidFill>
          </w14:textFill>
        </w:rPr>
        <w:t>竞价</w:t>
      </w:r>
      <w:r>
        <w:rPr>
          <w:rFonts w:hint="eastAsia" w:ascii="宋体" w:cs="宋体"/>
          <w:bCs/>
          <w:color w:val="000000" w:themeColor="text1"/>
          <w:kern w:val="0"/>
          <w:sz w:val="24"/>
          <w14:textFill>
            <w14:solidFill>
              <w14:schemeClr w14:val="tx1"/>
            </w14:solidFill>
          </w14:textFill>
        </w:rPr>
        <w:t>保证金已缴纳到产权交易服务机构的指定账户，并自行履行审查义务，如上述证明材料存在虚假或</w:t>
      </w:r>
      <w:r>
        <w:rPr>
          <w:rFonts w:hint="eastAsia" w:ascii="宋体"/>
          <w:color w:val="000000" w:themeColor="text1"/>
          <w:sz w:val="24"/>
          <w14:textFill>
            <w14:solidFill>
              <w14:schemeClr w14:val="tx1"/>
            </w14:solidFill>
          </w14:textFill>
        </w:rPr>
        <w:t>竞价</w:t>
      </w:r>
      <w:r>
        <w:rPr>
          <w:rFonts w:hint="eastAsia" w:ascii="宋体" w:cs="宋体"/>
          <w:bCs/>
          <w:color w:val="000000" w:themeColor="text1"/>
          <w:kern w:val="0"/>
          <w:sz w:val="24"/>
          <w14:textFill>
            <w14:solidFill>
              <w14:schemeClr w14:val="tx1"/>
            </w14:solidFill>
          </w14:textFill>
        </w:rPr>
        <w:t>保证金未到产权交易服务机构指定账户，将被取消</w:t>
      </w:r>
      <w:r>
        <w:rPr>
          <w:rFonts w:hint="eastAsia" w:ascii="宋体"/>
          <w:color w:val="000000" w:themeColor="text1"/>
          <w:sz w:val="24"/>
          <w14:textFill>
            <w14:solidFill>
              <w14:schemeClr w14:val="tx1"/>
            </w14:solidFill>
          </w14:textFill>
        </w:rPr>
        <w:t>竞价</w:t>
      </w:r>
      <w:r>
        <w:rPr>
          <w:rFonts w:hint="eastAsia" w:ascii="宋体" w:cs="宋体"/>
          <w:bCs/>
          <w:color w:val="000000" w:themeColor="text1"/>
          <w:kern w:val="0"/>
          <w:sz w:val="24"/>
          <w14:textFill>
            <w14:solidFill>
              <w14:schemeClr w14:val="tx1"/>
            </w14:solidFill>
          </w14:textFill>
        </w:rPr>
        <w:t>资格同时视作</w:t>
      </w:r>
      <w:r>
        <w:rPr>
          <w:rFonts w:hint="eastAsia" w:ascii="宋体"/>
          <w:color w:val="000000" w:themeColor="text1"/>
          <w:sz w:val="24"/>
          <w14:textFill>
            <w14:solidFill>
              <w14:schemeClr w14:val="tx1"/>
            </w14:solidFill>
          </w14:textFill>
        </w:rPr>
        <w:t>竞价</w:t>
      </w:r>
      <w:r>
        <w:rPr>
          <w:rFonts w:hint="eastAsia" w:ascii="宋体" w:cs="宋体"/>
          <w:bCs/>
          <w:color w:val="000000" w:themeColor="text1"/>
          <w:kern w:val="0"/>
          <w:sz w:val="24"/>
          <w14:textFill>
            <w14:solidFill>
              <w14:schemeClr w14:val="tx1"/>
            </w14:solidFill>
          </w14:textFill>
        </w:rPr>
        <w:t>人的恶意</w:t>
      </w:r>
      <w:r>
        <w:rPr>
          <w:rFonts w:hint="eastAsia" w:ascii="宋体"/>
          <w:color w:val="000000" w:themeColor="text1"/>
          <w:sz w:val="24"/>
          <w14:textFill>
            <w14:solidFill>
              <w14:schemeClr w14:val="tx1"/>
            </w14:solidFill>
          </w14:textFill>
        </w:rPr>
        <w:t>竞价</w:t>
      </w:r>
      <w:r>
        <w:rPr>
          <w:rFonts w:hint="eastAsia" w:ascii="宋体" w:cs="宋体"/>
          <w:bCs/>
          <w:color w:val="000000" w:themeColor="text1"/>
          <w:kern w:val="0"/>
          <w:sz w:val="24"/>
          <w14:textFill>
            <w14:solidFill>
              <w14:schemeClr w14:val="tx1"/>
            </w14:solidFill>
          </w14:textFill>
        </w:rPr>
        <w:t>行为，产权交易服务机构有权追究其相关的法律责任，如造成损失的，应承担相应的赔偿责任。</w:t>
      </w:r>
    </w:p>
    <w:p>
      <w:pPr>
        <w:spacing w:line="440" w:lineRule="exact"/>
        <w:ind w:firstLine="480" w:firstLineChars="200"/>
        <w:rPr>
          <w:rFonts w:ascii="宋体" w:cs="宋体"/>
          <w:bCs/>
          <w:color w:val="000000" w:themeColor="text1"/>
          <w:kern w:val="0"/>
          <w:sz w:val="24"/>
          <w14:textFill>
            <w14:solidFill>
              <w14:schemeClr w14:val="tx1"/>
            </w14:solidFill>
          </w14:textFill>
        </w:rPr>
      </w:pPr>
      <w:r>
        <w:rPr>
          <w:rFonts w:hint="eastAsia" w:ascii="宋体" w:cs="宋体"/>
          <w:bCs/>
          <w:color w:val="000000" w:themeColor="text1"/>
          <w:kern w:val="0"/>
          <w:sz w:val="24"/>
          <w14:textFill>
            <w14:solidFill>
              <w14:schemeClr w14:val="tx1"/>
            </w14:solidFill>
          </w14:textFill>
        </w:rPr>
        <w:t>9.竞价的起价、成交价中均未含竞价成交后成交人应支付的交易服务费。</w:t>
      </w:r>
    </w:p>
    <w:p>
      <w:pPr>
        <w:spacing w:line="440" w:lineRule="exact"/>
        <w:ind w:firstLine="480" w:firstLineChars="200"/>
        <w:rPr>
          <w:rFonts w:ascii="宋体" w:cs="宋体"/>
          <w:bCs/>
          <w:color w:val="000000" w:themeColor="text1"/>
          <w:kern w:val="0"/>
          <w:sz w:val="24"/>
          <w14:textFill>
            <w14:solidFill>
              <w14:schemeClr w14:val="tx1"/>
            </w14:solidFill>
          </w14:textFill>
        </w:rPr>
      </w:pPr>
      <w:r>
        <w:rPr>
          <w:rFonts w:ascii="宋体" w:cs="宋体"/>
          <w:bCs/>
          <w:color w:val="000000" w:themeColor="text1"/>
          <w:kern w:val="0"/>
          <w:sz w:val="24"/>
          <w14:textFill>
            <w14:solidFill>
              <w14:schemeClr w14:val="tx1"/>
            </w14:solidFill>
          </w14:textFill>
        </w:rPr>
        <w:t>1</w:t>
      </w:r>
      <w:r>
        <w:rPr>
          <w:rFonts w:hint="eastAsia" w:ascii="宋体" w:cs="宋体"/>
          <w:bCs/>
          <w:color w:val="000000" w:themeColor="text1"/>
          <w:kern w:val="0"/>
          <w:sz w:val="24"/>
          <w14:textFill>
            <w14:solidFill>
              <w14:schemeClr w14:val="tx1"/>
            </w14:solidFill>
          </w14:textFill>
        </w:rPr>
        <w:t>0.网上</w:t>
      </w:r>
      <w:r>
        <w:rPr>
          <w:rFonts w:hint="eastAsia" w:ascii="宋体"/>
          <w:color w:val="000000" w:themeColor="text1"/>
          <w:sz w:val="24"/>
          <w14:textFill>
            <w14:solidFill>
              <w14:schemeClr w14:val="tx1"/>
            </w14:solidFill>
          </w14:textFill>
        </w:rPr>
        <w:t>竞价</w:t>
      </w:r>
      <w:r>
        <w:rPr>
          <w:rFonts w:hint="eastAsia" w:ascii="宋体" w:cs="宋体"/>
          <w:bCs/>
          <w:color w:val="000000" w:themeColor="text1"/>
          <w:kern w:val="0"/>
          <w:sz w:val="24"/>
          <w14:textFill>
            <w14:solidFill>
              <w14:schemeClr w14:val="tx1"/>
            </w14:solidFill>
          </w14:textFill>
        </w:rPr>
        <w:t>风险提醒</w:t>
      </w:r>
    </w:p>
    <w:p>
      <w:pPr>
        <w:spacing w:line="440" w:lineRule="exact"/>
        <w:ind w:left="0"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鉴于互联网的特殊性，同时出于对网上</w:t>
      </w:r>
      <w:r>
        <w:rPr>
          <w:rFonts w:hint="eastAsia" w:ascii="宋体"/>
          <w:color w:val="000000" w:themeColor="text1"/>
          <w:sz w:val="24"/>
          <w14:textFill>
            <w14:solidFill>
              <w14:schemeClr w14:val="tx1"/>
            </w14:solidFill>
          </w14:textFill>
        </w:rPr>
        <w:t>竞价</w:t>
      </w:r>
      <w:r>
        <w:rPr>
          <w:rFonts w:hint="eastAsia"/>
          <w:bCs/>
          <w:color w:val="000000" w:themeColor="text1"/>
          <w:sz w:val="24"/>
          <w14:textFill>
            <w14:solidFill>
              <w14:schemeClr w14:val="tx1"/>
            </w14:solidFill>
          </w14:textFill>
        </w:rPr>
        <w:t>人负责的态度，产权交易服务机构郑重提醒：网上出价存在多种风险（网络故障、电路故障、系统故障、平台故障），网上</w:t>
      </w:r>
      <w:r>
        <w:rPr>
          <w:rFonts w:hint="eastAsia" w:ascii="宋体"/>
          <w:color w:val="000000" w:themeColor="text1"/>
          <w:sz w:val="24"/>
          <w14:textFill>
            <w14:solidFill>
              <w14:schemeClr w14:val="tx1"/>
            </w14:solidFill>
          </w14:textFill>
        </w:rPr>
        <w:t>竞价</w:t>
      </w:r>
      <w:r>
        <w:rPr>
          <w:rFonts w:hint="eastAsia"/>
          <w:bCs/>
          <w:color w:val="000000" w:themeColor="text1"/>
          <w:sz w:val="24"/>
          <w14:textFill>
            <w14:solidFill>
              <w14:schemeClr w14:val="tx1"/>
            </w14:solidFill>
          </w14:textFill>
        </w:rPr>
        <w:t>人必须充分估计上述原因导致网上出价不同与现场出价所带来的风险，如果发生上述情况以及本人操作差错所造成的损失由</w:t>
      </w:r>
      <w:r>
        <w:rPr>
          <w:rFonts w:hint="eastAsia" w:ascii="宋体"/>
          <w:color w:val="000000" w:themeColor="text1"/>
          <w:sz w:val="24"/>
          <w14:textFill>
            <w14:solidFill>
              <w14:schemeClr w14:val="tx1"/>
            </w14:solidFill>
          </w14:textFill>
        </w:rPr>
        <w:t>竞价</w:t>
      </w:r>
      <w:r>
        <w:rPr>
          <w:rFonts w:hint="eastAsia"/>
          <w:bCs/>
          <w:color w:val="000000" w:themeColor="text1"/>
          <w:sz w:val="24"/>
          <w14:textFill>
            <w14:solidFill>
              <w14:schemeClr w14:val="tx1"/>
            </w14:solidFill>
          </w14:textFill>
        </w:rPr>
        <w:t>人承担，产权交易服务机构不负有任何责任。</w:t>
      </w:r>
    </w:p>
    <w:p>
      <w:pPr>
        <w:spacing w:line="440" w:lineRule="exact"/>
        <w:ind w:left="0"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11.平台竞价的</w:t>
      </w:r>
      <w:r>
        <w:rPr>
          <w:rFonts w:hint="eastAsia" w:ascii="宋体"/>
          <w:color w:val="000000" w:themeColor="text1"/>
          <w:sz w:val="24"/>
          <w14:textFill>
            <w14:solidFill>
              <w14:schemeClr w14:val="tx1"/>
            </w14:solidFill>
          </w14:textFill>
        </w:rPr>
        <w:t>竞价</w:t>
      </w:r>
      <w:r>
        <w:rPr>
          <w:rFonts w:hint="eastAsia"/>
          <w:bCs/>
          <w:color w:val="000000" w:themeColor="text1"/>
          <w:sz w:val="24"/>
          <w14:textFill>
            <w14:solidFill>
              <w14:schemeClr w14:val="tx1"/>
            </w14:solidFill>
          </w14:textFill>
        </w:rPr>
        <w:t>人应自行保障竞价过程中电脑及网络的通畅，竞价过程中如因</w:t>
      </w:r>
      <w:r>
        <w:rPr>
          <w:rFonts w:hint="eastAsia" w:ascii="宋体"/>
          <w:color w:val="000000" w:themeColor="text1"/>
          <w:sz w:val="24"/>
          <w14:textFill>
            <w14:solidFill>
              <w14:schemeClr w14:val="tx1"/>
            </w14:solidFill>
          </w14:textFill>
        </w:rPr>
        <w:t>竞价</w:t>
      </w:r>
      <w:r>
        <w:rPr>
          <w:rFonts w:hint="eastAsia"/>
          <w:bCs/>
          <w:color w:val="000000" w:themeColor="text1"/>
          <w:sz w:val="24"/>
          <w14:textFill>
            <w14:solidFill>
              <w14:schemeClr w14:val="tx1"/>
            </w14:solidFill>
          </w14:textFill>
        </w:rPr>
        <w:t>人所使用电脑或网络中断或因其操作不当、失误导致竞价失败，与产权交易服务机构无关。</w:t>
      </w:r>
    </w:p>
    <w:p>
      <w:pPr>
        <w:spacing w:line="440" w:lineRule="exact"/>
        <w:ind w:left="0"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12.竞价如果出现出价异常情况，或</w:t>
      </w:r>
      <w:r>
        <w:rPr>
          <w:rFonts w:hint="eastAsia" w:ascii="宋体"/>
          <w:color w:val="000000" w:themeColor="text1"/>
          <w:sz w:val="24"/>
          <w14:textFill>
            <w14:solidFill>
              <w14:schemeClr w14:val="tx1"/>
            </w14:solidFill>
          </w14:textFill>
        </w:rPr>
        <w:t>竞价</w:t>
      </w:r>
      <w:r>
        <w:rPr>
          <w:rFonts w:hint="eastAsia"/>
          <w:bCs/>
          <w:color w:val="000000" w:themeColor="text1"/>
          <w:sz w:val="24"/>
          <w14:textFill>
            <w14:solidFill>
              <w14:schemeClr w14:val="tx1"/>
            </w14:solidFill>
          </w14:textFill>
        </w:rPr>
        <w:t>人有严重背离价格等恶意乱出价行为，将被视为违约，</w:t>
      </w:r>
      <w:r>
        <w:rPr>
          <w:rFonts w:hint="eastAsia" w:ascii="宋体"/>
          <w:color w:val="000000" w:themeColor="text1"/>
          <w:sz w:val="24"/>
          <w14:textFill>
            <w14:solidFill>
              <w14:schemeClr w14:val="tx1"/>
            </w14:solidFill>
          </w14:textFill>
        </w:rPr>
        <w:t>竞价</w:t>
      </w:r>
      <w:r>
        <w:rPr>
          <w:rFonts w:hint="eastAsia"/>
          <w:bCs/>
          <w:color w:val="000000" w:themeColor="text1"/>
          <w:sz w:val="24"/>
          <w14:textFill>
            <w14:solidFill>
              <w14:schemeClr w14:val="tx1"/>
            </w14:solidFill>
          </w14:textFill>
        </w:rPr>
        <w:t>保证金不予退回。</w:t>
      </w:r>
    </w:p>
    <w:p>
      <w:pPr>
        <w:spacing w:line="440" w:lineRule="exact"/>
        <w:ind w:firstLine="482" w:firstLineChars="200"/>
        <w:rPr>
          <w:rFonts w:ascii="宋体"/>
          <w:b/>
          <w:color w:val="000000" w:themeColor="text1"/>
          <w:sz w:val="24"/>
          <w14:textFill>
            <w14:solidFill>
              <w14:schemeClr w14:val="tx1"/>
            </w14:solidFill>
          </w14:textFill>
        </w:rPr>
      </w:pPr>
      <w:r>
        <w:rPr>
          <w:rFonts w:hint="eastAsia" w:ascii="宋体"/>
          <w:b/>
          <w:color w:val="000000" w:themeColor="text1"/>
          <w:sz w:val="24"/>
          <w14:textFill>
            <w14:solidFill>
              <w14:schemeClr w14:val="tx1"/>
            </w14:solidFill>
          </w14:textFill>
        </w:rPr>
        <w:t>七、税费：</w:t>
      </w:r>
    </w:p>
    <w:p>
      <w:pPr>
        <w:spacing w:line="44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租金收入应负担的税金由出租人承担，租赁期间产生的其他一切税收及费用（包括不限于水电费、卫生费、物业费、电梯使用维护费、电梯电费、有线电视费、通讯费、日常维修费、消防、计生和因使用房屋所产生的各项费用等）均由成交人自行承担。</w:t>
      </w:r>
    </w:p>
    <w:p>
      <w:pPr>
        <w:numPr>
          <w:ilvl w:val="0"/>
          <w:numId w:val="1"/>
        </w:numPr>
        <w:spacing w:line="440" w:lineRule="exact"/>
        <w:ind w:left="0" w:firstLine="482" w:firstLineChars="200"/>
        <w:rPr>
          <w:rFonts w:ascii="宋体"/>
          <w:b/>
          <w:color w:val="000000" w:themeColor="text1"/>
          <w:sz w:val="24"/>
          <w14:textFill>
            <w14:solidFill>
              <w14:schemeClr w14:val="tx1"/>
            </w14:solidFill>
          </w14:textFill>
        </w:rPr>
      </w:pPr>
      <w:r>
        <w:rPr>
          <w:rFonts w:hint="eastAsia" w:ascii="宋体"/>
          <w:b/>
          <w:color w:val="000000" w:themeColor="text1"/>
          <w:sz w:val="24"/>
          <w14:textFill>
            <w14:solidFill>
              <w14:schemeClr w14:val="tx1"/>
            </w14:solidFill>
          </w14:textFill>
        </w:rPr>
        <w:t>交易服务费及成交价款的支付：</w:t>
      </w:r>
    </w:p>
    <w:p>
      <w:pPr>
        <w:spacing w:line="440" w:lineRule="exact"/>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　　1.竞价成交后，成交人</w:t>
      </w:r>
      <w:r>
        <w:rPr>
          <w:rFonts w:hint="eastAsia" w:ascii="宋体" w:eastAsia="宋体"/>
          <w:b/>
          <w:bCs/>
          <w:color w:val="000000" w:themeColor="text1"/>
          <w:sz w:val="24"/>
          <w14:textFill>
            <w14:solidFill>
              <w14:schemeClr w14:val="tx1"/>
            </w14:solidFill>
          </w14:textFill>
        </w:rPr>
        <w:t>向本公司支付1个月的租金（租金标准按首年月租金成交价计取）作为交易服务费</w:t>
      </w:r>
      <w:r>
        <w:rPr>
          <w:rFonts w:hint="eastAsia" w:ascii="宋体"/>
          <w:b/>
          <w:bCs/>
          <w:color w:val="000000" w:themeColor="text1"/>
          <w:sz w:val="24"/>
          <w14:textFill>
            <w14:solidFill>
              <w14:schemeClr w14:val="tx1"/>
            </w14:solidFill>
          </w14:textFill>
        </w:rPr>
        <w:t>，</w:t>
      </w:r>
      <w:r>
        <w:rPr>
          <w:rFonts w:hint="eastAsia" w:ascii="宋体"/>
          <w:color w:val="000000" w:themeColor="text1"/>
          <w:sz w:val="24"/>
          <w14:textFill>
            <w14:solidFill>
              <w14:schemeClr w14:val="tx1"/>
            </w14:solidFill>
          </w14:textFill>
        </w:rPr>
        <w:t>交易服务费直接由产权交易服务机构从成交人缴纳的竞价保证金中扣收，不足的，成交人应在2日内补齐。交易服务费未按期付清的，视成交人根本违约，竞价保证金不予退回。</w:t>
      </w:r>
    </w:p>
    <w:p>
      <w:pPr>
        <w:spacing w:line="440" w:lineRule="exact"/>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　　2.成交人应在成交后</w:t>
      </w:r>
      <w:r>
        <w:rPr>
          <w:rFonts w:hint="eastAsia" w:ascii="宋体"/>
          <w:b/>
          <w:bCs/>
          <w:color w:val="000000" w:themeColor="text1"/>
          <w:sz w:val="24"/>
          <w14:textFill>
            <w14:solidFill>
              <w14:schemeClr w14:val="tx1"/>
            </w14:solidFill>
          </w14:textFill>
        </w:rPr>
        <w:t>2个工作日内</w:t>
      </w:r>
      <w:r>
        <w:rPr>
          <w:rFonts w:ascii="宋体"/>
          <w:b/>
          <w:bCs/>
          <w:color w:val="000000" w:themeColor="text1"/>
          <w:sz w:val="24"/>
          <w14:textFill>
            <w14:solidFill>
              <w14:schemeClr w14:val="tx1"/>
            </w14:solidFill>
          </w14:textFill>
        </w:rPr>
        <w:t>将</w:t>
      </w:r>
      <w:r>
        <w:rPr>
          <w:rFonts w:hint="eastAsia" w:ascii="宋体"/>
          <w:b/>
          <w:bCs/>
          <w:color w:val="000000" w:themeColor="text1"/>
          <w:sz w:val="24"/>
          <w14:textFill>
            <w14:solidFill>
              <w14:schemeClr w14:val="tx1"/>
            </w14:solidFill>
          </w14:textFill>
        </w:rPr>
        <w:t>履约保证金</w:t>
      </w:r>
      <w:r>
        <w:rPr>
          <w:rFonts w:ascii="宋体"/>
          <w:color w:val="000000" w:themeColor="text1"/>
          <w:sz w:val="24"/>
          <w14:textFill>
            <w14:solidFill>
              <w14:schemeClr w14:val="tx1"/>
            </w14:solidFill>
          </w14:textFill>
        </w:rPr>
        <w:t>缴纳</w:t>
      </w:r>
      <w:r>
        <w:rPr>
          <w:rFonts w:hint="eastAsia" w:ascii="宋体"/>
          <w:color w:val="000000" w:themeColor="text1"/>
          <w:sz w:val="24"/>
          <w14:textFill>
            <w14:solidFill>
              <w14:schemeClr w14:val="tx1"/>
            </w14:solidFill>
          </w14:textFill>
        </w:rPr>
        <w:t>给产权交易服务机构。</w:t>
      </w:r>
    </w:p>
    <w:p>
      <w:pPr>
        <w:spacing w:line="44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3.履约保证金的交付方式以《租赁合同》和《竞价招租清单》约定的为准。成交人与委托人的具体权利义务按《租赁合同》的约定执行。</w:t>
      </w:r>
    </w:p>
    <w:p>
      <w:pPr>
        <w:spacing w:line="440" w:lineRule="exact"/>
        <w:ind w:firstLine="482" w:firstLineChars="200"/>
        <w:rPr>
          <w:rFonts w:ascii="宋体"/>
          <w:b/>
          <w:color w:val="000000" w:themeColor="text1"/>
          <w:sz w:val="24"/>
          <w14:textFill>
            <w14:solidFill>
              <w14:schemeClr w14:val="tx1"/>
            </w14:solidFill>
          </w14:textFill>
        </w:rPr>
      </w:pPr>
      <w:r>
        <w:rPr>
          <w:rFonts w:hint="eastAsia" w:ascii="宋体"/>
          <w:b/>
          <w:color w:val="000000" w:themeColor="text1"/>
          <w:sz w:val="24"/>
          <w14:textFill>
            <w14:solidFill>
              <w14:schemeClr w14:val="tx1"/>
            </w14:solidFill>
          </w14:textFill>
        </w:rPr>
        <w:t>九、标的移交：</w:t>
      </w:r>
    </w:p>
    <w:p>
      <w:pPr>
        <w:spacing w:line="44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1.成交人按约定期限与委托人签署《租赁合同》，并缴纳完毕约定款项后，凭《竞价结果通知书》及有关票据，于接到委托人通知之日起</w:t>
      </w:r>
      <w:r>
        <w:rPr>
          <w:rFonts w:hint="eastAsia" w:ascii="宋体"/>
          <w:b/>
          <w:bCs/>
          <w:color w:val="000000" w:themeColor="text1"/>
          <w:sz w:val="24"/>
          <w14:textFill>
            <w14:solidFill>
              <w14:schemeClr w14:val="tx1"/>
            </w14:solidFill>
          </w14:textFill>
        </w:rPr>
        <w:t>3日内</w:t>
      </w:r>
      <w:r>
        <w:rPr>
          <w:rFonts w:hint="eastAsia" w:ascii="宋体"/>
          <w:color w:val="000000" w:themeColor="text1"/>
          <w:sz w:val="24"/>
          <w14:textFill>
            <w14:solidFill>
              <w14:schemeClr w14:val="tx1"/>
            </w14:solidFill>
          </w14:textFill>
        </w:rPr>
        <w:t>与委托人办理租赁场所的移交手续。标的物移交手续由成交人自行办理，产权交易服务机构不负责标的租赁现场的移交。</w:t>
      </w:r>
    </w:p>
    <w:p>
      <w:pPr>
        <w:spacing w:line="44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2.若委托人逾期交付标的物，标的租赁期按实际逾期天数顺延，但产权交易服务机构及委托人不给予任何赔偿或补偿，也不承担任何损失；若租期无顺延，具体以《租赁合同》约定为准。</w:t>
      </w:r>
    </w:p>
    <w:p>
      <w:pPr>
        <w:spacing w:line="440" w:lineRule="exact"/>
        <w:ind w:firstLine="482" w:firstLineChars="200"/>
        <w:rPr>
          <w:rFonts w:ascii="宋体" w:eastAsia="宋体"/>
          <w:b/>
          <w:bCs/>
          <w:color w:val="000000" w:themeColor="text1"/>
          <w:sz w:val="24"/>
          <w14:textFill>
            <w14:solidFill>
              <w14:schemeClr w14:val="tx1"/>
            </w14:solidFill>
          </w14:textFill>
        </w:rPr>
      </w:pPr>
      <w:r>
        <w:rPr>
          <w:rFonts w:hint="eastAsia" w:ascii="宋体"/>
          <w:b/>
          <w:bCs/>
          <w:color w:val="000000" w:themeColor="text1"/>
          <w:sz w:val="24"/>
          <w14:textFill>
            <w14:solidFill>
              <w14:schemeClr w14:val="tx1"/>
            </w14:solidFill>
          </w14:textFill>
        </w:rPr>
        <w:t>3.</w:t>
      </w:r>
      <w:r>
        <w:rPr>
          <w:rFonts w:hint="eastAsia" w:ascii="宋体" w:eastAsia="宋体"/>
          <w:b/>
          <w:bCs/>
          <w:color w:val="000000" w:themeColor="text1"/>
          <w:sz w:val="24"/>
          <w14:textFill>
            <w14:solidFill>
              <w14:schemeClr w14:val="tx1"/>
            </w14:solidFill>
          </w14:textFill>
        </w:rPr>
        <w:t>若租赁物在交付时遇到障碍，而使租赁物超过约定的时间30日后仍无法正常移交的，成交人可以要求退回所有款项，产权交易服务机构及委托人将无息全额退款，但产权交易服务机构及委托人不承担由此造成的一切经济损失和法律责任，该风险由成交人承担。</w:t>
      </w:r>
    </w:p>
    <w:p>
      <w:pPr>
        <w:spacing w:line="440" w:lineRule="exact"/>
        <w:ind w:firstLine="482" w:firstLineChars="200"/>
        <w:rPr>
          <w:rFonts w:ascii="宋体"/>
          <w:b/>
          <w:color w:val="000000" w:themeColor="text1"/>
          <w:sz w:val="24"/>
          <w14:textFill>
            <w14:solidFill>
              <w14:schemeClr w14:val="tx1"/>
            </w14:solidFill>
          </w14:textFill>
        </w:rPr>
      </w:pPr>
      <w:r>
        <w:rPr>
          <w:rFonts w:hint="eastAsia" w:ascii="宋体"/>
          <w:b/>
          <w:color w:val="000000" w:themeColor="text1"/>
          <w:sz w:val="24"/>
          <w14:textFill>
            <w14:solidFill>
              <w14:schemeClr w14:val="tx1"/>
            </w14:solidFill>
          </w14:textFill>
        </w:rPr>
        <w:t>十、违约责任：</w:t>
      </w:r>
    </w:p>
    <w:p>
      <w:pPr>
        <w:spacing w:line="44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1.竞价成交后，成交人倘若出现如下情形（包括但不限于任一、部分或全部），都将构成根本性违约，产权交易服务机构有权追究违约方的责任, 成交人已支付竞价保证金及应委托人要求支付的款项不予退还，同时本公司可以根据委托人的要求重新组织招租或退回委托人。本公司重新组织招租后，新成交的金额低于原成交金额的，本公司有权根据有关法律法规的规定向成交人要求赔偿：</w:t>
      </w:r>
    </w:p>
    <w:p>
      <w:pPr>
        <w:spacing w:line="44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1.1成交人未按规定期限及时足额支付交易服务费、租赁合同履约保证金以及其它约定款项。</w:t>
      </w:r>
    </w:p>
    <w:p>
      <w:pPr>
        <w:spacing w:line="44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1.2竞价成交后，成交人未在约定时间签署《竞价结果通知书》、《租赁合同》。</w:t>
      </w:r>
    </w:p>
    <w:p>
      <w:pPr>
        <w:spacing w:line="44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1.3竞价成交后，成交人拒收有关文件、函件，或怠于办理标的房屋移交手续等。</w:t>
      </w:r>
    </w:p>
    <w:p>
      <w:pPr>
        <w:spacing w:line="44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1.4违反本《竞价须知》约定的其他行为的。</w:t>
      </w:r>
    </w:p>
    <w:p>
      <w:pPr>
        <w:spacing w:line="44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2.若因竞价标的特殊原因造成合同无效的，产权交易服务机构仅负责无息退回交易服务费，成交人同意不予追究产权交易服务机构的任何经济和法律责任。</w:t>
      </w:r>
    </w:p>
    <w:p>
      <w:pPr>
        <w:spacing w:line="440" w:lineRule="exact"/>
        <w:ind w:firstLine="482" w:firstLineChars="200"/>
        <w:rPr>
          <w:rFonts w:ascii="宋体"/>
          <w:b/>
          <w:color w:val="000000" w:themeColor="text1"/>
          <w:sz w:val="24"/>
          <w14:textFill>
            <w14:solidFill>
              <w14:schemeClr w14:val="tx1"/>
            </w14:solidFill>
          </w14:textFill>
        </w:rPr>
      </w:pPr>
      <w:r>
        <w:rPr>
          <w:rFonts w:hint="eastAsia" w:ascii="宋体"/>
          <w:b/>
          <w:color w:val="000000" w:themeColor="text1"/>
          <w:sz w:val="24"/>
          <w14:textFill>
            <w14:solidFill>
              <w14:schemeClr w14:val="tx1"/>
            </w14:solidFill>
          </w14:textFill>
        </w:rPr>
        <w:t>十一、特别约定和相关瑕疵：</w:t>
      </w:r>
    </w:p>
    <w:p>
      <w:pPr>
        <w:spacing w:line="44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1.竞价标的成交人即为承租人。</w:t>
      </w:r>
    </w:p>
    <w:p>
      <w:pPr>
        <w:spacing w:line="44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2.竞价成交价为标的租赁期限内首年月租金，成交总额为租赁期限内的全部租金总额。</w:t>
      </w:r>
    </w:p>
    <w:p>
      <w:pPr>
        <w:spacing w:line="440" w:lineRule="exact"/>
        <w:ind w:firstLine="482" w:firstLineChars="200"/>
        <w:rPr>
          <w:rFonts w:ascii="宋体"/>
          <w:b/>
          <w:bCs/>
          <w:color w:val="000000" w:themeColor="text1"/>
          <w:sz w:val="24"/>
          <w14:textFill>
            <w14:solidFill>
              <w14:schemeClr w14:val="tx1"/>
            </w14:solidFill>
          </w14:textFill>
        </w:rPr>
      </w:pPr>
      <w:r>
        <w:rPr>
          <w:rFonts w:hint="eastAsia" w:ascii="宋体"/>
          <w:b/>
          <w:bCs/>
          <w:color w:val="000000" w:themeColor="text1"/>
          <w:sz w:val="24"/>
          <w14:textFill>
            <w14:solidFill>
              <w14:schemeClr w14:val="tx1"/>
            </w14:solidFill>
          </w14:textFill>
        </w:rPr>
        <w:t>3.本次竞价标的仅以现状竞价，委托人、产权交易服务机构所作的关于本次竞价标的的介绍及有关材料仅供竞价人参考，不构成对标的物的任何担保或承诺，委托人、产权交易服务机构对竞价标的名称、单位、规格、数量、质量、面积、年限、结构、用途、方位、产权情况、规划、消防验收等竞价标的的瑕疵不承担担保责任。本次竞价标的以现场实物为准，如介绍的租赁建筑面积、用地面积与实际面积有差异，或者介绍的附属设施、物品、用途与实际不符的，竞价成交价及交易服务费均不作调整。竞价人参加竞价即视为已经充分了解竞价标的的现状及瑕疵（包含但不限于委托人、产权交易服务机构对标的物瑕疵的情况说明），同意按照竞价标的的现状承租。委托人、产权交易服务机构对成交人承租竞价标的后的风险和障碍不承担任何责任。</w:t>
      </w:r>
    </w:p>
    <w:p>
      <w:pPr>
        <w:spacing w:line="44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4.竞价人参加竞价会说明在出租标的物展示期间已看样并充分了解认可租赁物产权、相关费用、成交后应签的《租赁合同》条款和瑕疵状况等与标的物相关的一切情况，同时对租赁物存在或可能存在的瑕疵表示认可，并承诺因存在或可能存在的瑕疵造成的风险由成交人承担。</w:t>
      </w:r>
    </w:p>
    <w:p>
      <w:pPr>
        <w:spacing w:line="44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5.因历史遗留问题，本次竞价标的尚未办理产权登记手续及消防验收。标的物是否存在产权用途与实际用途不符，以及标的是否可以作为其它经营使用，由成交人自行判断。标的物按现状招租，如不能作为其它经营使用，其责任及后果由受让人自行承担，与产权交易服务机构、委托人无关。受让人将标的物用于经营项目时，按照相关规定须报经有关部门批准的，则所有报批手续包括申领营业执照及申报消防审批、广告牌安装等所有手续，均由受让人自行办理并承担费用，委托人及产权交易服务机构对受让人办理相关手续的障碍和结果不承担任何责任。</w:t>
      </w:r>
    </w:p>
    <w:p>
      <w:pPr>
        <w:spacing w:line="44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6.对因委托人未尽瑕疵告知义务或非因产权交易服务机构的原因造成竞价标的不能及时移交或无法移交而导致解除合同或合同无效的，产权交易服务机构不承担任何责任。竞价成交即视为产权交易服务机构对受让人的竞价合同义务履行完毕。</w:t>
      </w:r>
    </w:p>
    <w:p>
      <w:pPr>
        <w:spacing w:line="44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7.如遇委托人在竞价前撤回本次竞价标的，竞价保证金无息退还，委托人和产权交易服务机构不承担任何费用或赔偿责任，竞价人对此无异议。</w:t>
      </w:r>
    </w:p>
    <w:p>
      <w:pPr>
        <w:spacing w:line="44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8.标的从移交之日起发生的所有安全、经济、法律责任都由受让人承担，标的风险也随之转移给受让人，标的移交之日起产生的所有相关费用（包括但不限于:水电、物业、有线电视等）都由受让人承担。</w:t>
      </w:r>
    </w:p>
    <w:p>
      <w:pPr>
        <w:spacing w:line="440" w:lineRule="exact"/>
        <w:ind w:firstLine="480" w:firstLineChars="200"/>
        <w:rPr>
          <w:rFonts w:ascii="宋体"/>
          <w:b/>
          <w:color w:val="000000" w:themeColor="text1"/>
          <w:sz w:val="24"/>
          <w:u w:val="single"/>
          <w14:textFill>
            <w14:solidFill>
              <w14:schemeClr w14:val="tx1"/>
            </w14:solidFill>
          </w14:textFill>
        </w:rPr>
      </w:pPr>
      <w:r>
        <w:rPr>
          <w:rFonts w:hint="eastAsia" w:ascii="宋体"/>
          <w:color w:val="000000" w:themeColor="text1"/>
          <w:sz w:val="24"/>
          <w14:textFill>
            <w14:solidFill>
              <w14:schemeClr w14:val="tx1"/>
            </w14:solidFill>
          </w14:textFill>
        </w:rPr>
        <w:t>9.</w:t>
      </w:r>
      <w:r>
        <w:rPr>
          <w:rFonts w:hint="eastAsia" w:ascii="宋体"/>
          <w:bCs/>
          <w:color w:val="000000" w:themeColor="text1"/>
          <w:sz w:val="24"/>
          <w:u w:val="single"/>
          <w14:textFill>
            <w14:solidFill>
              <w14:schemeClr w14:val="tx1"/>
            </w14:solidFill>
          </w14:textFill>
        </w:rPr>
        <w:t>通知方式：竞价人确定身份证载明的地址为竞价人收件地址，凡与本次竞价有关的任何通知、主张、函件等文书，均可向该地址送达，如有变更应书面通知产权交易服务机构。迁址、更换收件人、拒收或无人接收造成投递不成的，视为已送达。</w:t>
      </w:r>
    </w:p>
    <w:p>
      <w:pPr>
        <w:spacing w:line="44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10.竞价人报名参与竞价，即视为已对本竞价须知各条款及附件内容作了全面的理解，且应竞价人的要求，产权交易服务机构也对本竞价须知及附件的相应内容做了说明。竞价人报名参与竞价是在已详细审查本次竞价的所有文件和相关信息，向有关管理部门全面了解了标的情况，并亲赴标的物现场认真查勘，对标的现状满意，已行使了知情权，并接受标的物的现状和一切已知及未知的瑕疵。竞价人点击出价即视为其同意本竞价须知各条款的权利义务，并愿承担参加本次竞价会及竞价成交以后可能带来的一切风险、障碍（包括但不限于标的物移交时间长或无法移交等方面的风险），并承诺放弃对产权交易服务机构的任何权利主张。本竞价须知及其附件内容对本人发生法律效力。</w:t>
      </w:r>
    </w:p>
    <w:p>
      <w:pPr>
        <w:spacing w:line="440" w:lineRule="exact"/>
        <w:ind w:firstLine="482" w:firstLineChars="200"/>
        <w:rPr>
          <w:rFonts w:ascii="宋体"/>
          <w:b/>
          <w:color w:val="000000" w:themeColor="text1"/>
          <w:sz w:val="24"/>
          <w14:textFill>
            <w14:solidFill>
              <w14:schemeClr w14:val="tx1"/>
            </w14:solidFill>
          </w14:textFill>
        </w:rPr>
      </w:pPr>
      <w:r>
        <w:rPr>
          <w:rFonts w:hint="eastAsia" w:ascii="宋体"/>
          <w:b/>
          <w:color w:val="000000" w:themeColor="text1"/>
          <w:sz w:val="24"/>
          <w14:textFill>
            <w14:solidFill>
              <w14:schemeClr w14:val="tx1"/>
            </w14:solidFill>
          </w14:textFill>
        </w:rPr>
        <w:t>十二、竞价标的重要文件</w:t>
      </w:r>
    </w:p>
    <w:p>
      <w:pPr>
        <w:spacing w:line="44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上述竞价标的现有相关文件、材料复印件有：1.《租赁合同》样本（已拟定的条款）；2.《承诺函》。</w:t>
      </w:r>
    </w:p>
    <w:p>
      <w:pPr>
        <w:spacing w:line="44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竞价一旦成交，受让人即成为上述《租赁合同》的承租人，受该合同的约束。成交人作为《租赁合同》的乙方（承租人），应在竞价成交后与委托人签署《租赁合同》。因此，郑重提示各位竞价人认真阅读此《租赁合同》样本，全面理解各方当事人的权利义务约定，同时，请各位竞价人认真阅读上述标的的相关文件。</w:t>
      </w:r>
    </w:p>
    <w:p>
      <w:pPr>
        <w:spacing w:line="44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以上文件作为本《竞价须知》的附件，竞价人参与竞价即表明全面接受其中的内容。</w:t>
      </w:r>
    </w:p>
    <w:p>
      <w:pPr>
        <w:spacing w:line="440" w:lineRule="exact"/>
        <w:ind w:firstLine="420"/>
        <w:jc w:val="right"/>
        <w:rPr>
          <w:rFonts w:ascii="宋体"/>
          <w:b/>
          <w:bCs/>
          <w:color w:val="000000" w:themeColor="text1"/>
          <w:sz w:val="24"/>
          <w14:textFill>
            <w14:solidFill>
              <w14:schemeClr w14:val="tx1"/>
            </w14:solidFill>
          </w14:textFill>
        </w:rPr>
      </w:pPr>
      <w:r>
        <w:rPr>
          <w:rFonts w:ascii="宋体"/>
          <w:color w:val="000000" w:themeColor="text1"/>
          <w:sz w:val="24"/>
          <w14:textFill>
            <w14:solidFill>
              <w14:schemeClr w14:val="tx1"/>
            </w14:solidFill>
          </w14:textFill>
        </w:rPr>
        <w:t xml:space="preserve">  </w:t>
      </w:r>
      <w:r>
        <w:rPr>
          <w:rFonts w:ascii="宋体"/>
          <w:b/>
          <w:bCs/>
          <w:color w:val="000000" w:themeColor="text1"/>
          <w:sz w:val="24"/>
          <w14:textFill>
            <w14:solidFill>
              <w14:schemeClr w14:val="tx1"/>
            </w14:solidFill>
          </w14:textFill>
        </w:rPr>
        <w:t xml:space="preserve">                                    </w:t>
      </w:r>
      <w:r>
        <w:rPr>
          <w:rFonts w:hint="eastAsia" w:ascii="宋体"/>
          <w:b/>
          <w:bCs/>
          <w:color w:val="000000" w:themeColor="text1"/>
          <w:sz w:val="24"/>
          <w14:textFill>
            <w14:solidFill>
              <w14:schemeClr w14:val="tx1"/>
            </w14:solidFill>
          </w14:textFill>
        </w:rPr>
        <w:t xml:space="preserve">　     </w:t>
      </w:r>
    </w:p>
    <w:p>
      <w:pPr>
        <w:spacing w:line="440" w:lineRule="exact"/>
        <w:ind w:firstLine="420"/>
        <w:jc w:val="right"/>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连城县国有资产产权交易服务有限公司</w:t>
      </w:r>
    </w:p>
    <w:p>
      <w:pPr>
        <w:spacing w:line="440" w:lineRule="exact"/>
        <w:ind w:firstLine="420"/>
        <w:jc w:val="center"/>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 xml:space="preserve">                                             </w:t>
      </w:r>
      <w:r>
        <w:rPr>
          <w:rFonts w:hint="eastAsia" w:ascii="宋体"/>
          <w:color w:val="000000" w:themeColor="text1"/>
          <w:sz w:val="24"/>
          <w14:textFill>
            <w14:solidFill>
              <w14:schemeClr w14:val="tx1"/>
            </w14:solidFill>
          </w14:textFill>
        </w:rPr>
        <w:t xml:space="preserve">  </w:t>
      </w:r>
      <w:r>
        <w:rPr>
          <w:rFonts w:ascii="宋体"/>
          <w:color w:val="000000" w:themeColor="text1"/>
          <w:sz w:val="24"/>
          <w14:textFill>
            <w14:solidFill>
              <w14:schemeClr w14:val="tx1"/>
            </w14:solidFill>
          </w14:textFill>
        </w:rPr>
        <w:t>20</w:t>
      </w:r>
      <w:r>
        <w:rPr>
          <w:rFonts w:hint="eastAsia" w:ascii="宋体"/>
          <w:color w:val="000000" w:themeColor="text1"/>
          <w:sz w:val="24"/>
          <w14:textFill>
            <w14:solidFill>
              <w14:schemeClr w14:val="tx1"/>
            </w14:solidFill>
          </w14:textFill>
        </w:rPr>
        <w:t>21年</w:t>
      </w:r>
      <w:r>
        <w:rPr>
          <w:rFonts w:hint="eastAsia" w:ascii="宋体"/>
          <w:color w:val="000000" w:themeColor="text1"/>
          <w:sz w:val="24"/>
          <w:lang w:val="en-US" w:eastAsia="zh-CN"/>
          <w14:textFill>
            <w14:solidFill>
              <w14:schemeClr w14:val="tx1"/>
            </w14:solidFill>
          </w14:textFill>
        </w:rPr>
        <w:t>9</w:t>
      </w:r>
      <w:r>
        <w:rPr>
          <w:rFonts w:hint="eastAsia" w:ascii="宋体"/>
          <w:color w:val="000000" w:themeColor="text1"/>
          <w:sz w:val="24"/>
          <w14:textFill>
            <w14:solidFill>
              <w14:schemeClr w14:val="tx1"/>
            </w14:solidFill>
          </w14:textFill>
        </w:rPr>
        <w:t>月</w:t>
      </w:r>
      <w:r>
        <w:rPr>
          <w:rFonts w:hint="eastAsia" w:ascii="宋体"/>
          <w:color w:val="000000" w:themeColor="text1"/>
          <w:sz w:val="24"/>
          <w:lang w:val="en-US" w:eastAsia="zh-CN"/>
          <w14:textFill>
            <w14:solidFill>
              <w14:schemeClr w14:val="tx1"/>
            </w14:solidFill>
          </w14:textFill>
        </w:rPr>
        <w:t xml:space="preserve">15 </w:t>
      </w:r>
      <w:r>
        <w:rPr>
          <w:rFonts w:hint="eastAsia" w:ascii="宋体"/>
          <w:color w:val="000000" w:themeColor="text1"/>
          <w:sz w:val="24"/>
          <w14:textFill>
            <w14:solidFill>
              <w14:schemeClr w14:val="tx1"/>
            </w14:solidFill>
          </w14:textFill>
        </w:rPr>
        <w:t>日</w:t>
      </w:r>
    </w:p>
    <w:p>
      <w:pPr>
        <w:spacing w:line="440" w:lineRule="exact"/>
        <w:ind w:firstLine="420"/>
        <w:jc w:val="center"/>
        <w:rPr>
          <w:rFonts w:ascii="宋体"/>
          <w:color w:val="000000" w:themeColor="text1"/>
          <w:sz w:val="24"/>
          <w14:textFill>
            <w14:solidFill>
              <w14:schemeClr w14:val="tx1"/>
            </w14:solidFill>
          </w14:textFill>
        </w:rPr>
      </w:pPr>
    </w:p>
    <w:p>
      <w:pPr>
        <w:spacing w:line="440" w:lineRule="exact"/>
        <w:ind w:firstLine="420"/>
        <w:jc w:val="center"/>
        <w:rPr>
          <w:rFonts w:ascii="宋体"/>
          <w:color w:val="000000" w:themeColor="text1"/>
          <w:sz w:val="24"/>
          <w14:textFill>
            <w14:solidFill>
              <w14:schemeClr w14:val="tx1"/>
            </w14:solidFill>
          </w14:textFill>
        </w:rPr>
      </w:pPr>
    </w:p>
    <w:p>
      <w:pPr>
        <w:spacing w:line="440" w:lineRule="exact"/>
        <w:ind w:firstLine="420"/>
        <w:jc w:val="center"/>
        <w:rPr>
          <w:rFonts w:ascii="宋体"/>
          <w:color w:val="000000" w:themeColor="text1"/>
          <w:sz w:val="24"/>
          <w14:textFill>
            <w14:solidFill>
              <w14:schemeClr w14:val="tx1"/>
            </w14:solidFill>
          </w14:textFill>
        </w:rPr>
      </w:pPr>
    </w:p>
    <w:p>
      <w:pPr>
        <w:spacing w:line="440" w:lineRule="exact"/>
        <w:ind w:firstLine="420"/>
        <w:jc w:val="center"/>
        <w:rPr>
          <w:rFonts w:ascii="宋体"/>
          <w:color w:val="000000" w:themeColor="text1"/>
          <w:sz w:val="24"/>
          <w14:textFill>
            <w14:solidFill>
              <w14:schemeClr w14:val="tx1"/>
            </w14:solidFill>
          </w14:textFill>
        </w:rPr>
      </w:pPr>
    </w:p>
    <w:p>
      <w:pPr>
        <w:pStyle w:val="33"/>
        <w:rPr>
          <w:color w:val="000000" w:themeColor="text1"/>
          <w14:textFill>
            <w14:solidFill>
              <w14:schemeClr w14:val="tx1"/>
            </w14:solidFill>
          </w14:textFill>
        </w:rPr>
      </w:pPr>
    </w:p>
    <w:p>
      <w:pPr>
        <w:pStyle w:val="33"/>
        <w:rPr>
          <w:color w:val="000000" w:themeColor="text1"/>
          <w14:textFill>
            <w14:solidFill>
              <w14:schemeClr w14:val="tx1"/>
            </w14:solidFill>
          </w14:textFill>
        </w:rPr>
      </w:pPr>
      <w:r>
        <w:rPr>
          <w:rFonts w:hint="eastAsia"/>
          <w:color w:val="000000" w:themeColor="text1"/>
          <w14:textFill>
            <w14:solidFill>
              <w14:schemeClr w14:val="tx1"/>
            </w14:solidFill>
          </w14:textFill>
        </w:rPr>
        <w:t>承诺函</w:t>
      </w:r>
    </w:p>
    <w:p>
      <w:pPr>
        <w:spacing w:line="600" w:lineRule="exact"/>
        <w:rPr>
          <w:color w:val="000000" w:themeColor="text1"/>
          <w:sz w:val="24"/>
          <w:u w:val="single"/>
          <w14:textFill>
            <w14:solidFill>
              <w14:schemeClr w14:val="tx1"/>
            </w14:solidFill>
          </w14:textFill>
        </w:rPr>
      </w:pPr>
      <w:r>
        <w:rPr>
          <w:rFonts w:hint="eastAsia" w:ascii="宋体"/>
          <w:b/>
          <w:bCs/>
          <w:color w:val="000000" w:themeColor="text1"/>
          <w:sz w:val="24"/>
          <w14:textFill>
            <w14:solidFill>
              <w14:schemeClr w14:val="tx1"/>
            </w14:solidFill>
          </w14:textFill>
        </w:rPr>
        <w:t>连城县国有资产产权交易服务有限公司</w:t>
      </w:r>
      <w:r>
        <w:rPr>
          <w:rFonts w:hint="eastAsia"/>
          <w:color w:val="000000" w:themeColor="text1"/>
          <w:sz w:val="24"/>
          <w14:textFill>
            <w14:solidFill>
              <w14:schemeClr w14:val="tx1"/>
            </w14:solidFill>
          </w14:textFill>
        </w:rPr>
        <w:t>：</w:t>
      </w:r>
    </w:p>
    <w:p>
      <w:pPr>
        <w:tabs>
          <w:tab w:val="left" w:pos="900"/>
        </w:tabs>
        <w:spacing w:line="600" w:lineRule="exact"/>
        <w:ind w:firstLine="480" w:firstLineChars="200"/>
        <w:rPr>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本人(本公司)</w:t>
      </w:r>
      <w:r>
        <w:rPr>
          <w:rFonts w:hint="eastAsia"/>
          <w:color w:val="000000" w:themeColor="text1"/>
          <w:sz w:val="24"/>
          <w14:textFill>
            <w14:solidFill>
              <w14:schemeClr w14:val="tx1"/>
            </w14:solidFill>
          </w14:textFill>
        </w:rPr>
        <w:t>就参与贵公司</w:t>
      </w:r>
      <w:r>
        <w:rPr>
          <w:rFonts w:hint="eastAsia" w:ascii="宋体" w:cs="宋体"/>
          <w:color w:val="000000" w:themeColor="text1"/>
          <w:sz w:val="24"/>
          <w14:textFill>
            <w14:solidFill>
              <w14:schemeClr w14:val="tx1"/>
            </w14:solidFill>
          </w14:textFill>
        </w:rPr>
        <w:t>于</w:t>
      </w:r>
      <w:r>
        <w:rPr>
          <w:rFonts w:hint="eastAsia" w:ascii="宋体" w:cs="宋体"/>
          <w:color w:val="000000" w:themeColor="text1"/>
          <w:sz w:val="24"/>
          <w:u w:val="single"/>
          <w14:textFill>
            <w14:solidFill>
              <w14:schemeClr w14:val="tx1"/>
            </w14:solidFill>
          </w14:textFill>
        </w:rPr>
        <w:t xml:space="preserve"> 2021 </w:t>
      </w:r>
      <w:r>
        <w:rPr>
          <w:rFonts w:hint="eastAsia" w:ascii="宋体" w:cs="宋体"/>
          <w:color w:val="000000" w:themeColor="text1"/>
          <w:sz w:val="24"/>
          <w14:textFill>
            <w14:solidFill>
              <w14:schemeClr w14:val="tx1"/>
            </w14:solidFill>
          </w14:textFill>
        </w:rPr>
        <w:t>年</w:t>
      </w:r>
      <w:r>
        <w:rPr>
          <w:rFonts w:hint="eastAsia" w:ascii="宋体" w:cs="宋体"/>
          <w:color w:val="000000" w:themeColor="text1"/>
          <w:sz w:val="24"/>
          <w:u w:val="single"/>
          <w14:textFill>
            <w14:solidFill>
              <w14:schemeClr w14:val="tx1"/>
            </w14:solidFill>
          </w14:textFill>
        </w:rPr>
        <w:t xml:space="preserve"> </w:t>
      </w:r>
      <w:r>
        <w:rPr>
          <w:rFonts w:hint="eastAsia" w:ascii="宋体" w:cs="宋体"/>
          <w:color w:val="000000" w:themeColor="text1"/>
          <w:sz w:val="24"/>
          <w:u w:val="single"/>
          <w:lang w:val="en-US" w:eastAsia="zh-CN"/>
          <w14:textFill>
            <w14:solidFill>
              <w14:schemeClr w14:val="tx1"/>
            </w14:solidFill>
          </w14:textFill>
        </w:rPr>
        <w:t>9</w:t>
      </w:r>
      <w:r>
        <w:rPr>
          <w:rFonts w:hint="eastAsia" w:ascii="宋体" w:cs="宋体"/>
          <w:color w:val="000000" w:themeColor="text1"/>
          <w:sz w:val="24"/>
          <w:u w:val="single"/>
          <w14:textFill>
            <w14:solidFill>
              <w14:schemeClr w14:val="tx1"/>
            </w14:solidFill>
          </w14:textFill>
        </w:rPr>
        <w:t xml:space="preserve"> </w:t>
      </w:r>
      <w:r>
        <w:rPr>
          <w:rFonts w:hint="eastAsia" w:ascii="宋体" w:cs="宋体"/>
          <w:color w:val="000000" w:themeColor="text1"/>
          <w:sz w:val="24"/>
          <w14:textFill>
            <w14:solidFill>
              <w14:schemeClr w14:val="tx1"/>
            </w14:solidFill>
          </w14:textFill>
        </w:rPr>
        <w:t>月</w:t>
      </w:r>
      <w:r>
        <w:rPr>
          <w:rFonts w:hint="eastAsia" w:ascii="宋体" w:cs="宋体"/>
          <w:color w:val="000000" w:themeColor="text1"/>
          <w:sz w:val="24"/>
          <w:u w:val="single"/>
          <w:lang w:val="en-US" w:eastAsia="zh-CN"/>
          <w14:textFill>
            <w14:solidFill>
              <w14:schemeClr w14:val="tx1"/>
            </w14:solidFill>
          </w14:textFill>
        </w:rPr>
        <w:t xml:space="preserve"> 29</w:t>
      </w:r>
      <w:r>
        <w:rPr>
          <w:rFonts w:hint="eastAsia" w:ascii="宋体" w:cs="宋体"/>
          <w:color w:val="000000" w:themeColor="text1"/>
          <w:sz w:val="24"/>
          <w:u w:val="single"/>
          <w14:textFill>
            <w14:solidFill>
              <w14:schemeClr w14:val="tx1"/>
            </w14:solidFill>
          </w14:textFill>
        </w:rPr>
        <w:t xml:space="preserve"> </w:t>
      </w:r>
      <w:r>
        <w:rPr>
          <w:rFonts w:hint="eastAsia" w:ascii="宋体" w:cs="宋体"/>
          <w:color w:val="000000" w:themeColor="text1"/>
          <w:sz w:val="24"/>
          <w14:textFill>
            <w14:solidFill>
              <w14:schemeClr w14:val="tx1"/>
            </w14:solidFill>
          </w14:textFill>
        </w:rPr>
        <w:t>日</w:t>
      </w:r>
      <w:r>
        <w:rPr>
          <w:rFonts w:hint="eastAsia" w:ascii="宋体" w:cs="宋体"/>
          <w:color w:val="000000" w:themeColor="text1"/>
          <w:sz w:val="24"/>
          <w:u w:val="single"/>
          <w14:textFill>
            <w14:solidFill>
              <w14:schemeClr w14:val="tx1"/>
            </w14:solidFill>
          </w14:textFill>
        </w:rPr>
        <w:t xml:space="preserve"> 09：30 </w:t>
      </w:r>
      <w:r>
        <w:rPr>
          <w:rFonts w:hint="eastAsia" w:ascii="宋体" w:cs="宋体"/>
          <w:color w:val="000000" w:themeColor="text1"/>
          <w:sz w:val="24"/>
          <w14:textFill>
            <w14:solidFill>
              <w14:schemeClr w14:val="tx1"/>
            </w14:solidFill>
          </w14:textFill>
        </w:rPr>
        <w:t>时在</w:t>
      </w:r>
      <w:r>
        <w:rPr>
          <w:rFonts w:hint="eastAsia" w:ascii="宋体" w:cs="宋体"/>
          <w:bCs/>
          <w:color w:val="000000" w:themeColor="text1"/>
          <w:kern w:val="0"/>
          <w:sz w:val="24"/>
          <w:u w:val="single"/>
          <w14:textFill>
            <w14:solidFill>
              <w14:schemeClr w14:val="tx1"/>
            </w14:solidFill>
          </w14:textFill>
        </w:rPr>
        <w:t>权益云交易平台（网址：</w:t>
      </w:r>
      <w:r>
        <w:rPr>
          <w:rFonts w:hint="eastAsia" w:ascii="宋体" w:cs="宋体"/>
          <w:bCs/>
          <w:color w:val="000000" w:themeColor="text1"/>
          <w:kern w:val="0"/>
          <w:sz w:val="24"/>
          <w:u w:val="single"/>
          <w14:textFill>
            <w14:solidFill>
              <w14:schemeClr w14:val="tx1"/>
            </w14:solidFill>
          </w14:textFill>
        </w:rPr>
        <w:fldChar w:fldCharType="begin"/>
      </w:r>
      <w:r>
        <w:rPr>
          <w:color w:val="000000" w:themeColor="text1"/>
          <w14:textFill>
            <w14:solidFill>
              <w14:schemeClr w14:val="tx1"/>
            </w14:solidFill>
          </w14:textFill>
        </w:rPr>
        <w:instrText xml:space="preserve">HYPERLINK "https://www.unibid.cn/"</w:instrText>
      </w:r>
      <w:r>
        <w:rPr>
          <w:rFonts w:hint="eastAsia" w:ascii="宋体" w:cs="宋体"/>
          <w:bCs/>
          <w:color w:val="000000" w:themeColor="text1"/>
          <w:kern w:val="0"/>
          <w:sz w:val="24"/>
          <w:u w:val="single"/>
          <w14:textFill>
            <w14:solidFill>
              <w14:schemeClr w14:val="tx1"/>
            </w14:solidFill>
          </w14:textFill>
        </w:rPr>
        <w:fldChar w:fldCharType="separate"/>
      </w:r>
      <w:r>
        <w:rPr>
          <w:rFonts w:hint="eastAsia" w:ascii="宋体" w:cs="宋体"/>
          <w:bCs/>
          <w:color w:val="000000" w:themeColor="text1"/>
          <w:kern w:val="0"/>
          <w:sz w:val="24"/>
          <w:u w:val="single"/>
          <w14:textFill>
            <w14:solidFill>
              <w14:schemeClr w14:val="tx1"/>
            </w14:solidFill>
          </w14:textFill>
        </w:rPr>
        <w:t>https://www.unibid.cn/</w:t>
      </w:r>
      <w:r>
        <w:rPr>
          <w:rFonts w:hint="eastAsia" w:ascii="宋体" w:cs="宋体"/>
          <w:bCs/>
          <w:color w:val="000000" w:themeColor="text1"/>
          <w:kern w:val="0"/>
          <w:sz w:val="24"/>
          <w:u w:val="single"/>
          <w14:textFill>
            <w14:solidFill>
              <w14:schemeClr w14:val="tx1"/>
            </w14:solidFill>
          </w14:textFill>
        </w:rPr>
        <w:fldChar w:fldCharType="end"/>
      </w:r>
      <w:r>
        <w:rPr>
          <w:rFonts w:hint="eastAsia" w:ascii="宋体" w:cs="宋体"/>
          <w:bCs/>
          <w:color w:val="000000" w:themeColor="text1"/>
          <w:kern w:val="0"/>
          <w:sz w:val="24"/>
          <w:u w:val="single"/>
          <w14:textFill>
            <w14:solidFill>
              <w14:schemeClr w14:val="tx1"/>
            </w14:solidFill>
          </w14:textFill>
        </w:rPr>
        <w:t>)</w:t>
      </w:r>
      <w:r>
        <w:rPr>
          <w:rFonts w:hint="eastAsia" w:ascii="宋体" w:cs="宋体"/>
          <w:color w:val="000000" w:themeColor="text1"/>
          <w:sz w:val="24"/>
          <w14:textFill>
            <w14:solidFill>
              <w14:schemeClr w14:val="tx1"/>
            </w14:solidFill>
          </w14:textFill>
        </w:rPr>
        <w:t>举办的</w:t>
      </w:r>
      <w:r>
        <w:rPr>
          <w:rFonts w:hint="eastAsia" w:ascii="宋体" w:cs="宋体"/>
          <w:color w:val="000000" w:themeColor="text1"/>
          <w:sz w:val="24"/>
          <w:u w:val="single"/>
          <w14:textFill>
            <w14:solidFill>
              <w14:schemeClr w14:val="tx1"/>
            </w14:solidFill>
          </w14:textFill>
        </w:rPr>
        <w:t xml:space="preserve"> 连城县冠豸山古寨遗址、东桃园服务区及冠豸山山下路32号等1</w:t>
      </w:r>
      <w:r>
        <w:rPr>
          <w:rFonts w:hint="eastAsia" w:ascii="宋体" w:cs="宋体"/>
          <w:color w:val="000000" w:themeColor="text1"/>
          <w:sz w:val="24"/>
          <w:u w:val="single"/>
          <w:lang w:val="en-US" w:eastAsia="zh-CN"/>
          <w14:textFill>
            <w14:solidFill>
              <w14:schemeClr w14:val="tx1"/>
            </w14:solidFill>
          </w14:textFill>
        </w:rPr>
        <w:t>4</w:t>
      </w:r>
      <w:r>
        <w:rPr>
          <w:rFonts w:hint="eastAsia" w:ascii="宋体" w:cs="宋体"/>
          <w:color w:val="000000" w:themeColor="text1"/>
          <w:sz w:val="24"/>
          <w:u w:val="single"/>
          <w14:textFill>
            <w14:solidFill>
              <w14:schemeClr w14:val="tx1"/>
            </w14:solidFill>
          </w14:textFill>
        </w:rPr>
        <w:t>处房产</w:t>
      </w:r>
      <w:r>
        <w:rPr>
          <w:rFonts w:hint="eastAsia" w:ascii="宋体" w:cs="宋体"/>
          <w:color w:val="000000" w:themeColor="text1"/>
          <w:sz w:val="24"/>
          <w:u w:val="single"/>
          <w:lang w:val="en-US" w:eastAsia="zh-CN"/>
          <w14:textFill>
            <w14:solidFill>
              <w14:schemeClr w14:val="tx1"/>
            </w14:solidFill>
          </w14:textFill>
        </w:rPr>
        <w:t>三</w:t>
      </w:r>
      <w:r>
        <w:rPr>
          <w:rFonts w:hint="eastAsia" w:ascii="宋体" w:cs="宋体"/>
          <w:color w:val="000000" w:themeColor="text1"/>
          <w:sz w:val="24"/>
          <w:u w:val="single"/>
          <w14:textFill>
            <w14:solidFill>
              <w14:schemeClr w14:val="tx1"/>
            </w14:solidFill>
          </w14:textFill>
        </w:rPr>
        <w:t>年租赁权</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（以下简称“本标的”）竞价活动做出如下承诺：</w:t>
      </w:r>
    </w:p>
    <w:p>
      <w:pPr>
        <w:tabs>
          <w:tab w:val="left" w:pos="900"/>
        </w:tabs>
        <w:spacing w:line="60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一、</w:t>
      </w:r>
      <w:r>
        <w:rPr>
          <w:rFonts w:hint="eastAsia" w:ascii="宋体"/>
          <w:color w:val="000000" w:themeColor="text1"/>
          <w:sz w:val="24"/>
          <w14:textFill>
            <w14:solidFill>
              <w14:schemeClr w14:val="tx1"/>
            </w14:solidFill>
          </w14:textFill>
        </w:rPr>
        <w:t>本人(本公司)承诺提供的报名材料真实、合法、有效。</w:t>
      </w:r>
    </w:p>
    <w:p>
      <w:pPr>
        <w:spacing w:line="60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二、</w:t>
      </w:r>
      <w:r>
        <w:rPr>
          <w:rFonts w:hint="eastAsia" w:ascii="宋体"/>
          <w:color w:val="000000" w:themeColor="text1"/>
          <w:sz w:val="24"/>
          <w14:textFill>
            <w14:solidFill>
              <w14:schemeClr w14:val="tx1"/>
            </w14:solidFill>
          </w14:textFill>
        </w:rPr>
        <w:t>本人(本公司)</w:t>
      </w:r>
      <w:r>
        <w:rPr>
          <w:rFonts w:hint="eastAsia"/>
          <w:color w:val="000000" w:themeColor="text1"/>
          <w:sz w:val="24"/>
          <w14:textFill>
            <w14:solidFill>
              <w14:schemeClr w14:val="tx1"/>
            </w14:solidFill>
          </w14:textFill>
        </w:rPr>
        <w:t>已仔细阅读并自愿遵守《竞价须知》等文件的规定，同意按照《竞价须知》的内容参加竞价活动。</w:t>
      </w:r>
    </w:p>
    <w:p>
      <w:pPr>
        <w:spacing w:line="600" w:lineRule="exact"/>
        <w:ind w:firstLine="480" w:firstLineChars="200"/>
        <w:rPr>
          <w:rFonts w:ascii="宋体"/>
          <w:b/>
          <w:bCs/>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三、</w:t>
      </w:r>
      <w:r>
        <w:rPr>
          <w:rFonts w:hint="eastAsia" w:ascii="宋体"/>
          <w:color w:val="000000" w:themeColor="text1"/>
          <w:sz w:val="24"/>
          <w14:textFill>
            <w14:solidFill>
              <w14:schemeClr w14:val="tx1"/>
            </w14:solidFill>
          </w14:textFill>
        </w:rPr>
        <w:t>本人(本公司)</w:t>
      </w:r>
      <w:r>
        <w:rPr>
          <w:rFonts w:hint="eastAsia"/>
          <w:color w:val="000000" w:themeColor="text1"/>
          <w:sz w:val="24"/>
          <w14:textFill>
            <w14:solidFill>
              <w14:schemeClr w14:val="tx1"/>
            </w14:solidFill>
          </w14:textFill>
        </w:rPr>
        <w:t>已仔细阅读并自愿遵守</w:t>
      </w:r>
      <w:r>
        <w:rPr>
          <w:rFonts w:hint="eastAsia" w:ascii="宋体"/>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竞价</w:t>
      </w:r>
      <w:r>
        <w:rPr>
          <w:rFonts w:hint="eastAsia" w:ascii="宋体"/>
          <w:color w:val="000000" w:themeColor="text1"/>
          <w:sz w:val="24"/>
          <w14:textFill>
            <w14:solidFill>
              <w14:schemeClr w14:val="tx1"/>
            </w14:solidFill>
          </w14:textFill>
        </w:rPr>
        <w:t>须知》</w:t>
      </w:r>
      <w:r>
        <w:rPr>
          <w:rFonts w:hint="eastAsia" w:ascii="宋体"/>
          <w:b/>
          <w:bCs/>
          <w:color w:val="000000" w:themeColor="text1"/>
          <w:sz w:val="24"/>
          <w14:textFill>
            <w14:solidFill>
              <w14:schemeClr w14:val="tx1"/>
            </w14:solidFill>
          </w14:textFill>
        </w:rPr>
        <w:t>，贵公司对于该须知中的重要条款和贵公司的免责条款均已详细说明解读，本人已全面理解和认可该须知的所有条款，且无异议。</w:t>
      </w:r>
    </w:p>
    <w:p>
      <w:pPr>
        <w:spacing w:line="6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四、本人（本公司）若有违反该次《竞价须知》条款的行为，自愿被取消竞价资格，保证金不予退回，并承担由此造成的一切经济和法律责任。</w:t>
      </w:r>
    </w:p>
    <w:p>
      <w:pPr>
        <w:spacing w:line="600" w:lineRule="exact"/>
        <w:ind w:firstLine="480" w:firstLineChars="200"/>
        <w:rPr>
          <w:rFonts w:ascii="宋体"/>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五、</w:t>
      </w:r>
      <w:r>
        <w:rPr>
          <w:rFonts w:hint="eastAsia" w:ascii="宋体"/>
          <w:color w:val="000000" w:themeColor="text1"/>
          <w:sz w:val="24"/>
          <w14:textFill>
            <w14:solidFill>
              <w14:schemeClr w14:val="tx1"/>
            </w14:solidFill>
          </w14:textFill>
        </w:rPr>
        <w:t>本人(本公司)</w:t>
      </w:r>
      <w:r>
        <w:rPr>
          <w:rFonts w:hint="eastAsia"/>
          <w:color w:val="000000" w:themeColor="text1"/>
          <w:sz w:val="24"/>
          <w14:textFill>
            <w14:solidFill>
              <w14:schemeClr w14:val="tx1"/>
            </w14:solidFill>
          </w14:textFill>
        </w:rPr>
        <w:t>已完成对本标的的全面调查了解（包括但不限于查阅由贵公司提供的竞价资料如产权证明、相关合同条款等），对标的情况已充分知晓。</w:t>
      </w:r>
      <w:r>
        <w:rPr>
          <w:rFonts w:hint="eastAsia" w:ascii="宋体"/>
          <w:color w:val="000000" w:themeColor="text1"/>
          <w:sz w:val="24"/>
          <w14:textFill>
            <w14:solidFill>
              <w14:schemeClr w14:val="tx1"/>
            </w14:solidFill>
          </w14:textFill>
        </w:rPr>
        <w:t>本人(本公司)对竞价行为负责，</w:t>
      </w:r>
      <w:r>
        <w:rPr>
          <w:rFonts w:hint="eastAsia"/>
          <w:color w:val="000000" w:themeColor="text1"/>
          <w:sz w:val="24"/>
          <w14:textFill>
            <w14:solidFill>
              <w14:schemeClr w14:val="tx1"/>
            </w14:solidFill>
          </w14:textFill>
        </w:rPr>
        <w:t>自行承担包括但不限于因所获取的标的信息不全面、误解等而产生的相应后果</w:t>
      </w:r>
      <w:r>
        <w:rPr>
          <w:rFonts w:hint="eastAsia" w:ascii="宋体"/>
          <w:color w:val="000000" w:themeColor="text1"/>
          <w:sz w:val="24"/>
          <w14:textFill>
            <w14:solidFill>
              <w14:schemeClr w14:val="tx1"/>
            </w14:solidFill>
          </w14:textFill>
        </w:rPr>
        <w:t>。本人(本公司)已亲赴标的物现场认真查勘，已行使了知情权，接受标的物的现状和一切已知及未知的瑕疵。</w:t>
      </w:r>
    </w:p>
    <w:p>
      <w:pPr>
        <w:spacing w:line="600" w:lineRule="exact"/>
        <w:rPr>
          <w:color w:val="000000" w:themeColor="text1"/>
          <w:sz w:val="24"/>
          <w14:textFill>
            <w14:solidFill>
              <w14:schemeClr w14:val="tx1"/>
            </w14:solidFill>
          </w14:textFill>
        </w:rPr>
      </w:pPr>
    </w:p>
    <w:p>
      <w:pPr>
        <w:spacing w:line="600" w:lineRule="exact"/>
        <w:ind w:firstLine="5040" w:firstLineChars="2100"/>
        <w:rPr>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承诺人签章：</w:t>
      </w:r>
    </w:p>
    <w:p>
      <w:pPr>
        <w:spacing w:line="600" w:lineRule="exact"/>
        <w:ind w:firstLine="4200" w:firstLineChars="1750"/>
        <w:jc w:val="right"/>
        <w:rPr>
          <w:color w:val="000000" w:themeColor="text1"/>
          <w:sz w:val="24"/>
          <w:u w:val="single"/>
          <w14:textFill>
            <w14:solidFill>
              <w14:schemeClr w14:val="tx1"/>
            </w14:solidFill>
          </w14:textFill>
        </w:rPr>
      </w:pPr>
    </w:p>
    <w:p>
      <w:pPr>
        <w:spacing w:line="600" w:lineRule="exact"/>
        <w:ind w:firstLine="3960" w:firstLineChars="1650"/>
        <w:jc w:val="center"/>
        <w:rPr>
          <w:rFonts w:ascii="宋体"/>
          <w:color w:val="000000" w:themeColor="text1"/>
          <w:sz w:val="24"/>
          <w14:textFill>
            <w14:solidFill>
              <w14:schemeClr w14:val="tx1"/>
            </w14:solidFill>
          </w14:textFill>
        </w:rPr>
      </w:pP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年</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月</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日</w:t>
      </w:r>
    </w:p>
    <w:p>
      <w:pPr>
        <w:spacing w:line="440" w:lineRule="exact"/>
        <w:ind w:firstLine="420"/>
        <w:rPr>
          <w:rFonts w:ascii="宋体"/>
          <w:color w:val="000000" w:themeColor="text1"/>
          <w:sz w:val="24"/>
          <w14:textFill>
            <w14:solidFill>
              <w14:schemeClr w14:val="tx1"/>
            </w14:solidFill>
          </w14:textFill>
        </w:rPr>
      </w:pPr>
    </w:p>
    <w:sectPr>
      <w:footerReference r:id="rId3" w:type="default"/>
      <w:pgSz w:w="11906" w:h="16838"/>
      <w:pgMar w:top="1154" w:right="976" w:bottom="1404" w:left="1070" w:header="851" w:footer="992" w:gutter="0"/>
      <w:pgNumType w:start="1"/>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None/>
              <wp:docPr id="1" name="_x0000_s4097"/>
              <wp:cNvGraphicFramePr/>
              <a:graphic xmlns:a="http://schemas.openxmlformats.org/drawingml/2006/main">
                <a:graphicData uri="http://schemas.microsoft.com/office/word/2010/wordprocessingShape">
                  <wps:wsp>
                    <wps:cNvSpPr/>
                    <wps:spPr>
                      <a:xfrm>
                        <a:off x="0" y="0"/>
                        <a:ext cx="57149" cy="131557"/>
                      </a:xfrm>
                      <a:prstGeom prst="rect">
                        <a:avLst/>
                      </a:prstGeom>
                      <a:noFill/>
                      <a:ln w="9525" cap="flat" cmpd="sng">
                        <a:noFill/>
                        <a:prstDash val="solid"/>
                        <a:miter/>
                      </a:ln>
                    </wps:spPr>
                    <wps:txbx>
                      <w:txbxContent>
                        <w:p>
                          <w:pPr>
                            <w:pStyle w:val="9"/>
                          </w:pPr>
                          <w:r>
                            <w:fldChar w:fldCharType="begin"/>
                          </w:r>
                          <w:r>
                            <w:instrText xml:space="preserve"> PAGE  \* MERGEFORMAT </w:instrText>
                          </w:r>
                          <w:r>
                            <w:fldChar w:fldCharType="separate"/>
                          </w:r>
                          <w:r>
                            <w:t>8</w:t>
                          </w:r>
                          <w:r>
                            <w:fldChar w:fldCharType="end"/>
                          </w:r>
                        </w:p>
                      </w:txbxContent>
                    </wps:txbx>
                    <wps:bodyPr vert="horz" wrap="none" lIns="0" tIns="0" rIns="0" bIns="0" anchor="t" anchorCtr="0" upright="1">
                      <a:spAutoFit/>
                    </wps:bodyPr>
                  </wps:wsp>
                </a:graphicData>
              </a:graphic>
            </wp:anchor>
          </w:drawing>
        </mc:Choice>
        <mc:Fallback>
          <w:pict>
            <v:rect id="_x0000_s4097" o:spid="_x0000_s1026" o:spt="1" style="position:absolute;left:0pt;margin-top:0pt;height:10.35pt;width:4.5pt;mso-position-horizontal:center;mso-position-horizontal-relative:margin;mso-wrap-style:none;z-index:251659264;mso-width-relative:page;mso-height-relative:page;" filled="f" stroked="f" coordsize="21600,21600" o:gfxdata="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QNszjQAAAAAgEAAA8AAAAAAAAAAQAgAAAAIgAAAGRycy9kb3ducmV2LnhtbFBLAQIUABQA&#10;AAAIAIdO4kBkiZv5+AEAAPQDAAAOAAAAAAAAAAEAIAAAAB8BAABkcnMvZTJvRG9jLnhtbFBLBQYA&#10;AAAABgAGAFkBAACJBQAAAAA=&#10;">
              <v:fill on="f" focussize="0,0"/>
              <v:stroke on="f" joinstyle="miter"/>
              <v:imagedata o:title=""/>
              <o:lock v:ext="edit" aspectratio="f"/>
              <v:textbox inset="0mm,0mm,0mm,0mm" style="mso-fit-shape-to-text:t;">
                <w:txbxContent>
                  <w:p>
                    <w:pPr>
                      <w:pStyle w:val="9"/>
                    </w:pPr>
                    <w:r>
                      <w:fldChar w:fldCharType="begin"/>
                    </w:r>
                    <w:r>
                      <w:instrText xml:space="preserve"> PAGE  \* MERGEFORMAT </w:instrText>
                    </w:r>
                    <w:r>
                      <w:fldChar w:fldCharType="separate"/>
                    </w:r>
                    <w:r>
                      <w:t>8</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1B82C0"/>
    <w:multiLevelType w:val="singleLevel"/>
    <w:tmpl w:val="261B82C0"/>
    <w:lvl w:ilvl="0" w:tentative="0">
      <w:start w:val="8"/>
      <w:numFmt w:val="chineseCounting"/>
      <w:suff w:val="nothing"/>
      <w:lvlText w:val="%1、"/>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77F7648"/>
    <w:rsid w:val="0AB87544"/>
    <w:rsid w:val="0B2E7764"/>
    <w:rsid w:val="1697406B"/>
    <w:rsid w:val="1D991922"/>
    <w:rsid w:val="23004B42"/>
    <w:rsid w:val="2FF243C4"/>
    <w:rsid w:val="35D32B2D"/>
    <w:rsid w:val="3EAB5BBF"/>
    <w:rsid w:val="457D245C"/>
    <w:rsid w:val="45CC0B01"/>
    <w:rsid w:val="519D0068"/>
    <w:rsid w:val="53C30ED3"/>
    <w:rsid w:val="55A5684A"/>
    <w:rsid w:val="60D43B48"/>
    <w:rsid w:val="63CF4679"/>
    <w:rsid w:val="70B56440"/>
    <w:rsid w:val="72932F74"/>
    <w:rsid w:val="72AE55AC"/>
    <w:rsid w:val="789956F3"/>
    <w:rsid w:val="793876D6"/>
    <w:rsid w:val="7A3950AD"/>
    <w:rsid w:val="7E3770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4294967295" w:semiHidden="0" w:name="heading 4"/>
    <w:lsdException w:unhideWhenUsed="0" w:uiPriority="4294967295" w:semiHidden="0" w:name="heading 5"/>
    <w:lsdException w:unhideWhenUsed="0" w:uiPriority="4294967295" w:semiHidden="0" w:name="heading 6"/>
    <w:lsdException w:unhideWhenUsed="0" w:uiPriority="4294967295" w:semiHidden="0" w:name="heading 7"/>
    <w:lsdException w:unhideWhenUsed="0" w:uiPriority="4294967295" w:semiHidden="0" w:name="heading 8"/>
    <w:lsdException w:unhideWhenUsed="0" w:uiPriority="4294967295" w:semiHidden="0" w:name="heading 9"/>
    <w:lsdException w:unhideWhenUsed="0" w:uiPriority="4294967295" w:semiHidden="0" w:name="index 1" w:locked="1"/>
    <w:lsdException w:unhideWhenUsed="0" w:uiPriority="4294967295" w:semiHidden="0" w:name="index 2" w:locked="1"/>
    <w:lsdException w:unhideWhenUsed="0" w:uiPriority="4294967295" w:semiHidden="0" w:name="index 3" w:locked="1"/>
    <w:lsdException w:unhideWhenUsed="0" w:uiPriority="4294967295" w:semiHidden="0" w:name="index 4" w:locked="1"/>
    <w:lsdException w:unhideWhenUsed="0" w:uiPriority="4294967295" w:semiHidden="0" w:name="index 5" w:locked="1"/>
    <w:lsdException w:unhideWhenUsed="0" w:uiPriority="4294967295" w:semiHidden="0" w:name="index 6" w:locked="1"/>
    <w:lsdException w:unhideWhenUsed="0" w:uiPriority="4294967295" w:semiHidden="0" w:name="index 7" w:locked="1"/>
    <w:lsdException w:unhideWhenUsed="0" w:uiPriority="4294967295" w:semiHidden="0" w:name="index 8" w:locked="1"/>
    <w:lsdException w:unhideWhenUsed="0" w:uiPriority="4294967295" w:semiHidden="0" w:name="index 9" w:locked="1"/>
    <w:lsdException w:unhideWhenUsed="0" w:uiPriority="4294967295" w:semiHidden="0" w:name="toc 1"/>
    <w:lsdException w:unhideWhenUsed="0" w:uiPriority="4294967295" w:semiHidden="0" w:name="toc 2"/>
    <w:lsdException w:unhideWhenUsed="0" w:uiPriority="4294967295" w:semiHidden="0" w:name="toc 3"/>
    <w:lsdException w:unhideWhenUsed="0" w:uiPriority="4294967295" w:semiHidden="0" w:name="toc 4"/>
    <w:lsdException w:unhideWhenUsed="0" w:uiPriority="4294967295" w:semiHidden="0" w:name="toc 5"/>
    <w:lsdException w:unhideWhenUsed="0" w:uiPriority="4294967295" w:semiHidden="0" w:name="toc 6"/>
    <w:lsdException w:unhideWhenUsed="0" w:uiPriority="4294967295" w:semiHidden="0" w:name="toc 7"/>
    <w:lsdException w:unhideWhenUsed="0" w:uiPriority="4294967295" w:semiHidden="0" w:name="toc 8"/>
    <w:lsdException w:unhideWhenUsed="0" w:uiPriority="4294967295" w:semiHidden="0" w:name="toc 9"/>
    <w:lsdException w:qFormat="1" w:unhideWhenUsed="0" w:uiPriority="0" w:semiHidden="0" w:name="Normal Indent" w:locked="1"/>
    <w:lsdException w:unhideWhenUsed="0" w:uiPriority="4294967295" w:semiHidden="0" w:name="footnote text" w:locked="1"/>
    <w:lsdException w:unhideWhenUsed="0" w:uiPriority="4294967295" w:semiHidden="0" w:name="annotation text" w:locked="1"/>
    <w:lsdException w:qFormat="1" w:unhideWhenUsed="0" w:uiPriority="0" w:semiHidden="0" w:name="header"/>
    <w:lsdException w:qFormat="1" w:unhideWhenUsed="0" w:uiPriority="0" w:semiHidden="0" w:name="footer"/>
    <w:lsdException w:unhideWhenUsed="0" w:uiPriority="4294967295" w:semiHidden="0" w:name="index heading" w:locked="1"/>
    <w:lsdException w:unhideWhenUsed="0" w:uiPriority="4294967295" w:semiHidden="0" w:name="caption"/>
    <w:lsdException w:unhideWhenUsed="0" w:uiPriority="4294967295" w:semiHidden="0" w:name="table of figures" w:locked="1"/>
    <w:lsdException w:unhideWhenUsed="0" w:uiPriority="4294967295" w:semiHidden="0" w:name="envelope address" w:locked="1"/>
    <w:lsdException w:unhideWhenUsed="0" w:uiPriority="4294967295" w:semiHidden="0" w:name="envelope return" w:locked="1"/>
    <w:lsdException w:unhideWhenUsed="0" w:uiPriority="4294967295" w:semiHidden="0" w:name="footnote reference" w:locked="1"/>
    <w:lsdException w:unhideWhenUsed="0" w:uiPriority="4294967295" w:semiHidden="0" w:name="annotation reference" w:locked="1"/>
    <w:lsdException w:unhideWhenUsed="0" w:uiPriority="4294967295" w:semiHidden="0" w:name="line number" w:locked="1"/>
    <w:lsdException w:qFormat="1" w:unhideWhenUsed="0" w:uiPriority="0" w:semiHidden="0" w:name="page number"/>
    <w:lsdException w:unhideWhenUsed="0" w:uiPriority="4294967295" w:semiHidden="0" w:name="endnote reference" w:locked="1"/>
    <w:lsdException w:unhideWhenUsed="0" w:uiPriority="4294967295" w:semiHidden="0" w:name="endnote text" w:locked="1"/>
    <w:lsdException w:unhideWhenUsed="0" w:uiPriority="4294967295" w:semiHidden="0" w:name="table of authorities" w:locked="1"/>
    <w:lsdException w:unhideWhenUsed="0" w:uiPriority="4294967295" w:semiHidden="0" w:name="macro" w:locked="1"/>
    <w:lsdException w:unhideWhenUsed="0" w:uiPriority="4294967295" w:semiHidden="0" w:name="toa heading" w:locked="1"/>
    <w:lsdException w:unhideWhenUsed="0" w:uiPriority="4294967295" w:semiHidden="0" w:name="List" w:locked="1"/>
    <w:lsdException w:unhideWhenUsed="0" w:uiPriority="4294967295" w:semiHidden="0" w:name="List Bullet" w:locked="1"/>
    <w:lsdException w:unhideWhenUsed="0" w:uiPriority="4294967295" w:semiHidden="0" w:name="List Number" w:locked="1"/>
    <w:lsdException w:unhideWhenUsed="0" w:uiPriority="4294967295" w:semiHidden="0" w:name="List 2" w:locked="1"/>
    <w:lsdException w:unhideWhenUsed="0" w:uiPriority="4294967295" w:semiHidden="0" w:name="List 3" w:locked="1"/>
    <w:lsdException w:unhideWhenUsed="0" w:uiPriority="4294967295" w:semiHidden="0" w:name="List 4" w:locked="1"/>
    <w:lsdException w:unhideWhenUsed="0" w:uiPriority="4294967295" w:semiHidden="0" w:name="List 5" w:locked="1"/>
    <w:lsdException w:unhideWhenUsed="0" w:uiPriority="4294967295" w:semiHidden="0" w:name="List Bullet 2" w:locked="1"/>
    <w:lsdException w:unhideWhenUsed="0" w:uiPriority="4294967295" w:semiHidden="0" w:name="List Bullet 3" w:locked="1"/>
    <w:lsdException w:unhideWhenUsed="0" w:uiPriority="4294967295" w:semiHidden="0" w:name="List Bullet 4" w:locked="1"/>
    <w:lsdException w:unhideWhenUsed="0" w:uiPriority="4294967295" w:semiHidden="0" w:name="List Bullet 5" w:locked="1"/>
    <w:lsdException w:unhideWhenUsed="0" w:uiPriority="4294967295" w:semiHidden="0" w:name="List Number 2" w:locked="1"/>
    <w:lsdException w:unhideWhenUsed="0" w:uiPriority="4294967295" w:semiHidden="0" w:name="List Number 3" w:locked="1"/>
    <w:lsdException w:unhideWhenUsed="0" w:uiPriority="4294967295" w:semiHidden="0" w:name="List Number 4" w:locked="1"/>
    <w:lsdException w:unhideWhenUsed="0" w:uiPriority="4294967295" w:semiHidden="0" w:name="List Number 5" w:locked="1"/>
    <w:lsdException w:unhideWhenUsed="0" w:uiPriority="4294967295" w:semiHidden="0" w:name="Title"/>
    <w:lsdException w:unhideWhenUsed="0" w:uiPriority="4294967295" w:semiHidden="0" w:name="Closing" w:locked="1"/>
    <w:lsdException w:unhideWhenUsed="0" w:uiPriority="4294967295" w:semiHidden="0" w:name="Signature" w:locked="1"/>
    <w:lsdException w:qFormat="1" w:unhideWhenUsed="0" w:uiPriority="0" w:semiHidden="0" w:name="Default Paragraph Font"/>
    <w:lsdException w:qFormat="1" w:unhideWhenUsed="0" w:uiPriority="0" w:semiHidden="0" w:name="Body Text" w:locked="1"/>
    <w:lsdException w:qFormat="1" w:unhideWhenUsed="0" w:uiPriority="0" w:semiHidden="0" w:name="Body Text Indent"/>
    <w:lsdException w:unhideWhenUsed="0" w:uiPriority="4294967295" w:semiHidden="0" w:name="List Continue" w:locked="1"/>
    <w:lsdException w:unhideWhenUsed="0" w:uiPriority="4294967295" w:semiHidden="0" w:name="List Continue 2" w:locked="1"/>
    <w:lsdException w:unhideWhenUsed="0" w:uiPriority="4294967295" w:semiHidden="0" w:name="List Continue 3" w:locked="1"/>
    <w:lsdException w:unhideWhenUsed="0" w:uiPriority="4294967295" w:semiHidden="0" w:name="List Continue 4" w:locked="1"/>
    <w:lsdException w:unhideWhenUsed="0" w:uiPriority="4294967295" w:semiHidden="0" w:name="List Continue 5" w:locked="1"/>
    <w:lsdException w:unhideWhenUsed="0" w:uiPriority="4294967295" w:semiHidden="0" w:name="Message Header" w:locked="1"/>
    <w:lsdException w:unhideWhenUsed="0" w:uiPriority="4294967295" w:semiHidden="0" w:name="Subtitle"/>
    <w:lsdException w:unhideWhenUsed="0" w:uiPriority="4294967295" w:semiHidden="0" w:name="Salutation" w:locked="1"/>
    <w:lsdException w:unhideWhenUsed="0" w:uiPriority="4294967295" w:semiHidden="0" w:name="Date" w:locked="1"/>
    <w:lsdException w:unhideWhenUsed="0" w:uiPriority="4294967295" w:semiHidden="0" w:name="Body Text First Indent" w:locked="1"/>
    <w:lsdException w:unhideWhenUsed="0" w:uiPriority="4294967295" w:semiHidden="0" w:name="Body Text First Indent 2" w:locked="1"/>
    <w:lsdException w:unhideWhenUsed="0" w:uiPriority="4294967295" w:semiHidden="0" w:name="Note Heading" w:locked="1"/>
    <w:lsdException w:unhideWhenUsed="0" w:uiPriority="4294967295" w:semiHidden="0" w:name="Body Text 2" w:locked="1"/>
    <w:lsdException w:unhideWhenUsed="0" w:uiPriority="4294967295" w:semiHidden="0" w:name="Body Text 3" w:locked="1"/>
    <w:lsdException w:unhideWhenUsed="0" w:uiPriority="4294967295" w:semiHidden="0" w:name="Body Text Indent 2" w:locked="1"/>
    <w:lsdException w:unhideWhenUsed="0" w:uiPriority="4294967295" w:semiHidden="0" w:name="Body Text Indent 3" w:locked="1"/>
    <w:lsdException w:unhideWhenUsed="0" w:uiPriority="4294967295" w:semiHidden="0" w:name="Block Text" w:locked="1"/>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4294967295" w:semiHidden="0" w:name="Document Map" w:locked="1"/>
    <w:lsdException w:unhideWhenUsed="0" w:uiPriority="4294967295" w:semiHidden="0" w:name="Plain Text" w:locked="1"/>
    <w:lsdException w:unhideWhenUsed="0" w:uiPriority="4294967295" w:semiHidden="0" w:name="E-mail Signature" w:locked="1"/>
    <w:lsdException w:qFormat="1" w:unhideWhenUsed="0" w:uiPriority="0" w:semiHidden="0" w:name="Normal (Web)" w:locked="1"/>
    <w:lsdException w:unhideWhenUsed="0" w:uiPriority="4294967295" w:semiHidden="0" w:name="HTML Acronym" w:locked="1"/>
    <w:lsdException w:unhideWhenUsed="0" w:uiPriority="4294967295" w:semiHidden="0" w:name="HTML Address" w:locked="1"/>
    <w:lsdException w:unhideWhenUsed="0" w:uiPriority="4294967295" w:semiHidden="0" w:name="HTML Cite" w:locked="1"/>
    <w:lsdException w:unhideWhenUsed="0" w:uiPriority="4294967295" w:semiHidden="0" w:name="HTML Code" w:locked="1"/>
    <w:lsdException w:unhideWhenUsed="0" w:uiPriority="4294967295" w:semiHidden="0" w:name="HTML Definition" w:locked="1"/>
    <w:lsdException w:unhideWhenUsed="0" w:uiPriority="4294967295" w:semiHidden="0" w:name="HTML Keyboard" w:locked="1"/>
    <w:lsdException w:unhideWhenUsed="0" w:uiPriority="4294967295" w:semiHidden="0" w:name="HTML Preformatted" w:locked="1"/>
    <w:lsdException w:unhideWhenUsed="0" w:uiPriority="4294967295" w:semiHidden="0" w:name="HTML Sample" w:locked="1"/>
    <w:lsdException w:unhideWhenUsed="0" w:uiPriority="4294967295" w:semiHidden="0" w:name="HTML Typewriter" w:locked="1"/>
    <w:lsdException w:unhideWhenUsed="0" w:uiPriority="4294967295" w:semiHidden="0" w:name="HTML Variable" w:locked="1"/>
    <w:lsdException w:qFormat="1" w:unhideWhenUsed="0" w:uiPriority="4294967295" w:semiHidden="0" w:name="Normal Table"/>
    <w:lsdException w:unhideWhenUsed="0" w:uiPriority="4294967295" w:semiHidden="0" w:name="annotation subject" w:locked="1"/>
    <w:lsdException w:unhideWhenUsed="0" w:uiPriority="4294967295" w:semiHidden="0" w:name="Table Simple 1"/>
    <w:lsdException w:unhideWhenUsed="0" w:uiPriority="4294967295" w:semiHidden="0" w:name="Table Simple 2"/>
    <w:lsdException w:unhideWhenUsed="0" w:uiPriority="4294967295" w:semiHidden="0" w:name="Table Simple 3"/>
    <w:lsdException w:unhideWhenUsed="0" w:uiPriority="4294967295" w:semiHidden="0" w:name="Table Classic 1"/>
    <w:lsdException w:unhideWhenUsed="0" w:uiPriority="4294967295" w:semiHidden="0" w:name="Table Classic 2"/>
    <w:lsdException w:unhideWhenUsed="0" w:uiPriority="4294967295" w:semiHidden="0" w:name="Table Classic 3"/>
    <w:lsdException w:unhideWhenUsed="0" w:uiPriority="4294967295" w:semiHidden="0" w:name="Table Classic 4"/>
    <w:lsdException w:unhideWhenUsed="0" w:uiPriority="4294967295" w:semiHidden="0" w:name="Table Colorful 1"/>
    <w:lsdException w:unhideWhenUsed="0" w:uiPriority="4294967295" w:semiHidden="0" w:name="Table Colorful 2"/>
    <w:lsdException w:unhideWhenUsed="0" w:uiPriority="4294967295" w:semiHidden="0" w:name="Table Colorful 3"/>
    <w:lsdException w:unhideWhenUsed="0" w:uiPriority="4294967295" w:semiHidden="0" w:name="Table Columns 1"/>
    <w:lsdException w:unhideWhenUsed="0" w:uiPriority="4294967295" w:semiHidden="0" w:name="Table Columns 2"/>
    <w:lsdException w:unhideWhenUsed="0" w:uiPriority="4294967295" w:semiHidden="0" w:name="Table Columns 3"/>
    <w:lsdException w:unhideWhenUsed="0" w:uiPriority="4294967295" w:semiHidden="0" w:name="Table Columns 4"/>
    <w:lsdException w:unhideWhenUsed="0" w:uiPriority="4294967295" w:semiHidden="0" w:name="Table Columns 5"/>
    <w:lsdException w:unhideWhenUsed="0" w:uiPriority="4294967295" w:semiHidden="0" w:name="Table Grid 1"/>
    <w:lsdException w:unhideWhenUsed="0" w:uiPriority="4294967295" w:semiHidden="0" w:name="Table Grid 2"/>
    <w:lsdException w:unhideWhenUsed="0" w:uiPriority="4294967295" w:semiHidden="0" w:name="Table Grid 3"/>
    <w:lsdException w:unhideWhenUsed="0" w:uiPriority="4294967295" w:semiHidden="0" w:name="Table Grid 4"/>
    <w:lsdException w:unhideWhenUsed="0" w:uiPriority="4294967295" w:semiHidden="0" w:name="Table Grid 5"/>
    <w:lsdException w:unhideWhenUsed="0" w:uiPriority="4294967295" w:semiHidden="0" w:name="Table Grid 6"/>
    <w:lsdException w:unhideWhenUsed="0" w:uiPriority="4294967295" w:semiHidden="0" w:name="Table Grid 7"/>
    <w:lsdException w:unhideWhenUsed="0" w:uiPriority="4294967295" w:semiHidden="0" w:name="Table Grid 8"/>
    <w:lsdException w:unhideWhenUsed="0" w:uiPriority="4294967295" w:semiHidden="0" w:name="Table List 1"/>
    <w:lsdException w:unhideWhenUsed="0" w:uiPriority="4294967295" w:semiHidden="0" w:name="Table List 2"/>
    <w:lsdException w:unhideWhenUsed="0" w:uiPriority="4294967295" w:semiHidden="0" w:name="Table List 3"/>
    <w:lsdException w:unhideWhenUsed="0" w:uiPriority="4294967295" w:semiHidden="0" w:name="Table List 4"/>
    <w:lsdException w:unhideWhenUsed="0" w:uiPriority="4294967295" w:semiHidden="0" w:name="Table List 5"/>
    <w:lsdException w:unhideWhenUsed="0" w:uiPriority="4294967295" w:semiHidden="0" w:name="Table List 6"/>
    <w:lsdException w:unhideWhenUsed="0" w:uiPriority="4294967295" w:semiHidden="0" w:name="Table List 7"/>
    <w:lsdException w:unhideWhenUsed="0" w:uiPriority="4294967295" w:semiHidden="0" w:name="Table List 8"/>
    <w:lsdException w:unhideWhenUsed="0" w:uiPriority="4294967295" w:semiHidden="0" w:name="Table 3D effects 1"/>
    <w:lsdException w:unhideWhenUsed="0" w:uiPriority="4294967295" w:semiHidden="0" w:name="Table 3D effects 2"/>
    <w:lsdException w:unhideWhenUsed="0" w:uiPriority="4294967295" w:semiHidden="0" w:name="Table 3D effects 3"/>
    <w:lsdException w:unhideWhenUsed="0" w:uiPriority="4294967295" w:semiHidden="0" w:name="Table Contemporary"/>
    <w:lsdException w:unhideWhenUsed="0" w:uiPriority="4294967295" w:semiHidden="0" w:name="Table Elegant"/>
    <w:lsdException w:unhideWhenUsed="0" w:uiPriority="4294967295" w:semiHidden="0" w:name="Table Professional"/>
    <w:lsdException w:unhideWhenUsed="0" w:uiPriority="4294967295" w:semiHidden="0" w:name="Table Subtle 1"/>
    <w:lsdException w:unhideWhenUsed="0" w:uiPriority="4294967295" w:semiHidden="0" w:name="Table Subtle 2"/>
    <w:lsdException w:unhideWhenUsed="0" w:uiPriority="4294967295" w:semiHidden="0" w:name="Table Web 1"/>
    <w:lsdException w:unhideWhenUsed="0" w:uiPriority="4294967295" w:semiHidden="0" w:name="Table Web 2"/>
    <w:lsdException w:unhideWhenUsed="0" w:uiPriority="4294967295" w:semiHidden="0" w:name="Table Web 3"/>
    <w:lsdException w:qFormat="1" w:unhideWhenUsed="0" w:uiPriority="0" w:semiHidden="0" w:name="Balloon Text"/>
    <w:lsdException w:unhideWhenUsed="0" w:uiPriority="4294967295" w:semiHidden="0" w:name="Table Grid"/>
    <w:lsdException w:unhideWhenUsed="0" w:uiPriority="4294967295"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line="578" w:lineRule="auto"/>
      <w:outlineLvl w:val="0"/>
    </w:pPr>
    <w:rPr>
      <w:b/>
      <w:bCs/>
      <w:kern w:val="44"/>
      <w:sz w:val="44"/>
      <w:szCs w:val="44"/>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13">
    <w:name w:val="Default Paragraph Font"/>
    <w:qFormat/>
    <w:uiPriority w:val="0"/>
  </w:style>
  <w:style w:type="table" w:default="1" w:styleId="12">
    <w:name w:val="Normal Table"/>
    <w:qFormat/>
    <w:uiPriority w:val="4294967295"/>
    <w:tblPr>
      <w:tblCellMar>
        <w:top w:w="0" w:type="dxa"/>
        <w:left w:w="108" w:type="dxa"/>
        <w:bottom w:w="0" w:type="dxa"/>
        <w:right w:w="108" w:type="dxa"/>
      </w:tblCellMar>
    </w:tblPr>
  </w:style>
  <w:style w:type="paragraph" w:styleId="5">
    <w:name w:val="Normal Indent"/>
    <w:basedOn w:val="1"/>
    <w:qFormat/>
    <w:locked/>
    <w:uiPriority w:val="0"/>
    <w:pPr>
      <w:ind w:firstLine="420"/>
    </w:pPr>
    <w:rPr>
      <w:szCs w:val="20"/>
    </w:rPr>
  </w:style>
  <w:style w:type="paragraph" w:styleId="6">
    <w:name w:val="Body Text"/>
    <w:basedOn w:val="1"/>
    <w:qFormat/>
    <w:locked/>
    <w:uiPriority w:val="0"/>
    <w:pPr>
      <w:spacing w:after="120"/>
    </w:pPr>
    <w:rPr>
      <w:rFonts w:ascii="Calibri" w:hAnsi="Calibri"/>
    </w:rPr>
  </w:style>
  <w:style w:type="paragraph" w:styleId="7">
    <w:name w:val="Body Text Indent"/>
    <w:basedOn w:val="1"/>
    <w:qFormat/>
    <w:uiPriority w:val="0"/>
    <w:pPr>
      <w:ind w:firstLine="200" w:firstLineChars="200"/>
    </w:pPr>
    <w:rPr>
      <w:sz w:val="28"/>
    </w:r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locked/>
    <w:uiPriority w:val="0"/>
    <w:pPr>
      <w:widowControl/>
      <w:spacing w:before="100" w:beforeAutospacing="1" w:after="100" w:afterAutospacing="1"/>
      <w:jc w:val="left"/>
    </w:pPr>
    <w:rPr>
      <w:rFonts w:ascii="宋体" w:cs="宋体"/>
      <w:kern w:val="0"/>
      <w:sz w:val="24"/>
    </w:rPr>
  </w:style>
  <w:style w:type="character" w:styleId="14">
    <w:name w:val="Strong"/>
    <w:basedOn w:val="13"/>
    <w:qFormat/>
    <w:uiPriority w:val="0"/>
    <w:rPr>
      <w:rFonts w:cs="Times New Roman"/>
      <w:b/>
      <w:sz w:val="24"/>
      <w:szCs w:val="24"/>
      <w:vertAlign w:val="baseline"/>
    </w:rPr>
  </w:style>
  <w:style w:type="character" w:styleId="15">
    <w:name w:val="page number"/>
    <w:basedOn w:val="13"/>
    <w:qFormat/>
    <w:uiPriority w:val="0"/>
    <w:rPr>
      <w:rFonts w:cs="Times New Roman"/>
    </w:rPr>
  </w:style>
  <w:style w:type="character" w:styleId="16">
    <w:name w:val="FollowedHyperlink"/>
    <w:basedOn w:val="13"/>
    <w:qFormat/>
    <w:uiPriority w:val="0"/>
    <w:rPr>
      <w:rFonts w:cs="Times New Roman"/>
      <w:color w:val="800080"/>
      <w:sz w:val="24"/>
      <w:szCs w:val="24"/>
      <w:u w:val="none"/>
      <w:vertAlign w:val="baseline"/>
    </w:rPr>
  </w:style>
  <w:style w:type="character" w:styleId="17">
    <w:name w:val="Emphasis"/>
    <w:basedOn w:val="13"/>
    <w:qFormat/>
    <w:uiPriority w:val="0"/>
    <w:rPr>
      <w:rFonts w:cs="Times New Roman"/>
      <w:i/>
      <w:sz w:val="24"/>
      <w:szCs w:val="24"/>
      <w:vertAlign w:val="baseline"/>
    </w:rPr>
  </w:style>
  <w:style w:type="character" w:styleId="18">
    <w:name w:val="Hyperlink"/>
    <w:basedOn w:val="13"/>
    <w:qFormat/>
    <w:uiPriority w:val="0"/>
    <w:rPr>
      <w:rFonts w:cs="Times New Roman"/>
      <w:color w:val="0000FF"/>
      <w:sz w:val="24"/>
      <w:szCs w:val="24"/>
      <w:u w:val="none"/>
      <w:vertAlign w:val="baseline"/>
    </w:rPr>
  </w:style>
  <w:style w:type="paragraph" w:customStyle="1" w:styleId="19">
    <w:name w:val="Char1 Char Char Char"/>
    <w:basedOn w:val="1"/>
    <w:qFormat/>
    <w:uiPriority w:val="0"/>
    <w:rPr>
      <w:rFonts w:ascii="Tahoma" w:hAnsi="Tahoma"/>
      <w:sz w:val="24"/>
      <w:szCs w:val="20"/>
    </w:rPr>
  </w:style>
  <w:style w:type="paragraph" w:customStyle="1" w:styleId="20">
    <w:name w:val="Char1 Char Char Char1"/>
    <w:basedOn w:val="1"/>
    <w:qFormat/>
    <w:uiPriority w:val="0"/>
    <w:rPr>
      <w:rFonts w:ascii="Tahoma" w:hAnsi="Tahoma"/>
      <w:sz w:val="24"/>
      <w:szCs w:val="20"/>
    </w:rPr>
  </w:style>
  <w:style w:type="character" w:customStyle="1" w:styleId="21">
    <w:name w:val="beat"/>
    <w:basedOn w:val="13"/>
    <w:qFormat/>
    <w:uiPriority w:val="0"/>
    <w:rPr>
      <w:rFonts w:cs="Times New Roman"/>
    </w:rPr>
  </w:style>
  <w:style w:type="character" w:customStyle="1" w:styleId="22">
    <w:name w:val="j"/>
    <w:basedOn w:val="13"/>
    <w:qFormat/>
    <w:uiPriority w:val="0"/>
    <w:rPr>
      <w:rFonts w:cs="Times New Roman"/>
    </w:rPr>
  </w:style>
  <w:style w:type="character" w:customStyle="1" w:styleId="23">
    <w:name w:val="jl"/>
    <w:basedOn w:val="13"/>
    <w:qFormat/>
    <w:uiPriority w:val="0"/>
    <w:rPr>
      <w:rFonts w:cs="Times New Roman"/>
    </w:rPr>
  </w:style>
  <w:style w:type="character" w:customStyle="1" w:styleId="24">
    <w:name w:val="bds_more2"/>
    <w:basedOn w:val="13"/>
    <w:qFormat/>
    <w:uiPriority w:val="0"/>
    <w:rPr>
      <w:rFonts w:ascii="宋体" w:eastAsia="宋体" w:cs="宋体"/>
    </w:rPr>
  </w:style>
  <w:style w:type="character" w:customStyle="1" w:styleId="25">
    <w:name w:val="bad"/>
    <w:basedOn w:val="13"/>
    <w:qFormat/>
    <w:uiPriority w:val="0"/>
    <w:rPr>
      <w:rFonts w:cs="Times New Roman"/>
    </w:rPr>
  </w:style>
  <w:style w:type="character" w:customStyle="1" w:styleId="26">
    <w:name w:val="jr"/>
    <w:basedOn w:val="13"/>
    <w:qFormat/>
    <w:uiPriority w:val="0"/>
    <w:rPr>
      <w:rFonts w:cs="Times New Roman"/>
    </w:rPr>
  </w:style>
  <w:style w:type="character" w:customStyle="1" w:styleId="27">
    <w:name w:val="bds_more3"/>
    <w:basedOn w:val="13"/>
    <w:qFormat/>
    <w:uiPriority w:val="0"/>
    <w:rPr>
      <w:rFonts w:cs="Times New Roman"/>
    </w:rPr>
  </w:style>
  <w:style w:type="character" w:customStyle="1" w:styleId="28">
    <w:name w:val="bds_more"/>
    <w:basedOn w:val="13"/>
    <w:qFormat/>
    <w:uiPriority w:val="0"/>
    <w:rPr>
      <w:rFonts w:cs="Times New Roman"/>
    </w:rPr>
  </w:style>
  <w:style w:type="character" w:customStyle="1" w:styleId="29">
    <w:name w:val="bds_nopic"/>
    <w:basedOn w:val="13"/>
    <w:qFormat/>
    <w:uiPriority w:val="0"/>
    <w:rPr>
      <w:rFonts w:cs="Times New Roman"/>
    </w:rPr>
  </w:style>
  <w:style w:type="character" w:customStyle="1" w:styleId="30">
    <w:name w:val="bds_more1"/>
    <w:basedOn w:val="13"/>
    <w:qFormat/>
    <w:uiPriority w:val="0"/>
    <w:rPr>
      <w:rFonts w:cs="Times New Roman"/>
    </w:rPr>
  </w:style>
  <w:style w:type="character" w:customStyle="1" w:styleId="31">
    <w:name w:val="font11"/>
    <w:basedOn w:val="13"/>
    <w:qFormat/>
    <w:uiPriority w:val="0"/>
    <w:rPr>
      <w:rFonts w:ascii="Times New Roman" w:hAnsi="Times New Roman" w:cs="Times New Roman"/>
      <w:color w:val="000000"/>
      <w:sz w:val="21"/>
      <w:szCs w:val="21"/>
      <w:u w:val="none"/>
    </w:rPr>
  </w:style>
  <w:style w:type="character" w:customStyle="1" w:styleId="32">
    <w:name w:val="font21"/>
    <w:basedOn w:val="13"/>
    <w:qFormat/>
    <w:uiPriority w:val="0"/>
    <w:rPr>
      <w:rFonts w:ascii="宋体" w:eastAsia="宋体" w:cs="宋体"/>
      <w:color w:val="000000"/>
      <w:sz w:val="21"/>
      <w:szCs w:val="21"/>
      <w:u w:val="none"/>
    </w:rPr>
  </w:style>
  <w:style w:type="paragraph" w:customStyle="1" w:styleId="33">
    <w:name w:val="汇编大标题1"/>
    <w:basedOn w:val="1"/>
    <w:qFormat/>
    <w:uiPriority w:val="0"/>
    <w:pPr>
      <w:autoSpaceDE w:val="0"/>
      <w:autoSpaceDN w:val="0"/>
      <w:adjustRightInd w:val="0"/>
      <w:spacing w:line="360" w:lineRule="auto"/>
      <w:ind w:right="100" w:rightChars="100"/>
      <w:jc w:val="center"/>
    </w:pPr>
    <w:rPr>
      <w:rFonts w:ascii="黑体" w:eastAsia="黑体"/>
      <w:b/>
      <w:bCs/>
      <w:kern w:val="0"/>
      <w:sz w:val="36"/>
      <w:szCs w:val="28"/>
    </w:rPr>
  </w:style>
  <w:style w:type="character" w:customStyle="1" w:styleId="34">
    <w:name w:val="font01"/>
    <w:basedOn w:val="13"/>
    <w:qFormat/>
    <w:uiPriority w:val="0"/>
    <w:rPr>
      <w:rFonts w:asci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Sky123.Org</Company>
  <Pages>9</Pages>
  <Words>6718</Words>
  <Characters>7546</Characters>
  <Lines>0</Lines>
  <Paragraphs>110</Paragraphs>
  <TotalTime>29</TotalTime>
  <ScaleCrop>false</ScaleCrop>
  <LinksUpToDate>false</LinksUpToDate>
  <CharactersWithSpaces>7700</CharactersWithSpaces>
  <Application>WPS Office_11.1.0.10938_F1E327BC-269C-435d-A152-05C5408002CA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2021-03-22T03:37:00Z</dcterms:created>
  <dc:creator>NTKO</dc:creator>
  <cp:lastModifiedBy>Jacky</cp:lastModifiedBy>
  <cp:lastPrinted>2020-05-12T00:43:00Z</cp:lastPrinted>
  <dcterms:modified xsi:type="dcterms:W3CDTF">2021-09-15T00:31:15Z</dcterms:modified>
  <dc:title>龙岩鼎成拍卖有限公司</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0B02B2DE4EB9444C91F9A5A058FFC9BF</vt:lpwstr>
  </property>
</Properties>
</file>