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80" w:lineRule="exact"/>
        <w:ind w:left="51"/>
        <w:jc w:val="center"/>
        <w:rPr>
          <w:rFonts w:ascii="宋体"/>
          <w:b/>
          <w:color w:val="auto"/>
          <w:sz w:val="36"/>
        </w:rPr>
      </w:pPr>
      <w:r>
        <w:rPr>
          <w:rFonts w:hint="eastAsia" w:ascii="宋体"/>
          <w:b/>
          <w:color w:val="auto"/>
          <w:sz w:val="36"/>
        </w:rPr>
        <w:t>竞价须知</w:t>
      </w:r>
    </w:p>
    <w:p>
      <w:pPr>
        <w:spacing w:line="380" w:lineRule="exact"/>
        <w:ind w:left="51"/>
        <w:jc w:val="center"/>
        <w:rPr>
          <w:rFonts w:ascii="宋体"/>
          <w:b/>
          <w:color w:val="auto"/>
          <w:szCs w:val="21"/>
        </w:rPr>
      </w:pPr>
      <w:r>
        <w:rPr>
          <w:rFonts w:hint="eastAsia" w:ascii="宋体"/>
          <w:b/>
          <w:color w:val="auto"/>
          <w:szCs w:val="21"/>
        </w:rPr>
        <w:t>（项目编号：LC20210827 ）</w:t>
      </w:r>
    </w:p>
    <w:p>
      <w:pPr>
        <w:spacing w:line="440" w:lineRule="exact"/>
        <w:ind w:left="420"/>
        <w:rPr>
          <w:rFonts w:ascii="宋体"/>
          <w:color w:val="auto"/>
          <w:sz w:val="24"/>
        </w:rPr>
      </w:pPr>
      <w:r>
        <w:rPr>
          <w:rFonts w:hint="eastAsia" w:ascii="宋体"/>
          <w:color w:val="auto"/>
          <w:sz w:val="24"/>
        </w:rPr>
        <w:t xml:space="preserve">    连城县国有资产产权交易服务有限公司（以下简称产权交易服务机构）遵循“公开、公平、公正、诚实信用”的原则，根据《中华人民共和国民法典》及相关法律、法规，针对本次竞价标的，特制定本须知，将有关的网上竞价事宜敬告各位竞价人，请竞价人详细阅读。</w:t>
      </w:r>
    </w:p>
    <w:p>
      <w:pPr>
        <w:spacing w:line="440" w:lineRule="exact"/>
        <w:ind w:firstLine="482" w:firstLineChars="200"/>
        <w:rPr>
          <w:rFonts w:ascii="宋体"/>
          <w:b/>
          <w:color w:val="auto"/>
          <w:sz w:val="24"/>
        </w:rPr>
      </w:pPr>
      <w:r>
        <w:rPr>
          <w:rFonts w:hint="eastAsia" w:ascii="宋体"/>
          <w:b/>
          <w:color w:val="auto"/>
          <w:sz w:val="24"/>
        </w:rPr>
        <w:t>一、公开竞价、报名、时间、地点：</w:t>
      </w:r>
    </w:p>
    <w:p>
      <w:pPr>
        <w:spacing w:line="440" w:lineRule="exact"/>
        <w:ind w:left="420"/>
        <w:rPr>
          <w:rFonts w:ascii="宋体" w:cs="宋体"/>
          <w:b/>
          <w:bCs/>
          <w:color w:val="auto"/>
          <w:kern w:val="0"/>
          <w:sz w:val="24"/>
        </w:rPr>
      </w:pPr>
      <w:r>
        <w:rPr>
          <w:rFonts w:hint="eastAsia" w:ascii="宋体"/>
          <w:b/>
          <w:bCs/>
          <w:color w:val="auto"/>
          <w:sz w:val="24"/>
        </w:rPr>
        <w:t>竞价时间：2021年8月27日9:30至9:50止</w:t>
      </w:r>
    </w:p>
    <w:p>
      <w:pPr>
        <w:widowControl/>
        <w:shd w:val="clear" w:color="auto" w:fill="FFFFFF"/>
        <w:spacing w:line="440" w:lineRule="exact"/>
        <w:ind w:firstLine="426"/>
        <w:rPr>
          <w:rFonts w:ascii="宋体" w:cs="宋体"/>
          <w:b/>
          <w:bCs/>
          <w:color w:val="auto"/>
          <w:kern w:val="0"/>
          <w:sz w:val="24"/>
        </w:rPr>
      </w:pPr>
      <w:r>
        <w:rPr>
          <w:rFonts w:hint="eastAsia" w:ascii="宋体" w:cs="宋体"/>
          <w:b/>
          <w:bCs/>
          <w:color w:val="auto"/>
          <w:kern w:val="0"/>
          <w:sz w:val="24"/>
        </w:rPr>
        <w:t>优先权人（即原承租人，下同）行使优先权时间：本场竞价招租标的无优先权人</w:t>
      </w:r>
    </w:p>
    <w:p>
      <w:pPr>
        <w:widowControl/>
        <w:shd w:val="clear" w:color="auto" w:fill="FFFFFF"/>
        <w:spacing w:line="440" w:lineRule="exact"/>
        <w:ind w:firstLine="401"/>
        <w:rPr>
          <w:rFonts w:ascii="宋体"/>
          <w:color w:val="auto"/>
          <w:sz w:val="24"/>
        </w:rPr>
      </w:pPr>
      <w:r>
        <w:rPr>
          <w:rFonts w:hint="eastAsia" w:ascii="宋体"/>
          <w:color w:val="auto"/>
          <w:sz w:val="24"/>
        </w:rPr>
        <w:t>竞价地点：</w:t>
      </w:r>
      <w:r>
        <w:rPr>
          <w:rFonts w:hint="eastAsia" w:ascii="宋体" w:cs="宋体"/>
          <w:bCs/>
          <w:color w:val="auto"/>
          <w:kern w:val="0"/>
          <w:sz w:val="24"/>
        </w:rPr>
        <w:t>权益云交易平台（网址：</w:t>
      </w:r>
      <w:r>
        <w:rPr>
          <w:rFonts w:hint="eastAsia" w:ascii="宋体" w:cs="宋体"/>
          <w:bCs/>
          <w:color w:val="auto"/>
          <w:kern w:val="0"/>
          <w:sz w:val="24"/>
        </w:rPr>
        <w:fldChar w:fldCharType="begin"/>
      </w:r>
      <w:r>
        <w:rPr>
          <w:color w:val="auto"/>
        </w:rPr>
        <w:instrText xml:space="preserve">HYPERLINK "https://www.unibid.cn/"</w:instrText>
      </w:r>
      <w:r>
        <w:rPr>
          <w:rFonts w:hint="eastAsia" w:ascii="宋体" w:cs="宋体"/>
          <w:bCs/>
          <w:color w:val="auto"/>
          <w:kern w:val="0"/>
          <w:sz w:val="24"/>
        </w:rPr>
        <w:fldChar w:fldCharType="separate"/>
      </w:r>
      <w:r>
        <w:rPr>
          <w:rFonts w:hint="eastAsia" w:ascii="宋体" w:cs="宋体"/>
          <w:bCs/>
          <w:color w:val="auto"/>
          <w:kern w:val="0"/>
          <w:sz w:val="24"/>
        </w:rPr>
        <w:t>https://www.unibid.cn/</w:t>
      </w:r>
      <w:r>
        <w:rPr>
          <w:rFonts w:hint="eastAsia" w:ascii="宋体" w:cs="宋体"/>
          <w:bCs/>
          <w:color w:val="auto"/>
          <w:kern w:val="0"/>
          <w:sz w:val="24"/>
        </w:rPr>
        <w:fldChar w:fldCharType="end"/>
      </w:r>
      <w:r>
        <w:rPr>
          <w:rFonts w:hint="eastAsia" w:ascii="宋体" w:cs="宋体"/>
          <w:bCs/>
          <w:color w:val="auto"/>
          <w:kern w:val="0"/>
          <w:sz w:val="24"/>
        </w:rPr>
        <w:t>)</w:t>
      </w:r>
    </w:p>
    <w:p>
      <w:pPr>
        <w:spacing w:line="440" w:lineRule="exact"/>
        <w:ind w:left="420"/>
        <w:rPr>
          <w:rFonts w:ascii="宋体"/>
          <w:color w:val="auto"/>
          <w:sz w:val="24"/>
        </w:rPr>
      </w:pPr>
      <w:r>
        <w:rPr>
          <w:rFonts w:hint="eastAsia" w:ascii="宋体"/>
          <w:color w:val="auto"/>
          <w:sz w:val="24"/>
        </w:rPr>
        <w:t>报名及交竞价保证金截止时间：2021年8月26日17时(以保证金到账为准)</w:t>
      </w:r>
    </w:p>
    <w:p>
      <w:pPr>
        <w:spacing w:line="440" w:lineRule="exact"/>
        <w:ind w:left="420"/>
        <w:rPr>
          <w:rFonts w:ascii="宋体"/>
          <w:color w:val="auto"/>
          <w:sz w:val="24"/>
        </w:rPr>
      </w:pPr>
      <w:r>
        <w:rPr>
          <w:rFonts w:hint="eastAsia" w:ascii="宋体"/>
          <w:color w:val="auto"/>
          <w:sz w:val="24"/>
        </w:rPr>
        <w:t>报名地点：龙岩市连城县北大东路1号</w:t>
      </w:r>
      <w:r>
        <w:rPr>
          <w:rFonts w:hint="eastAsia" w:ascii="宋体" w:cs="宋体"/>
          <w:color w:val="auto"/>
          <w:sz w:val="24"/>
        </w:rPr>
        <w:t>（连城县农业银行7楼）</w:t>
      </w:r>
      <w:bookmarkStart w:id="0" w:name="_GoBack"/>
      <w:bookmarkEnd w:id="0"/>
    </w:p>
    <w:p>
      <w:pPr>
        <w:spacing w:line="380" w:lineRule="exact"/>
        <w:ind w:firstLine="480" w:firstLineChars="200"/>
        <w:rPr>
          <w:rFonts w:ascii="宋体" w:cs="宋体"/>
          <w:b/>
          <w:bCs/>
          <w:color w:val="auto"/>
          <w:sz w:val="24"/>
        </w:rPr>
      </w:pPr>
      <w:r>
        <w:rPr>
          <w:rFonts w:hint="eastAsia" w:ascii="宋体" w:cs="宋体"/>
          <w:color w:val="auto"/>
          <w:sz w:val="24"/>
        </w:rPr>
        <w:t>看样时间：2021年8月24--25 日（预约看样）</w:t>
      </w:r>
    </w:p>
    <w:p>
      <w:pPr>
        <w:spacing w:line="380" w:lineRule="exact"/>
        <w:ind w:firstLine="480" w:firstLineChars="200"/>
        <w:rPr>
          <w:rFonts w:ascii="宋体" w:cs="宋体"/>
          <w:color w:val="auto"/>
          <w:sz w:val="24"/>
        </w:rPr>
      </w:pPr>
      <w:r>
        <w:rPr>
          <w:rFonts w:hint="eastAsia" w:ascii="宋体" w:cs="宋体"/>
          <w:color w:val="auto"/>
          <w:sz w:val="24"/>
        </w:rPr>
        <w:t>看样地点：标的所在地</w:t>
      </w:r>
    </w:p>
    <w:p>
      <w:pPr>
        <w:spacing w:line="440" w:lineRule="exact"/>
        <w:ind w:left="420"/>
        <w:rPr>
          <w:rFonts w:ascii="宋体" w:cs="宋体"/>
          <w:color w:val="auto"/>
          <w:sz w:val="24"/>
        </w:rPr>
      </w:pPr>
      <w:r>
        <w:rPr>
          <w:rFonts w:hint="eastAsia" w:ascii="宋体"/>
          <w:color w:val="auto"/>
          <w:sz w:val="24"/>
        </w:rPr>
        <w:t>联系电话：</w:t>
      </w:r>
      <w:r>
        <w:rPr>
          <w:rFonts w:hint="eastAsia" w:ascii="宋体" w:cs="宋体"/>
          <w:color w:val="auto"/>
          <w:sz w:val="24"/>
        </w:rPr>
        <w:t>0597-8911670   联系人：江女士</w:t>
      </w:r>
    </w:p>
    <w:p>
      <w:pPr>
        <w:numPr>
          <w:ilvl w:val="0"/>
          <w:numId w:val="1"/>
        </w:numPr>
        <w:spacing w:line="440" w:lineRule="exact"/>
        <w:ind w:left="420"/>
        <w:rPr>
          <w:rFonts w:ascii="宋体"/>
          <w:color w:val="auto"/>
          <w:sz w:val="24"/>
        </w:rPr>
      </w:pPr>
      <w:r>
        <w:rPr>
          <w:rFonts w:hint="eastAsia" w:ascii="宋体"/>
          <w:b/>
          <w:color w:val="auto"/>
          <w:sz w:val="24"/>
        </w:rPr>
        <w:t>竞价标的：</w:t>
      </w:r>
      <w:r>
        <w:rPr>
          <w:rFonts w:hint="eastAsia" w:ascii="宋体"/>
          <w:bCs/>
          <w:color w:val="auto"/>
          <w:sz w:val="24"/>
        </w:rPr>
        <w:t>连城县北大中路、福莲大厦、莲中北路、李彭村豸峰街、莲冠大道、北大东路、莲中南路等33处房产三年租赁权（</w:t>
      </w:r>
      <w:r>
        <w:rPr>
          <w:rFonts w:hint="eastAsia" w:ascii="宋体"/>
          <w:color w:val="auto"/>
          <w:sz w:val="24"/>
        </w:rPr>
        <w:t>详见《竞价招租清单》）</w:t>
      </w:r>
    </w:p>
    <w:p>
      <w:pPr>
        <w:spacing w:line="440" w:lineRule="exact"/>
        <w:ind w:left="50" w:firstLine="361" w:firstLineChars="150"/>
        <w:jc w:val="center"/>
        <w:rPr>
          <w:rFonts w:ascii="宋体" w:cs="宋体"/>
          <w:color w:val="auto"/>
          <w:sz w:val="24"/>
        </w:rPr>
      </w:pPr>
      <w:r>
        <w:rPr>
          <w:rFonts w:hint="eastAsia" w:ascii="宋体" w:cs="宋体"/>
          <w:b/>
          <w:bCs/>
          <w:color w:val="auto"/>
          <w:sz w:val="24"/>
        </w:rPr>
        <w:t>竞价招租清单（项目编号：LC20210827）</w:t>
      </w:r>
    </w:p>
    <w:tbl>
      <w:tblPr>
        <w:tblStyle w:val="12"/>
        <w:tblW w:w="49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3215"/>
        <w:gridCol w:w="1273"/>
        <w:gridCol w:w="1665"/>
        <w:gridCol w:w="1471"/>
        <w:gridCol w:w="1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exact"/>
          <w:tblHeader/>
          <w:jc w:val="center"/>
        </w:trPr>
        <w:tc>
          <w:tcPr>
            <w:tcW w:w="420" w:type="pct"/>
            <w:vAlign w:val="center"/>
          </w:tcPr>
          <w:p>
            <w:pPr>
              <w:spacing w:line="260" w:lineRule="exact"/>
              <w:jc w:val="center"/>
              <w:rPr>
                <w:rFonts w:ascii="宋体" w:cs="宋体"/>
                <w:color w:val="auto"/>
                <w:sz w:val="24"/>
              </w:rPr>
            </w:pPr>
            <w:r>
              <w:rPr>
                <w:rFonts w:hint="eastAsia" w:ascii="宋体" w:cs="宋体"/>
                <w:color w:val="auto"/>
                <w:sz w:val="24"/>
              </w:rPr>
              <w:t>序号</w:t>
            </w:r>
          </w:p>
        </w:tc>
        <w:tc>
          <w:tcPr>
            <w:tcW w:w="1611" w:type="pct"/>
            <w:vAlign w:val="center"/>
          </w:tcPr>
          <w:p>
            <w:pPr>
              <w:spacing w:line="260" w:lineRule="exact"/>
              <w:jc w:val="center"/>
              <w:rPr>
                <w:rFonts w:ascii="宋体" w:cs="宋体"/>
                <w:color w:val="auto"/>
                <w:sz w:val="24"/>
              </w:rPr>
            </w:pPr>
            <w:r>
              <w:rPr>
                <w:rFonts w:hint="eastAsia" w:ascii="宋体" w:cs="宋体"/>
                <w:color w:val="auto"/>
                <w:sz w:val="24"/>
              </w:rPr>
              <w:t>竞价招租</w:t>
            </w:r>
          </w:p>
          <w:p>
            <w:pPr>
              <w:spacing w:line="260" w:lineRule="exact"/>
              <w:jc w:val="center"/>
              <w:rPr>
                <w:rFonts w:ascii="宋体" w:cs="宋体"/>
                <w:color w:val="auto"/>
                <w:sz w:val="24"/>
              </w:rPr>
            </w:pPr>
            <w:r>
              <w:rPr>
                <w:rFonts w:hint="eastAsia" w:ascii="宋体" w:cs="宋体"/>
                <w:color w:val="auto"/>
                <w:sz w:val="24"/>
              </w:rPr>
              <w:t>标的</w:t>
            </w:r>
          </w:p>
        </w:tc>
        <w:tc>
          <w:tcPr>
            <w:tcW w:w="638" w:type="pct"/>
            <w:vAlign w:val="center"/>
          </w:tcPr>
          <w:p>
            <w:pPr>
              <w:spacing w:line="260" w:lineRule="exact"/>
              <w:jc w:val="center"/>
              <w:rPr>
                <w:rFonts w:ascii="宋体" w:cs="宋体"/>
                <w:color w:val="auto"/>
                <w:sz w:val="24"/>
              </w:rPr>
            </w:pPr>
            <w:r>
              <w:rPr>
                <w:rFonts w:hint="eastAsia" w:ascii="宋体" w:cs="宋体"/>
                <w:color w:val="auto"/>
                <w:sz w:val="24"/>
              </w:rPr>
              <w:t>面积约</w:t>
            </w:r>
          </w:p>
          <w:p>
            <w:pPr>
              <w:spacing w:line="260" w:lineRule="exact"/>
              <w:jc w:val="center"/>
              <w:rPr>
                <w:rFonts w:ascii="宋体" w:cs="宋体"/>
                <w:color w:val="auto"/>
                <w:sz w:val="24"/>
              </w:rPr>
            </w:pPr>
            <w:r>
              <w:rPr>
                <w:rFonts w:hint="eastAsia" w:ascii="宋体" w:cs="宋体"/>
                <w:color w:val="auto"/>
                <w:sz w:val="24"/>
              </w:rPr>
              <w:t>（㎡）</w:t>
            </w:r>
          </w:p>
        </w:tc>
        <w:tc>
          <w:tcPr>
            <w:tcW w:w="834" w:type="pct"/>
            <w:vAlign w:val="center"/>
          </w:tcPr>
          <w:p>
            <w:pPr>
              <w:spacing w:line="260" w:lineRule="exact"/>
              <w:jc w:val="center"/>
              <w:rPr>
                <w:rFonts w:ascii="宋体" w:cs="宋体"/>
                <w:color w:val="auto"/>
                <w:sz w:val="24"/>
              </w:rPr>
            </w:pPr>
            <w:r>
              <w:rPr>
                <w:rFonts w:hint="eastAsia" w:ascii="宋体" w:cs="宋体"/>
                <w:color w:val="auto"/>
                <w:sz w:val="24"/>
              </w:rPr>
              <w:t>产权证号</w:t>
            </w:r>
          </w:p>
        </w:tc>
        <w:tc>
          <w:tcPr>
            <w:tcW w:w="738" w:type="pct"/>
            <w:vAlign w:val="center"/>
          </w:tcPr>
          <w:p>
            <w:pPr>
              <w:spacing w:line="260" w:lineRule="exact"/>
              <w:jc w:val="center"/>
              <w:rPr>
                <w:rFonts w:ascii="宋体" w:cs="宋体"/>
                <w:color w:val="auto"/>
                <w:sz w:val="24"/>
              </w:rPr>
            </w:pPr>
            <w:r>
              <w:rPr>
                <w:rFonts w:hint="eastAsia" w:ascii="宋体" w:cs="宋体"/>
                <w:color w:val="auto"/>
                <w:sz w:val="24"/>
              </w:rPr>
              <w:t>起始价</w:t>
            </w:r>
          </w:p>
          <w:p>
            <w:pPr>
              <w:spacing w:line="260" w:lineRule="exact"/>
              <w:jc w:val="center"/>
              <w:rPr>
                <w:rFonts w:ascii="宋体" w:cs="宋体"/>
                <w:color w:val="auto"/>
                <w:sz w:val="24"/>
              </w:rPr>
            </w:pPr>
            <w:r>
              <w:rPr>
                <w:rFonts w:hint="eastAsia" w:ascii="宋体" w:cs="宋体"/>
                <w:color w:val="auto"/>
                <w:sz w:val="24"/>
              </w:rPr>
              <w:t>（元/月）</w:t>
            </w:r>
          </w:p>
        </w:tc>
        <w:tc>
          <w:tcPr>
            <w:tcW w:w="756" w:type="pct"/>
            <w:vAlign w:val="center"/>
          </w:tcPr>
          <w:p>
            <w:pPr>
              <w:spacing w:line="260" w:lineRule="exact"/>
              <w:jc w:val="center"/>
              <w:rPr>
                <w:rFonts w:ascii="宋体" w:cs="宋体"/>
                <w:color w:val="auto"/>
                <w:sz w:val="24"/>
              </w:rPr>
            </w:pPr>
            <w:r>
              <w:rPr>
                <w:rFonts w:hint="eastAsia" w:ascii="宋体" w:cs="宋体"/>
                <w:color w:val="auto"/>
                <w:sz w:val="24"/>
              </w:rPr>
              <w:t>竞价保证金（元）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0"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1</w:t>
            </w:r>
          </w:p>
        </w:tc>
        <w:tc>
          <w:tcPr>
            <w:tcW w:w="1611"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连城县北大中路182号房产</w:t>
            </w:r>
          </w:p>
        </w:tc>
        <w:tc>
          <w:tcPr>
            <w:tcW w:w="638"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 xml:space="preserve">25.65 </w:t>
            </w:r>
          </w:p>
        </w:tc>
        <w:tc>
          <w:tcPr>
            <w:tcW w:w="834" w:type="pct"/>
            <w:vAlign w:val="center"/>
          </w:tcPr>
          <w:p>
            <w:pPr>
              <w:spacing w:line="260" w:lineRule="exact"/>
              <w:rPr>
                <w:rFonts w:ascii="宋体" w:cs="宋体"/>
                <w:color w:val="auto"/>
                <w:sz w:val="24"/>
              </w:rPr>
            </w:pPr>
          </w:p>
        </w:tc>
        <w:tc>
          <w:tcPr>
            <w:tcW w:w="738"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 xml:space="preserve">4200 </w:t>
            </w:r>
          </w:p>
        </w:tc>
        <w:tc>
          <w:tcPr>
            <w:tcW w:w="756"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0"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2</w:t>
            </w:r>
          </w:p>
        </w:tc>
        <w:tc>
          <w:tcPr>
            <w:tcW w:w="1611"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连城县北大中路166号房产</w:t>
            </w:r>
          </w:p>
        </w:tc>
        <w:tc>
          <w:tcPr>
            <w:tcW w:w="638"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 xml:space="preserve">23.04 </w:t>
            </w:r>
          </w:p>
        </w:tc>
        <w:tc>
          <w:tcPr>
            <w:tcW w:w="834" w:type="pct"/>
            <w:vAlign w:val="center"/>
          </w:tcPr>
          <w:p>
            <w:pPr>
              <w:spacing w:line="260" w:lineRule="exact"/>
              <w:rPr>
                <w:rFonts w:ascii="宋体" w:cs="宋体"/>
                <w:color w:val="auto"/>
                <w:sz w:val="24"/>
              </w:rPr>
            </w:pPr>
          </w:p>
        </w:tc>
        <w:tc>
          <w:tcPr>
            <w:tcW w:w="738"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 xml:space="preserve">4000 </w:t>
            </w:r>
          </w:p>
        </w:tc>
        <w:tc>
          <w:tcPr>
            <w:tcW w:w="756"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exact"/>
          <w:jc w:val="center"/>
        </w:trPr>
        <w:tc>
          <w:tcPr>
            <w:tcW w:w="420"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3</w:t>
            </w:r>
          </w:p>
        </w:tc>
        <w:tc>
          <w:tcPr>
            <w:tcW w:w="1611"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连城县福莲大厦A幢二层205号房产</w:t>
            </w:r>
          </w:p>
        </w:tc>
        <w:tc>
          <w:tcPr>
            <w:tcW w:w="638"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 xml:space="preserve">18.00 </w:t>
            </w:r>
          </w:p>
        </w:tc>
        <w:tc>
          <w:tcPr>
            <w:tcW w:w="834" w:type="pct"/>
            <w:vAlign w:val="center"/>
          </w:tcPr>
          <w:p>
            <w:pPr>
              <w:spacing w:line="260" w:lineRule="exact"/>
              <w:rPr>
                <w:rFonts w:ascii="宋体" w:cs="宋体"/>
                <w:color w:val="auto"/>
                <w:sz w:val="24"/>
              </w:rPr>
            </w:pPr>
          </w:p>
        </w:tc>
        <w:tc>
          <w:tcPr>
            <w:tcW w:w="738"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 xml:space="preserve">500 </w:t>
            </w:r>
          </w:p>
        </w:tc>
        <w:tc>
          <w:tcPr>
            <w:tcW w:w="756"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0"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4</w:t>
            </w:r>
          </w:p>
        </w:tc>
        <w:tc>
          <w:tcPr>
            <w:tcW w:w="1611"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连城县莲中北路1-67号</w:t>
            </w:r>
          </w:p>
        </w:tc>
        <w:tc>
          <w:tcPr>
            <w:tcW w:w="638"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61.77</w:t>
            </w:r>
          </w:p>
        </w:tc>
        <w:tc>
          <w:tcPr>
            <w:tcW w:w="834" w:type="pct"/>
            <w:vAlign w:val="center"/>
          </w:tcPr>
          <w:p>
            <w:pPr>
              <w:spacing w:line="260" w:lineRule="exact"/>
              <w:rPr>
                <w:rFonts w:ascii="宋体" w:cs="宋体"/>
                <w:color w:val="auto"/>
                <w:sz w:val="24"/>
              </w:rPr>
            </w:pPr>
          </w:p>
        </w:tc>
        <w:tc>
          <w:tcPr>
            <w:tcW w:w="738"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2162</w:t>
            </w:r>
          </w:p>
        </w:tc>
        <w:tc>
          <w:tcPr>
            <w:tcW w:w="756"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0"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5</w:t>
            </w:r>
          </w:p>
        </w:tc>
        <w:tc>
          <w:tcPr>
            <w:tcW w:w="1611"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连城县莲中北路1-69号</w:t>
            </w:r>
          </w:p>
        </w:tc>
        <w:tc>
          <w:tcPr>
            <w:tcW w:w="638"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55.24</w:t>
            </w:r>
          </w:p>
        </w:tc>
        <w:tc>
          <w:tcPr>
            <w:tcW w:w="834" w:type="pct"/>
            <w:vAlign w:val="center"/>
          </w:tcPr>
          <w:p>
            <w:pPr>
              <w:spacing w:line="260" w:lineRule="exact"/>
              <w:rPr>
                <w:rFonts w:ascii="宋体" w:cs="宋体"/>
                <w:color w:val="auto"/>
                <w:sz w:val="24"/>
              </w:rPr>
            </w:pPr>
          </w:p>
        </w:tc>
        <w:tc>
          <w:tcPr>
            <w:tcW w:w="738"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1933</w:t>
            </w:r>
          </w:p>
        </w:tc>
        <w:tc>
          <w:tcPr>
            <w:tcW w:w="756"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exact"/>
          <w:jc w:val="center"/>
        </w:trPr>
        <w:tc>
          <w:tcPr>
            <w:tcW w:w="420"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6</w:t>
            </w:r>
          </w:p>
        </w:tc>
        <w:tc>
          <w:tcPr>
            <w:tcW w:w="1611"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连城县莲峰镇李彭村豸峰街1幢1号（现门牌彭坊桥路1-2号）</w:t>
            </w:r>
          </w:p>
        </w:tc>
        <w:tc>
          <w:tcPr>
            <w:tcW w:w="638"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25.97</w:t>
            </w:r>
          </w:p>
        </w:tc>
        <w:tc>
          <w:tcPr>
            <w:tcW w:w="834"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连房证字第20100894号</w:t>
            </w:r>
          </w:p>
        </w:tc>
        <w:tc>
          <w:tcPr>
            <w:tcW w:w="738"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1195</w:t>
            </w:r>
          </w:p>
        </w:tc>
        <w:tc>
          <w:tcPr>
            <w:tcW w:w="756"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exact"/>
          <w:jc w:val="center"/>
        </w:trPr>
        <w:tc>
          <w:tcPr>
            <w:tcW w:w="420"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7</w:t>
            </w:r>
          </w:p>
        </w:tc>
        <w:tc>
          <w:tcPr>
            <w:tcW w:w="1611"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连城县莲峰镇李彭村豸峰街1幢1号（现门牌彭坊桥路1-7号）</w:t>
            </w:r>
          </w:p>
        </w:tc>
        <w:tc>
          <w:tcPr>
            <w:tcW w:w="638"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51.96</w:t>
            </w:r>
          </w:p>
        </w:tc>
        <w:tc>
          <w:tcPr>
            <w:tcW w:w="834"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连房证字第20100894号</w:t>
            </w:r>
          </w:p>
        </w:tc>
        <w:tc>
          <w:tcPr>
            <w:tcW w:w="738"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2598</w:t>
            </w:r>
          </w:p>
        </w:tc>
        <w:tc>
          <w:tcPr>
            <w:tcW w:w="756"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420"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8</w:t>
            </w:r>
          </w:p>
        </w:tc>
        <w:tc>
          <w:tcPr>
            <w:tcW w:w="1611"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连城县莲峰镇李彭村豸峰街1幢1号（现门牌彭坊桥路1-8号）</w:t>
            </w:r>
          </w:p>
        </w:tc>
        <w:tc>
          <w:tcPr>
            <w:tcW w:w="638"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 xml:space="preserve">50.00 </w:t>
            </w:r>
          </w:p>
        </w:tc>
        <w:tc>
          <w:tcPr>
            <w:tcW w:w="834"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连房证字第20100894号</w:t>
            </w:r>
          </w:p>
        </w:tc>
        <w:tc>
          <w:tcPr>
            <w:tcW w:w="738"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2500</w:t>
            </w:r>
          </w:p>
        </w:tc>
        <w:tc>
          <w:tcPr>
            <w:tcW w:w="756"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exact"/>
          <w:jc w:val="center"/>
        </w:trPr>
        <w:tc>
          <w:tcPr>
            <w:tcW w:w="420"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9</w:t>
            </w:r>
          </w:p>
        </w:tc>
        <w:tc>
          <w:tcPr>
            <w:tcW w:w="1611"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连城县莲峰镇李彭村豸峰街1幢1号（现门牌彭坊桥路1-11号）</w:t>
            </w:r>
          </w:p>
        </w:tc>
        <w:tc>
          <w:tcPr>
            <w:tcW w:w="638"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49.38</w:t>
            </w:r>
          </w:p>
        </w:tc>
        <w:tc>
          <w:tcPr>
            <w:tcW w:w="834"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连房证字第20100894号</w:t>
            </w:r>
          </w:p>
        </w:tc>
        <w:tc>
          <w:tcPr>
            <w:tcW w:w="738"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2469</w:t>
            </w:r>
          </w:p>
        </w:tc>
        <w:tc>
          <w:tcPr>
            <w:tcW w:w="756"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exact"/>
          <w:jc w:val="center"/>
        </w:trPr>
        <w:tc>
          <w:tcPr>
            <w:tcW w:w="420"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10</w:t>
            </w:r>
          </w:p>
        </w:tc>
        <w:tc>
          <w:tcPr>
            <w:tcW w:w="1611"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连城县莲峰镇李彭村豸峰街1幢1号（现门牌彭坊桥路1-12号）</w:t>
            </w:r>
          </w:p>
        </w:tc>
        <w:tc>
          <w:tcPr>
            <w:tcW w:w="638"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51.17</w:t>
            </w:r>
          </w:p>
        </w:tc>
        <w:tc>
          <w:tcPr>
            <w:tcW w:w="834"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连房证字第20100894号</w:t>
            </w:r>
          </w:p>
        </w:tc>
        <w:tc>
          <w:tcPr>
            <w:tcW w:w="738"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2559</w:t>
            </w:r>
          </w:p>
        </w:tc>
        <w:tc>
          <w:tcPr>
            <w:tcW w:w="756"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0"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11</w:t>
            </w:r>
          </w:p>
        </w:tc>
        <w:tc>
          <w:tcPr>
            <w:tcW w:w="1611"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连城县莲冠大道2-126</w:t>
            </w:r>
          </w:p>
        </w:tc>
        <w:tc>
          <w:tcPr>
            <w:tcW w:w="638"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63.88</w:t>
            </w:r>
          </w:p>
        </w:tc>
        <w:tc>
          <w:tcPr>
            <w:tcW w:w="834" w:type="pct"/>
            <w:vAlign w:val="center"/>
          </w:tcPr>
          <w:p>
            <w:pPr>
              <w:spacing w:line="260" w:lineRule="exact"/>
              <w:rPr>
                <w:rFonts w:ascii="宋体" w:cs="宋体"/>
                <w:color w:val="auto"/>
                <w:sz w:val="24"/>
              </w:rPr>
            </w:pPr>
          </w:p>
        </w:tc>
        <w:tc>
          <w:tcPr>
            <w:tcW w:w="738"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511</w:t>
            </w:r>
          </w:p>
        </w:tc>
        <w:tc>
          <w:tcPr>
            <w:tcW w:w="756"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0"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12</w:t>
            </w:r>
          </w:p>
        </w:tc>
        <w:tc>
          <w:tcPr>
            <w:tcW w:w="1611" w:type="pct"/>
            <w:vAlign w:val="center"/>
          </w:tcPr>
          <w:p>
            <w:pPr>
              <w:widowControl/>
              <w:spacing w:line="260" w:lineRule="exact"/>
              <w:jc w:val="center"/>
              <w:textAlignment w:val="center"/>
              <w:rPr>
                <w:rFonts w:ascii="宋体" w:cs="宋体"/>
                <w:color w:val="auto"/>
                <w:sz w:val="24"/>
              </w:rPr>
            </w:pPr>
            <w:r>
              <w:rPr>
                <w:rStyle w:val="34"/>
                <w:color w:val="auto"/>
                <w:sz w:val="24"/>
                <w:szCs w:val="24"/>
              </w:rPr>
              <w:t>连城县莲冠大道2-92、93、94</w:t>
            </w:r>
          </w:p>
        </w:tc>
        <w:tc>
          <w:tcPr>
            <w:tcW w:w="638"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95.17</w:t>
            </w:r>
          </w:p>
        </w:tc>
        <w:tc>
          <w:tcPr>
            <w:tcW w:w="834" w:type="pct"/>
            <w:vAlign w:val="center"/>
          </w:tcPr>
          <w:p>
            <w:pPr>
              <w:spacing w:line="260" w:lineRule="exact"/>
              <w:rPr>
                <w:rFonts w:ascii="宋体" w:cs="宋体"/>
                <w:color w:val="auto"/>
                <w:sz w:val="24"/>
              </w:rPr>
            </w:pPr>
          </w:p>
        </w:tc>
        <w:tc>
          <w:tcPr>
            <w:tcW w:w="738"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571</w:t>
            </w:r>
          </w:p>
        </w:tc>
        <w:tc>
          <w:tcPr>
            <w:tcW w:w="756"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0"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13</w:t>
            </w:r>
          </w:p>
        </w:tc>
        <w:tc>
          <w:tcPr>
            <w:tcW w:w="1611"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连城县莲冠大道2-95、96</w:t>
            </w:r>
          </w:p>
        </w:tc>
        <w:tc>
          <w:tcPr>
            <w:tcW w:w="638"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83.91</w:t>
            </w:r>
          </w:p>
        </w:tc>
        <w:tc>
          <w:tcPr>
            <w:tcW w:w="834" w:type="pct"/>
            <w:vAlign w:val="center"/>
          </w:tcPr>
          <w:p>
            <w:pPr>
              <w:spacing w:line="260" w:lineRule="exact"/>
              <w:rPr>
                <w:rFonts w:ascii="宋体" w:cs="宋体"/>
                <w:color w:val="auto"/>
                <w:sz w:val="24"/>
              </w:rPr>
            </w:pPr>
          </w:p>
        </w:tc>
        <w:tc>
          <w:tcPr>
            <w:tcW w:w="738"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503</w:t>
            </w:r>
          </w:p>
        </w:tc>
        <w:tc>
          <w:tcPr>
            <w:tcW w:w="756"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0"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14</w:t>
            </w:r>
          </w:p>
        </w:tc>
        <w:tc>
          <w:tcPr>
            <w:tcW w:w="1611"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连城县莲冠大道2-97、98</w:t>
            </w:r>
          </w:p>
        </w:tc>
        <w:tc>
          <w:tcPr>
            <w:tcW w:w="638"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56.48</w:t>
            </w:r>
          </w:p>
        </w:tc>
        <w:tc>
          <w:tcPr>
            <w:tcW w:w="834" w:type="pct"/>
            <w:vAlign w:val="center"/>
          </w:tcPr>
          <w:p>
            <w:pPr>
              <w:spacing w:line="260" w:lineRule="exact"/>
              <w:rPr>
                <w:rFonts w:ascii="宋体" w:cs="宋体"/>
                <w:color w:val="auto"/>
                <w:sz w:val="24"/>
              </w:rPr>
            </w:pPr>
          </w:p>
        </w:tc>
        <w:tc>
          <w:tcPr>
            <w:tcW w:w="738"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339</w:t>
            </w:r>
          </w:p>
        </w:tc>
        <w:tc>
          <w:tcPr>
            <w:tcW w:w="756"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0"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15</w:t>
            </w:r>
          </w:p>
        </w:tc>
        <w:tc>
          <w:tcPr>
            <w:tcW w:w="1611"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连城县莲冠大道2-99、100</w:t>
            </w:r>
          </w:p>
        </w:tc>
        <w:tc>
          <w:tcPr>
            <w:tcW w:w="638"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83.91</w:t>
            </w:r>
          </w:p>
        </w:tc>
        <w:tc>
          <w:tcPr>
            <w:tcW w:w="834" w:type="pct"/>
            <w:vAlign w:val="center"/>
          </w:tcPr>
          <w:p>
            <w:pPr>
              <w:spacing w:line="260" w:lineRule="exact"/>
              <w:rPr>
                <w:rFonts w:ascii="宋体" w:cs="宋体"/>
                <w:color w:val="auto"/>
                <w:sz w:val="24"/>
              </w:rPr>
            </w:pPr>
          </w:p>
        </w:tc>
        <w:tc>
          <w:tcPr>
            <w:tcW w:w="738"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503</w:t>
            </w:r>
          </w:p>
        </w:tc>
        <w:tc>
          <w:tcPr>
            <w:tcW w:w="756"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0"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16</w:t>
            </w:r>
          </w:p>
        </w:tc>
        <w:tc>
          <w:tcPr>
            <w:tcW w:w="1611"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连城县莲冠大道2-101、102</w:t>
            </w:r>
          </w:p>
        </w:tc>
        <w:tc>
          <w:tcPr>
            <w:tcW w:w="638"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83.91</w:t>
            </w:r>
          </w:p>
        </w:tc>
        <w:tc>
          <w:tcPr>
            <w:tcW w:w="834" w:type="pct"/>
            <w:vAlign w:val="center"/>
          </w:tcPr>
          <w:p>
            <w:pPr>
              <w:spacing w:line="260" w:lineRule="exact"/>
              <w:rPr>
                <w:rFonts w:ascii="宋体" w:cs="宋体"/>
                <w:color w:val="auto"/>
                <w:sz w:val="24"/>
              </w:rPr>
            </w:pPr>
          </w:p>
        </w:tc>
        <w:tc>
          <w:tcPr>
            <w:tcW w:w="738"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503</w:t>
            </w:r>
          </w:p>
        </w:tc>
        <w:tc>
          <w:tcPr>
            <w:tcW w:w="756"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0"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17</w:t>
            </w:r>
          </w:p>
        </w:tc>
        <w:tc>
          <w:tcPr>
            <w:tcW w:w="1611"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连城县莲冠大道2-103、104</w:t>
            </w:r>
          </w:p>
        </w:tc>
        <w:tc>
          <w:tcPr>
            <w:tcW w:w="638"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83.91</w:t>
            </w:r>
          </w:p>
        </w:tc>
        <w:tc>
          <w:tcPr>
            <w:tcW w:w="834" w:type="pct"/>
            <w:vAlign w:val="center"/>
          </w:tcPr>
          <w:p>
            <w:pPr>
              <w:spacing w:line="260" w:lineRule="exact"/>
              <w:rPr>
                <w:rFonts w:ascii="宋体" w:cs="宋体"/>
                <w:color w:val="auto"/>
                <w:sz w:val="24"/>
              </w:rPr>
            </w:pPr>
          </w:p>
        </w:tc>
        <w:tc>
          <w:tcPr>
            <w:tcW w:w="738"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503</w:t>
            </w:r>
          </w:p>
        </w:tc>
        <w:tc>
          <w:tcPr>
            <w:tcW w:w="756"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0"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18</w:t>
            </w:r>
          </w:p>
        </w:tc>
        <w:tc>
          <w:tcPr>
            <w:tcW w:w="1611"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连城县莲冠大道2-106、107</w:t>
            </w:r>
          </w:p>
        </w:tc>
        <w:tc>
          <w:tcPr>
            <w:tcW w:w="638"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83.91</w:t>
            </w:r>
          </w:p>
        </w:tc>
        <w:tc>
          <w:tcPr>
            <w:tcW w:w="834" w:type="pct"/>
            <w:vAlign w:val="center"/>
          </w:tcPr>
          <w:p>
            <w:pPr>
              <w:spacing w:line="260" w:lineRule="exact"/>
              <w:rPr>
                <w:rFonts w:ascii="宋体" w:cs="宋体"/>
                <w:color w:val="auto"/>
                <w:sz w:val="24"/>
              </w:rPr>
            </w:pPr>
          </w:p>
        </w:tc>
        <w:tc>
          <w:tcPr>
            <w:tcW w:w="738"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503</w:t>
            </w:r>
          </w:p>
        </w:tc>
        <w:tc>
          <w:tcPr>
            <w:tcW w:w="756"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0"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19</w:t>
            </w:r>
          </w:p>
        </w:tc>
        <w:tc>
          <w:tcPr>
            <w:tcW w:w="1611"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连城县莲冠大道2-168</w:t>
            </w:r>
          </w:p>
        </w:tc>
        <w:tc>
          <w:tcPr>
            <w:tcW w:w="638"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55.53</w:t>
            </w:r>
          </w:p>
        </w:tc>
        <w:tc>
          <w:tcPr>
            <w:tcW w:w="834" w:type="pct"/>
            <w:vAlign w:val="center"/>
          </w:tcPr>
          <w:p>
            <w:pPr>
              <w:spacing w:line="260" w:lineRule="exact"/>
              <w:rPr>
                <w:rFonts w:ascii="宋体" w:cs="宋体"/>
                <w:color w:val="auto"/>
                <w:sz w:val="24"/>
              </w:rPr>
            </w:pPr>
          </w:p>
        </w:tc>
        <w:tc>
          <w:tcPr>
            <w:tcW w:w="738"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444</w:t>
            </w:r>
          </w:p>
        </w:tc>
        <w:tc>
          <w:tcPr>
            <w:tcW w:w="756"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0"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20</w:t>
            </w:r>
          </w:p>
        </w:tc>
        <w:tc>
          <w:tcPr>
            <w:tcW w:w="1611"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连城县莲冠大道2-171</w:t>
            </w:r>
          </w:p>
        </w:tc>
        <w:tc>
          <w:tcPr>
            <w:tcW w:w="638"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55.53</w:t>
            </w:r>
          </w:p>
        </w:tc>
        <w:tc>
          <w:tcPr>
            <w:tcW w:w="834" w:type="pct"/>
            <w:vAlign w:val="center"/>
          </w:tcPr>
          <w:p>
            <w:pPr>
              <w:spacing w:line="260" w:lineRule="exact"/>
              <w:rPr>
                <w:rFonts w:ascii="宋体" w:cs="宋体"/>
                <w:color w:val="auto"/>
                <w:sz w:val="24"/>
              </w:rPr>
            </w:pPr>
          </w:p>
        </w:tc>
        <w:tc>
          <w:tcPr>
            <w:tcW w:w="738"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444</w:t>
            </w:r>
          </w:p>
        </w:tc>
        <w:tc>
          <w:tcPr>
            <w:tcW w:w="756"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0"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21</w:t>
            </w:r>
          </w:p>
        </w:tc>
        <w:tc>
          <w:tcPr>
            <w:tcW w:w="1611"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连城县莲冠大道2-177</w:t>
            </w:r>
          </w:p>
        </w:tc>
        <w:tc>
          <w:tcPr>
            <w:tcW w:w="638"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61.78</w:t>
            </w:r>
          </w:p>
        </w:tc>
        <w:tc>
          <w:tcPr>
            <w:tcW w:w="834" w:type="pct"/>
            <w:vAlign w:val="center"/>
          </w:tcPr>
          <w:p>
            <w:pPr>
              <w:spacing w:line="260" w:lineRule="exact"/>
              <w:rPr>
                <w:rFonts w:ascii="宋体" w:cs="宋体"/>
                <w:color w:val="auto"/>
                <w:sz w:val="24"/>
              </w:rPr>
            </w:pPr>
          </w:p>
        </w:tc>
        <w:tc>
          <w:tcPr>
            <w:tcW w:w="738"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494</w:t>
            </w:r>
          </w:p>
        </w:tc>
        <w:tc>
          <w:tcPr>
            <w:tcW w:w="756"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0"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22</w:t>
            </w:r>
          </w:p>
        </w:tc>
        <w:tc>
          <w:tcPr>
            <w:tcW w:w="1611"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连城县莲冠大道2-178</w:t>
            </w:r>
          </w:p>
        </w:tc>
        <w:tc>
          <w:tcPr>
            <w:tcW w:w="638"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73.74</w:t>
            </w:r>
          </w:p>
        </w:tc>
        <w:tc>
          <w:tcPr>
            <w:tcW w:w="834" w:type="pct"/>
            <w:vAlign w:val="center"/>
          </w:tcPr>
          <w:p>
            <w:pPr>
              <w:spacing w:line="260" w:lineRule="exact"/>
              <w:rPr>
                <w:rFonts w:ascii="宋体" w:cs="宋体"/>
                <w:color w:val="auto"/>
                <w:sz w:val="24"/>
              </w:rPr>
            </w:pPr>
          </w:p>
        </w:tc>
        <w:tc>
          <w:tcPr>
            <w:tcW w:w="738"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590</w:t>
            </w:r>
          </w:p>
        </w:tc>
        <w:tc>
          <w:tcPr>
            <w:tcW w:w="756"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0"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23</w:t>
            </w:r>
          </w:p>
        </w:tc>
        <w:tc>
          <w:tcPr>
            <w:tcW w:w="1611"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连城县莲冠大道2-157</w:t>
            </w:r>
          </w:p>
        </w:tc>
        <w:tc>
          <w:tcPr>
            <w:tcW w:w="638"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 xml:space="preserve">55.74 </w:t>
            </w:r>
          </w:p>
        </w:tc>
        <w:tc>
          <w:tcPr>
            <w:tcW w:w="834" w:type="pct"/>
            <w:vAlign w:val="center"/>
          </w:tcPr>
          <w:p>
            <w:pPr>
              <w:spacing w:line="260" w:lineRule="exact"/>
              <w:rPr>
                <w:rFonts w:ascii="宋体" w:cs="宋体"/>
                <w:color w:val="auto"/>
                <w:sz w:val="24"/>
              </w:rPr>
            </w:pPr>
          </w:p>
        </w:tc>
        <w:tc>
          <w:tcPr>
            <w:tcW w:w="738"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446</w:t>
            </w:r>
          </w:p>
        </w:tc>
        <w:tc>
          <w:tcPr>
            <w:tcW w:w="756"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0"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24</w:t>
            </w:r>
          </w:p>
        </w:tc>
        <w:tc>
          <w:tcPr>
            <w:tcW w:w="1611"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连城县莲冠大道2-162</w:t>
            </w:r>
          </w:p>
        </w:tc>
        <w:tc>
          <w:tcPr>
            <w:tcW w:w="638"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 xml:space="preserve">55.74 </w:t>
            </w:r>
          </w:p>
        </w:tc>
        <w:tc>
          <w:tcPr>
            <w:tcW w:w="834" w:type="pct"/>
            <w:vAlign w:val="center"/>
          </w:tcPr>
          <w:p>
            <w:pPr>
              <w:spacing w:line="260" w:lineRule="exact"/>
              <w:rPr>
                <w:rFonts w:ascii="宋体" w:cs="宋体"/>
                <w:color w:val="auto"/>
                <w:sz w:val="24"/>
              </w:rPr>
            </w:pPr>
          </w:p>
        </w:tc>
        <w:tc>
          <w:tcPr>
            <w:tcW w:w="738"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446</w:t>
            </w:r>
          </w:p>
        </w:tc>
        <w:tc>
          <w:tcPr>
            <w:tcW w:w="756"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0"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25</w:t>
            </w:r>
          </w:p>
        </w:tc>
        <w:tc>
          <w:tcPr>
            <w:tcW w:w="1611"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连城县莲冠大道2-165</w:t>
            </w:r>
          </w:p>
        </w:tc>
        <w:tc>
          <w:tcPr>
            <w:tcW w:w="638"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 xml:space="preserve">55.74 </w:t>
            </w:r>
          </w:p>
        </w:tc>
        <w:tc>
          <w:tcPr>
            <w:tcW w:w="834" w:type="pct"/>
            <w:vAlign w:val="center"/>
          </w:tcPr>
          <w:p>
            <w:pPr>
              <w:spacing w:line="260" w:lineRule="exact"/>
              <w:rPr>
                <w:rFonts w:ascii="宋体" w:cs="宋体"/>
                <w:color w:val="auto"/>
                <w:sz w:val="24"/>
              </w:rPr>
            </w:pPr>
          </w:p>
        </w:tc>
        <w:tc>
          <w:tcPr>
            <w:tcW w:w="738"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446</w:t>
            </w:r>
          </w:p>
        </w:tc>
        <w:tc>
          <w:tcPr>
            <w:tcW w:w="756" w:type="pct"/>
            <w:vAlign w:val="center"/>
          </w:tcPr>
          <w:p>
            <w:pPr>
              <w:widowControl/>
              <w:spacing w:line="260" w:lineRule="exact"/>
              <w:jc w:val="center"/>
              <w:textAlignment w:val="center"/>
              <w:rPr>
                <w:rFonts w:ascii="宋体" w:cs="宋体"/>
                <w:color w:val="auto"/>
                <w:sz w:val="24"/>
              </w:rPr>
            </w:pPr>
            <w:r>
              <w:rPr>
                <w:rFonts w:hint="eastAsia" w:ascii="宋体" w:cs="宋体"/>
                <w:color w:val="auto"/>
                <w:kern w:val="0"/>
                <w:sz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0" w:type="pct"/>
            <w:vAlign w:val="center"/>
          </w:tcPr>
          <w:p>
            <w:pPr>
              <w:widowControl/>
              <w:spacing w:line="260" w:lineRule="exact"/>
              <w:jc w:val="center"/>
              <w:textAlignment w:val="center"/>
              <w:rPr>
                <w:rFonts w:ascii="宋体" w:cs="宋体"/>
                <w:color w:val="auto"/>
                <w:kern w:val="0"/>
                <w:sz w:val="24"/>
              </w:rPr>
            </w:pPr>
            <w:r>
              <w:rPr>
                <w:rFonts w:hint="eastAsia" w:ascii="宋体" w:cs="宋体"/>
                <w:color w:val="auto"/>
                <w:kern w:val="0"/>
                <w:sz w:val="24"/>
              </w:rPr>
              <w:t>26</w:t>
            </w:r>
          </w:p>
        </w:tc>
        <w:tc>
          <w:tcPr>
            <w:tcW w:w="1611" w:type="pct"/>
            <w:vAlign w:val="center"/>
          </w:tcPr>
          <w:p>
            <w:pPr>
              <w:widowControl/>
              <w:spacing w:line="260" w:lineRule="exact"/>
              <w:jc w:val="center"/>
              <w:textAlignment w:val="center"/>
              <w:rPr>
                <w:rFonts w:ascii="宋体" w:cs="宋体"/>
                <w:color w:val="auto"/>
                <w:kern w:val="0"/>
                <w:sz w:val="24"/>
              </w:rPr>
            </w:pPr>
            <w:r>
              <w:rPr>
                <w:rFonts w:hint="eastAsia" w:ascii="宋体" w:cs="宋体"/>
                <w:color w:val="auto"/>
                <w:kern w:val="0"/>
                <w:sz w:val="24"/>
              </w:rPr>
              <w:t>连城县莲冠大道2-172</w:t>
            </w:r>
          </w:p>
        </w:tc>
        <w:tc>
          <w:tcPr>
            <w:tcW w:w="638" w:type="pct"/>
            <w:vAlign w:val="center"/>
          </w:tcPr>
          <w:p>
            <w:pPr>
              <w:widowControl/>
              <w:spacing w:line="260" w:lineRule="exact"/>
              <w:jc w:val="center"/>
              <w:textAlignment w:val="center"/>
              <w:rPr>
                <w:rFonts w:ascii="宋体" w:cs="宋体"/>
                <w:color w:val="auto"/>
                <w:kern w:val="0"/>
                <w:sz w:val="24"/>
              </w:rPr>
            </w:pPr>
            <w:r>
              <w:rPr>
                <w:rFonts w:hint="eastAsia" w:ascii="宋体" w:cs="宋体"/>
                <w:color w:val="auto"/>
                <w:kern w:val="0"/>
                <w:sz w:val="24"/>
              </w:rPr>
              <w:t xml:space="preserve">55.53 </w:t>
            </w:r>
          </w:p>
        </w:tc>
        <w:tc>
          <w:tcPr>
            <w:tcW w:w="834" w:type="pct"/>
            <w:vAlign w:val="center"/>
          </w:tcPr>
          <w:p>
            <w:pPr>
              <w:spacing w:line="260" w:lineRule="exact"/>
              <w:rPr>
                <w:rFonts w:ascii="宋体" w:cs="宋体"/>
                <w:color w:val="auto"/>
                <w:sz w:val="24"/>
              </w:rPr>
            </w:pPr>
          </w:p>
        </w:tc>
        <w:tc>
          <w:tcPr>
            <w:tcW w:w="738" w:type="pct"/>
            <w:vAlign w:val="center"/>
          </w:tcPr>
          <w:p>
            <w:pPr>
              <w:widowControl/>
              <w:spacing w:line="260" w:lineRule="exact"/>
              <w:jc w:val="center"/>
              <w:textAlignment w:val="center"/>
              <w:rPr>
                <w:rFonts w:ascii="宋体" w:cs="宋体"/>
                <w:color w:val="auto"/>
                <w:kern w:val="0"/>
                <w:sz w:val="24"/>
              </w:rPr>
            </w:pPr>
            <w:r>
              <w:rPr>
                <w:rFonts w:hint="eastAsia" w:ascii="宋体" w:cs="宋体"/>
                <w:color w:val="auto"/>
                <w:kern w:val="0"/>
                <w:sz w:val="24"/>
              </w:rPr>
              <w:t>444</w:t>
            </w:r>
          </w:p>
        </w:tc>
        <w:tc>
          <w:tcPr>
            <w:tcW w:w="756" w:type="pct"/>
            <w:vAlign w:val="center"/>
          </w:tcPr>
          <w:p>
            <w:pPr>
              <w:widowControl/>
              <w:spacing w:line="260" w:lineRule="exact"/>
              <w:jc w:val="center"/>
              <w:textAlignment w:val="center"/>
              <w:rPr>
                <w:rFonts w:ascii="宋体" w:cs="宋体"/>
                <w:color w:val="auto"/>
                <w:kern w:val="0"/>
                <w:sz w:val="24"/>
              </w:rPr>
            </w:pPr>
            <w:r>
              <w:rPr>
                <w:rFonts w:hint="eastAsia" w:ascii="宋体" w:cs="宋体"/>
                <w:color w:val="auto"/>
                <w:kern w:val="0"/>
                <w:sz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0" w:type="pct"/>
            <w:vAlign w:val="center"/>
          </w:tcPr>
          <w:p>
            <w:pPr>
              <w:widowControl/>
              <w:spacing w:line="260" w:lineRule="exact"/>
              <w:jc w:val="center"/>
              <w:textAlignment w:val="center"/>
              <w:rPr>
                <w:rFonts w:ascii="宋体" w:cs="宋体"/>
                <w:color w:val="auto"/>
                <w:kern w:val="0"/>
                <w:sz w:val="24"/>
              </w:rPr>
            </w:pPr>
            <w:r>
              <w:rPr>
                <w:rFonts w:hint="eastAsia" w:ascii="宋体" w:cs="宋体"/>
                <w:color w:val="auto"/>
                <w:kern w:val="0"/>
                <w:sz w:val="24"/>
              </w:rPr>
              <w:t>27</w:t>
            </w:r>
          </w:p>
        </w:tc>
        <w:tc>
          <w:tcPr>
            <w:tcW w:w="1611" w:type="pct"/>
            <w:vAlign w:val="center"/>
          </w:tcPr>
          <w:p>
            <w:pPr>
              <w:widowControl/>
              <w:spacing w:line="260" w:lineRule="exact"/>
              <w:jc w:val="center"/>
              <w:textAlignment w:val="center"/>
              <w:rPr>
                <w:rFonts w:ascii="宋体" w:cs="宋体"/>
                <w:color w:val="auto"/>
                <w:kern w:val="0"/>
                <w:sz w:val="24"/>
              </w:rPr>
            </w:pPr>
            <w:r>
              <w:rPr>
                <w:rFonts w:hint="eastAsia" w:ascii="宋体" w:cs="宋体"/>
                <w:color w:val="auto"/>
                <w:kern w:val="0"/>
                <w:sz w:val="24"/>
              </w:rPr>
              <w:t>连城县莲冠大道2-175</w:t>
            </w:r>
          </w:p>
        </w:tc>
        <w:tc>
          <w:tcPr>
            <w:tcW w:w="638" w:type="pct"/>
            <w:vAlign w:val="center"/>
          </w:tcPr>
          <w:p>
            <w:pPr>
              <w:widowControl/>
              <w:spacing w:line="260" w:lineRule="exact"/>
              <w:jc w:val="center"/>
              <w:textAlignment w:val="center"/>
              <w:rPr>
                <w:rFonts w:ascii="宋体" w:cs="宋体"/>
                <w:color w:val="auto"/>
                <w:kern w:val="0"/>
                <w:sz w:val="24"/>
              </w:rPr>
            </w:pPr>
            <w:r>
              <w:rPr>
                <w:rFonts w:hint="eastAsia" w:ascii="宋体" w:cs="宋体"/>
                <w:color w:val="auto"/>
                <w:kern w:val="0"/>
                <w:sz w:val="24"/>
              </w:rPr>
              <w:t xml:space="preserve">55.53 </w:t>
            </w:r>
          </w:p>
        </w:tc>
        <w:tc>
          <w:tcPr>
            <w:tcW w:w="834" w:type="pct"/>
            <w:vAlign w:val="center"/>
          </w:tcPr>
          <w:p>
            <w:pPr>
              <w:spacing w:line="260" w:lineRule="exact"/>
              <w:rPr>
                <w:rFonts w:ascii="宋体" w:cs="宋体"/>
                <w:color w:val="auto"/>
                <w:sz w:val="24"/>
              </w:rPr>
            </w:pPr>
          </w:p>
        </w:tc>
        <w:tc>
          <w:tcPr>
            <w:tcW w:w="738" w:type="pct"/>
            <w:vAlign w:val="center"/>
          </w:tcPr>
          <w:p>
            <w:pPr>
              <w:widowControl/>
              <w:spacing w:line="260" w:lineRule="exact"/>
              <w:jc w:val="center"/>
              <w:textAlignment w:val="center"/>
              <w:rPr>
                <w:rFonts w:ascii="宋体" w:cs="宋体"/>
                <w:color w:val="auto"/>
                <w:kern w:val="0"/>
                <w:sz w:val="24"/>
              </w:rPr>
            </w:pPr>
            <w:r>
              <w:rPr>
                <w:rFonts w:hint="eastAsia" w:ascii="宋体" w:cs="宋体"/>
                <w:color w:val="auto"/>
                <w:kern w:val="0"/>
                <w:sz w:val="24"/>
              </w:rPr>
              <w:t>444</w:t>
            </w:r>
          </w:p>
        </w:tc>
        <w:tc>
          <w:tcPr>
            <w:tcW w:w="756" w:type="pct"/>
            <w:vAlign w:val="center"/>
          </w:tcPr>
          <w:p>
            <w:pPr>
              <w:widowControl/>
              <w:spacing w:line="260" w:lineRule="exact"/>
              <w:jc w:val="center"/>
              <w:textAlignment w:val="center"/>
              <w:rPr>
                <w:rFonts w:ascii="宋体" w:cs="宋体"/>
                <w:color w:val="auto"/>
                <w:kern w:val="0"/>
                <w:sz w:val="24"/>
              </w:rPr>
            </w:pPr>
            <w:r>
              <w:rPr>
                <w:rFonts w:hint="eastAsia" w:ascii="宋体" w:cs="宋体"/>
                <w:color w:val="auto"/>
                <w:kern w:val="0"/>
                <w:sz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20" w:type="pct"/>
            <w:vAlign w:val="center"/>
          </w:tcPr>
          <w:p>
            <w:pPr>
              <w:widowControl/>
              <w:spacing w:line="260" w:lineRule="exact"/>
              <w:jc w:val="center"/>
              <w:textAlignment w:val="center"/>
              <w:rPr>
                <w:rFonts w:ascii="宋体" w:cs="宋体"/>
                <w:color w:val="auto"/>
                <w:kern w:val="0"/>
                <w:sz w:val="24"/>
              </w:rPr>
            </w:pPr>
            <w:r>
              <w:rPr>
                <w:rFonts w:hint="eastAsia" w:ascii="宋体" w:cs="宋体"/>
                <w:color w:val="auto"/>
                <w:kern w:val="0"/>
                <w:sz w:val="24"/>
              </w:rPr>
              <w:t>28</w:t>
            </w:r>
          </w:p>
        </w:tc>
        <w:tc>
          <w:tcPr>
            <w:tcW w:w="1611" w:type="pct"/>
            <w:vAlign w:val="center"/>
          </w:tcPr>
          <w:p>
            <w:pPr>
              <w:widowControl/>
              <w:spacing w:line="260" w:lineRule="exact"/>
              <w:jc w:val="center"/>
              <w:textAlignment w:val="center"/>
              <w:rPr>
                <w:rFonts w:ascii="宋体" w:cs="宋体"/>
                <w:color w:val="auto"/>
                <w:kern w:val="0"/>
                <w:sz w:val="24"/>
              </w:rPr>
            </w:pPr>
            <w:r>
              <w:rPr>
                <w:rFonts w:hint="eastAsia" w:ascii="宋体" w:cs="宋体"/>
                <w:color w:val="auto"/>
                <w:kern w:val="0"/>
                <w:sz w:val="24"/>
              </w:rPr>
              <w:t>连城县莲冠大道2-43,2-44,2-45</w:t>
            </w:r>
          </w:p>
        </w:tc>
        <w:tc>
          <w:tcPr>
            <w:tcW w:w="638" w:type="pct"/>
            <w:vAlign w:val="center"/>
          </w:tcPr>
          <w:p>
            <w:pPr>
              <w:widowControl/>
              <w:spacing w:line="260" w:lineRule="exact"/>
              <w:jc w:val="center"/>
              <w:textAlignment w:val="center"/>
              <w:rPr>
                <w:rFonts w:ascii="宋体" w:cs="宋体"/>
                <w:color w:val="auto"/>
                <w:kern w:val="0"/>
                <w:sz w:val="24"/>
              </w:rPr>
            </w:pPr>
            <w:r>
              <w:rPr>
                <w:rFonts w:hint="eastAsia" w:ascii="宋体" w:cs="宋体"/>
                <w:color w:val="auto"/>
                <w:kern w:val="0"/>
                <w:sz w:val="24"/>
              </w:rPr>
              <w:t xml:space="preserve">142.11 </w:t>
            </w:r>
          </w:p>
        </w:tc>
        <w:tc>
          <w:tcPr>
            <w:tcW w:w="834" w:type="pct"/>
            <w:vAlign w:val="center"/>
          </w:tcPr>
          <w:p>
            <w:pPr>
              <w:spacing w:line="260" w:lineRule="exact"/>
              <w:rPr>
                <w:rFonts w:ascii="宋体" w:cs="宋体"/>
                <w:color w:val="auto"/>
                <w:sz w:val="24"/>
              </w:rPr>
            </w:pPr>
          </w:p>
        </w:tc>
        <w:tc>
          <w:tcPr>
            <w:tcW w:w="738" w:type="pct"/>
            <w:vAlign w:val="center"/>
          </w:tcPr>
          <w:p>
            <w:pPr>
              <w:widowControl/>
              <w:spacing w:line="260" w:lineRule="exact"/>
              <w:jc w:val="center"/>
              <w:textAlignment w:val="center"/>
              <w:rPr>
                <w:rFonts w:ascii="宋体" w:cs="宋体"/>
                <w:color w:val="auto"/>
                <w:kern w:val="0"/>
                <w:sz w:val="24"/>
              </w:rPr>
            </w:pPr>
            <w:r>
              <w:rPr>
                <w:rFonts w:hint="eastAsia" w:ascii="宋体" w:cs="宋体"/>
                <w:color w:val="auto"/>
                <w:kern w:val="0"/>
                <w:sz w:val="24"/>
              </w:rPr>
              <w:t>1705</w:t>
            </w:r>
          </w:p>
        </w:tc>
        <w:tc>
          <w:tcPr>
            <w:tcW w:w="756" w:type="pct"/>
            <w:vAlign w:val="center"/>
          </w:tcPr>
          <w:p>
            <w:pPr>
              <w:widowControl/>
              <w:spacing w:line="260" w:lineRule="exact"/>
              <w:jc w:val="center"/>
              <w:textAlignment w:val="center"/>
              <w:rPr>
                <w:rFonts w:ascii="宋体" w:cs="宋体"/>
                <w:color w:val="auto"/>
                <w:kern w:val="0"/>
                <w:sz w:val="24"/>
              </w:rPr>
            </w:pPr>
            <w:r>
              <w:rPr>
                <w:rFonts w:hint="eastAsia" w:ascii="宋体" w:cs="宋体"/>
                <w:color w:val="auto"/>
                <w:kern w:val="0"/>
                <w:sz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20" w:type="pct"/>
            <w:vAlign w:val="center"/>
          </w:tcPr>
          <w:p>
            <w:pPr>
              <w:widowControl/>
              <w:spacing w:line="260" w:lineRule="exact"/>
              <w:jc w:val="center"/>
              <w:textAlignment w:val="center"/>
              <w:rPr>
                <w:rFonts w:ascii="宋体" w:cs="宋体"/>
                <w:color w:val="auto"/>
                <w:kern w:val="0"/>
                <w:sz w:val="24"/>
              </w:rPr>
            </w:pPr>
            <w:r>
              <w:rPr>
                <w:rFonts w:hint="eastAsia" w:ascii="宋体" w:cs="宋体"/>
                <w:color w:val="auto"/>
                <w:kern w:val="0"/>
                <w:sz w:val="24"/>
              </w:rPr>
              <w:t>29</w:t>
            </w:r>
          </w:p>
        </w:tc>
        <w:tc>
          <w:tcPr>
            <w:tcW w:w="1611" w:type="pct"/>
            <w:vAlign w:val="center"/>
          </w:tcPr>
          <w:p>
            <w:pPr>
              <w:widowControl/>
              <w:spacing w:line="260" w:lineRule="exact"/>
              <w:jc w:val="center"/>
              <w:textAlignment w:val="center"/>
              <w:rPr>
                <w:rFonts w:ascii="宋体" w:cs="宋体"/>
                <w:color w:val="auto"/>
                <w:kern w:val="0"/>
                <w:sz w:val="24"/>
              </w:rPr>
            </w:pPr>
            <w:r>
              <w:rPr>
                <w:rFonts w:hint="eastAsia" w:ascii="宋体" w:cs="宋体"/>
                <w:color w:val="auto"/>
                <w:kern w:val="0"/>
                <w:sz w:val="24"/>
              </w:rPr>
              <w:t>连城县莲冠大道2-46,2-47,2-48</w:t>
            </w:r>
          </w:p>
        </w:tc>
        <w:tc>
          <w:tcPr>
            <w:tcW w:w="638" w:type="pct"/>
            <w:vAlign w:val="center"/>
          </w:tcPr>
          <w:p>
            <w:pPr>
              <w:widowControl/>
              <w:spacing w:line="260" w:lineRule="exact"/>
              <w:jc w:val="center"/>
              <w:textAlignment w:val="center"/>
              <w:rPr>
                <w:rFonts w:ascii="宋体" w:cs="宋体"/>
                <w:color w:val="auto"/>
                <w:kern w:val="0"/>
                <w:sz w:val="24"/>
              </w:rPr>
            </w:pPr>
            <w:r>
              <w:rPr>
                <w:rFonts w:hint="eastAsia" w:ascii="宋体" w:cs="宋体"/>
                <w:color w:val="auto"/>
                <w:kern w:val="0"/>
                <w:sz w:val="24"/>
              </w:rPr>
              <w:t xml:space="preserve">142.11 </w:t>
            </w:r>
          </w:p>
        </w:tc>
        <w:tc>
          <w:tcPr>
            <w:tcW w:w="834" w:type="pct"/>
            <w:vAlign w:val="center"/>
          </w:tcPr>
          <w:p>
            <w:pPr>
              <w:spacing w:line="260" w:lineRule="exact"/>
              <w:rPr>
                <w:rFonts w:ascii="宋体" w:cs="宋体"/>
                <w:color w:val="auto"/>
                <w:sz w:val="24"/>
              </w:rPr>
            </w:pPr>
          </w:p>
        </w:tc>
        <w:tc>
          <w:tcPr>
            <w:tcW w:w="738" w:type="pct"/>
            <w:vAlign w:val="center"/>
          </w:tcPr>
          <w:p>
            <w:pPr>
              <w:widowControl/>
              <w:spacing w:line="260" w:lineRule="exact"/>
              <w:jc w:val="center"/>
              <w:textAlignment w:val="center"/>
              <w:rPr>
                <w:rFonts w:ascii="宋体" w:cs="宋体"/>
                <w:color w:val="auto"/>
                <w:kern w:val="0"/>
                <w:sz w:val="24"/>
              </w:rPr>
            </w:pPr>
            <w:r>
              <w:rPr>
                <w:rFonts w:hint="eastAsia" w:ascii="宋体" w:cs="宋体"/>
                <w:color w:val="auto"/>
                <w:kern w:val="0"/>
                <w:sz w:val="24"/>
              </w:rPr>
              <w:t>1705</w:t>
            </w:r>
          </w:p>
        </w:tc>
        <w:tc>
          <w:tcPr>
            <w:tcW w:w="756" w:type="pct"/>
            <w:vAlign w:val="center"/>
          </w:tcPr>
          <w:p>
            <w:pPr>
              <w:widowControl/>
              <w:spacing w:line="260" w:lineRule="exact"/>
              <w:jc w:val="center"/>
              <w:textAlignment w:val="center"/>
              <w:rPr>
                <w:rFonts w:ascii="宋体" w:cs="宋体"/>
                <w:color w:val="auto"/>
                <w:kern w:val="0"/>
                <w:sz w:val="24"/>
              </w:rPr>
            </w:pPr>
            <w:r>
              <w:rPr>
                <w:rFonts w:hint="eastAsia" w:ascii="宋体" w:cs="宋体"/>
                <w:color w:val="auto"/>
                <w:kern w:val="0"/>
                <w:sz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0" w:type="pct"/>
            <w:vAlign w:val="center"/>
          </w:tcPr>
          <w:p>
            <w:pPr>
              <w:widowControl/>
              <w:spacing w:line="260" w:lineRule="exact"/>
              <w:jc w:val="center"/>
              <w:textAlignment w:val="center"/>
              <w:rPr>
                <w:rFonts w:ascii="宋体" w:cs="宋体"/>
                <w:color w:val="auto"/>
                <w:kern w:val="0"/>
                <w:sz w:val="24"/>
              </w:rPr>
            </w:pPr>
            <w:r>
              <w:rPr>
                <w:rFonts w:hint="eastAsia" w:ascii="宋体" w:cs="宋体"/>
                <w:color w:val="auto"/>
                <w:kern w:val="0"/>
                <w:sz w:val="24"/>
              </w:rPr>
              <w:t>30</w:t>
            </w:r>
          </w:p>
        </w:tc>
        <w:tc>
          <w:tcPr>
            <w:tcW w:w="1611" w:type="pct"/>
            <w:vAlign w:val="center"/>
          </w:tcPr>
          <w:p>
            <w:pPr>
              <w:widowControl/>
              <w:spacing w:line="260" w:lineRule="exact"/>
              <w:jc w:val="center"/>
              <w:textAlignment w:val="center"/>
              <w:rPr>
                <w:rFonts w:ascii="宋体" w:cs="宋体"/>
                <w:color w:val="auto"/>
                <w:kern w:val="0"/>
                <w:sz w:val="24"/>
              </w:rPr>
            </w:pPr>
            <w:r>
              <w:rPr>
                <w:rFonts w:hint="eastAsia" w:ascii="宋体" w:cs="宋体"/>
                <w:color w:val="auto"/>
                <w:kern w:val="0"/>
                <w:sz w:val="24"/>
              </w:rPr>
              <w:t>连城县莲冠大道2-74，2-75</w:t>
            </w:r>
          </w:p>
        </w:tc>
        <w:tc>
          <w:tcPr>
            <w:tcW w:w="638" w:type="pct"/>
            <w:vAlign w:val="center"/>
          </w:tcPr>
          <w:p>
            <w:pPr>
              <w:widowControl/>
              <w:spacing w:line="260" w:lineRule="exact"/>
              <w:jc w:val="center"/>
              <w:textAlignment w:val="center"/>
              <w:rPr>
                <w:rFonts w:ascii="宋体" w:cs="宋体"/>
                <w:color w:val="auto"/>
                <w:kern w:val="0"/>
                <w:sz w:val="24"/>
              </w:rPr>
            </w:pPr>
            <w:r>
              <w:rPr>
                <w:rFonts w:hint="eastAsia" w:ascii="宋体" w:cs="宋体"/>
                <w:color w:val="auto"/>
                <w:kern w:val="0"/>
                <w:sz w:val="24"/>
              </w:rPr>
              <w:t xml:space="preserve">83.73 </w:t>
            </w:r>
          </w:p>
        </w:tc>
        <w:tc>
          <w:tcPr>
            <w:tcW w:w="834" w:type="pct"/>
            <w:vAlign w:val="center"/>
          </w:tcPr>
          <w:p>
            <w:pPr>
              <w:spacing w:line="260" w:lineRule="exact"/>
              <w:rPr>
                <w:rFonts w:ascii="宋体" w:cs="宋体"/>
                <w:color w:val="auto"/>
                <w:sz w:val="24"/>
              </w:rPr>
            </w:pPr>
          </w:p>
        </w:tc>
        <w:tc>
          <w:tcPr>
            <w:tcW w:w="738" w:type="pct"/>
            <w:vAlign w:val="center"/>
          </w:tcPr>
          <w:p>
            <w:pPr>
              <w:widowControl/>
              <w:spacing w:line="260" w:lineRule="exact"/>
              <w:jc w:val="center"/>
              <w:textAlignment w:val="center"/>
              <w:rPr>
                <w:rFonts w:ascii="宋体" w:cs="宋体"/>
                <w:color w:val="auto"/>
                <w:kern w:val="0"/>
                <w:sz w:val="24"/>
              </w:rPr>
            </w:pPr>
            <w:r>
              <w:rPr>
                <w:rFonts w:hint="eastAsia" w:ascii="宋体" w:cs="宋体"/>
                <w:color w:val="auto"/>
                <w:kern w:val="0"/>
                <w:sz w:val="24"/>
              </w:rPr>
              <w:t>1005</w:t>
            </w:r>
          </w:p>
        </w:tc>
        <w:tc>
          <w:tcPr>
            <w:tcW w:w="756" w:type="pct"/>
            <w:vAlign w:val="center"/>
          </w:tcPr>
          <w:p>
            <w:pPr>
              <w:widowControl/>
              <w:spacing w:line="260" w:lineRule="exact"/>
              <w:jc w:val="center"/>
              <w:textAlignment w:val="center"/>
              <w:rPr>
                <w:rFonts w:ascii="宋体" w:cs="宋体"/>
                <w:color w:val="auto"/>
                <w:kern w:val="0"/>
                <w:sz w:val="24"/>
              </w:rPr>
            </w:pPr>
            <w:r>
              <w:rPr>
                <w:rFonts w:hint="eastAsia" w:ascii="宋体" w:cs="宋体"/>
                <w:color w:val="auto"/>
                <w:kern w:val="0"/>
                <w:sz w:val="24"/>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0" w:type="pct"/>
            <w:vAlign w:val="center"/>
          </w:tcPr>
          <w:p>
            <w:pPr>
              <w:widowControl/>
              <w:spacing w:line="260" w:lineRule="exact"/>
              <w:jc w:val="center"/>
              <w:textAlignment w:val="center"/>
              <w:rPr>
                <w:rFonts w:ascii="宋体" w:cs="宋体"/>
                <w:color w:val="auto"/>
                <w:kern w:val="0"/>
                <w:sz w:val="24"/>
              </w:rPr>
            </w:pPr>
            <w:r>
              <w:rPr>
                <w:rFonts w:hint="eastAsia" w:ascii="宋体" w:cs="宋体"/>
                <w:color w:val="auto"/>
                <w:kern w:val="0"/>
                <w:sz w:val="24"/>
              </w:rPr>
              <w:t>31</w:t>
            </w:r>
          </w:p>
        </w:tc>
        <w:tc>
          <w:tcPr>
            <w:tcW w:w="1611" w:type="pct"/>
            <w:vAlign w:val="center"/>
          </w:tcPr>
          <w:p>
            <w:pPr>
              <w:widowControl/>
              <w:spacing w:line="260" w:lineRule="exact"/>
              <w:jc w:val="center"/>
              <w:textAlignment w:val="center"/>
              <w:rPr>
                <w:rFonts w:ascii="宋体" w:cs="宋体"/>
                <w:color w:val="auto"/>
                <w:kern w:val="0"/>
                <w:sz w:val="24"/>
              </w:rPr>
            </w:pPr>
            <w:r>
              <w:rPr>
                <w:rFonts w:hint="eastAsia" w:ascii="宋体" w:cs="宋体"/>
                <w:color w:val="auto"/>
                <w:kern w:val="0"/>
                <w:sz w:val="24"/>
              </w:rPr>
              <w:t>连城县莲冠大道2-69、2-70</w:t>
            </w:r>
          </w:p>
        </w:tc>
        <w:tc>
          <w:tcPr>
            <w:tcW w:w="638" w:type="pct"/>
            <w:vAlign w:val="center"/>
          </w:tcPr>
          <w:p>
            <w:pPr>
              <w:widowControl/>
              <w:spacing w:line="260" w:lineRule="exact"/>
              <w:jc w:val="center"/>
              <w:textAlignment w:val="center"/>
              <w:rPr>
                <w:rFonts w:ascii="宋体" w:cs="宋体"/>
                <w:color w:val="auto"/>
                <w:kern w:val="0"/>
                <w:sz w:val="24"/>
              </w:rPr>
            </w:pPr>
            <w:r>
              <w:rPr>
                <w:rFonts w:hint="eastAsia" w:ascii="宋体" w:cs="宋体"/>
                <w:color w:val="auto"/>
                <w:kern w:val="0"/>
                <w:sz w:val="24"/>
              </w:rPr>
              <w:t xml:space="preserve">83.73 </w:t>
            </w:r>
          </w:p>
        </w:tc>
        <w:tc>
          <w:tcPr>
            <w:tcW w:w="834" w:type="pct"/>
            <w:vAlign w:val="center"/>
          </w:tcPr>
          <w:p>
            <w:pPr>
              <w:spacing w:line="260" w:lineRule="exact"/>
              <w:rPr>
                <w:rFonts w:ascii="宋体" w:cs="宋体"/>
                <w:color w:val="auto"/>
                <w:sz w:val="24"/>
              </w:rPr>
            </w:pPr>
          </w:p>
        </w:tc>
        <w:tc>
          <w:tcPr>
            <w:tcW w:w="738" w:type="pct"/>
            <w:vAlign w:val="center"/>
          </w:tcPr>
          <w:p>
            <w:pPr>
              <w:widowControl/>
              <w:spacing w:line="260" w:lineRule="exact"/>
              <w:jc w:val="center"/>
              <w:textAlignment w:val="center"/>
              <w:rPr>
                <w:rFonts w:ascii="宋体" w:cs="宋体"/>
                <w:color w:val="auto"/>
                <w:kern w:val="0"/>
                <w:sz w:val="24"/>
              </w:rPr>
            </w:pPr>
            <w:r>
              <w:rPr>
                <w:rFonts w:hint="eastAsia" w:ascii="宋体" w:cs="宋体"/>
                <w:color w:val="auto"/>
                <w:kern w:val="0"/>
                <w:sz w:val="24"/>
              </w:rPr>
              <w:t>1005</w:t>
            </w:r>
          </w:p>
        </w:tc>
        <w:tc>
          <w:tcPr>
            <w:tcW w:w="756" w:type="pct"/>
            <w:vAlign w:val="center"/>
          </w:tcPr>
          <w:p>
            <w:pPr>
              <w:widowControl/>
              <w:spacing w:line="260" w:lineRule="exact"/>
              <w:jc w:val="center"/>
              <w:textAlignment w:val="center"/>
              <w:rPr>
                <w:rFonts w:ascii="宋体" w:cs="宋体"/>
                <w:color w:val="auto"/>
                <w:kern w:val="0"/>
                <w:sz w:val="24"/>
              </w:rPr>
            </w:pPr>
            <w:r>
              <w:rPr>
                <w:rFonts w:hint="eastAsia" w:ascii="宋体" w:cs="宋体"/>
                <w:color w:val="auto"/>
                <w:kern w:val="0"/>
                <w:sz w:val="24"/>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0" w:type="pct"/>
            <w:vAlign w:val="center"/>
          </w:tcPr>
          <w:p>
            <w:pPr>
              <w:widowControl/>
              <w:spacing w:line="260" w:lineRule="exact"/>
              <w:jc w:val="center"/>
              <w:textAlignment w:val="center"/>
              <w:rPr>
                <w:rFonts w:ascii="宋体" w:cs="宋体"/>
                <w:color w:val="auto"/>
                <w:kern w:val="0"/>
                <w:sz w:val="24"/>
              </w:rPr>
            </w:pPr>
            <w:r>
              <w:rPr>
                <w:rFonts w:hint="eastAsia" w:ascii="宋体" w:cs="宋体"/>
                <w:color w:val="auto"/>
                <w:kern w:val="0"/>
                <w:sz w:val="24"/>
              </w:rPr>
              <w:t>32</w:t>
            </w:r>
          </w:p>
        </w:tc>
        <w:tc>
          <w:tcPr>
            <w:tcW w:w="1611" w:type="pct"/>
            <w:vAlign w:val="center"/>
          </w:tcPr>
          <w:p>
            <w:pPr>
              <w:widowControl/>
              <w:spacing w:line="260" w:lineRule="exact"/>
              <w:jc w:val="center"/>
              <w:textAlignment w:val="center"/>
              <w:rPr>
                <w:rFonts w:ascii="宋体" w:cs="宋体"/>
                <w:color w:val="auto"/>
                <w:kern w:val="0"/>
                <w:sz w:val="24"/>
              </w:rPr>
            </w:pPr>
            <w:r>
              <w:rPr>
                <w:rFonts w:hint="eastAsia" w:ascii="宋体" w:cs="宋体"/>
                <w:color w:val="auto"/>
                <w:kern w:val="0"/>
                <w:sz w:val="24"/>
              </w:rPr>
              <w:t>连城县北大东路27号</w:t>
            </w:r>
          </w:p>
        </w:tc>
        <w:tc>
          <w:tcPr>
            <w:tcW w:w="638" w:type="pct"/>
            <w:vAlign w:val="center"/>
          </w:tcPr>
          <w:p>
            <w:pPr>
              <w:widowControl/>
              <w:spacing w:line="260" w:lineRule="exact"/>
              <w:jc w:val="center"/>
              <w:textAlignment w:val="center"/>
              <w:rPr>
                <w:rFonts w:ascii="宋体" w:cs="宋体"/>
                <w:color w:val="auto"/>
                <w:kern w:val="0"/>
                <w:sz w:val="24"/>
              </w:rPr>
            </w:pPr>
            <w:r>
              <w:rPr>
                <w:rFonts w:hint="eastAsia" w:ascii="宋体" w:cs="宋体"/>
                <w:color w:val="auto"/>
                <w:kern w:val="0"/>
                <w:sz w:val="24"/>
              </w:rPr>
              <w:t xml:space="preserve">22.00 </w:t>
            </w:r>
          </w:p>
        </w:tc>
        <w:tc>
          <w:tcPr>
            <w:tcW w:w="834" w:type="pct"/>
            <w:vAlign w:val="center"/>
          </w:tcPr>
          <w:p>
            <w:pPr>
              <w:spacing w:line="260" w:lineRule="exact"/>
              <w:rPr>
                <w:rFonts w:ascii="宋体" w:cs="宋体"/>
                <w:color w:val="auto"/>
                <w:sz w:val="24"/>
              </w:rPr>
            </w:pPr>
          </w:p>
        </w:tc>
        <w:tc>
          <w:tcPr>
            <w:tcW w:w="738" w:type="pct"/>
            <w:vAlign w:val="center"/>
          </w:tcPr>
          <w:p>
            <w:pPr>
              <w:widowControl/>
              <w:spacing w:line="260" w:lineRule="exact"/>
              <w:jc w:val="center"/>
              <w:textAlignment w:val="center"/>
              <w:rPr>
                <w:rFonts w:ascii="宋体" w:cs="宋体"/>
                <w:color w:val="auto"/>
                <w:kern w:val="0"/>
                <w:sz w:val="24"/>
              </w:rPr>
            </w:pPr>
            <w:r>
              <w:rPr>
                <w:rFonts w:hint="eastAsia" w:ascii="宋体" w:cs="宋体"/>
                <w:color w:val="auto"/>
                <w:kern w:val="0"/>
                <w:sz w:val="24"/>
              </w:rPr>
              <w:t>2200</w:t>
            </w:r>
          </w:p>
        </w:tc>
        <w:tc>
          <w:tcPr>
            <w:tcW w:w="756" w:type="pct"/>
            <w:vAlign w:val="center"/>
          </w:tcPr>
          <w:p>
            <w:pPr>
              <w:widowControl/>
              <w:spacing w:line="260" w:lineRule="exact"/>
              <w:jc w:val="center"/>
              <w:textAlignment w:val="center"/>
              <w:rPr>
                <w:rFonts w:ascii="宋体" w:cs="宋体"/>
                <w:color w:val="auto"/>
                <w:kern w:val="0"/>
                <w:sz w:val="24"/>
              </w:rPr>
            </w:pPr>
            <w:r>
              <w:rPr>
                <w:rFonts w:hint="eastAsia" w:ascii="宋体" w:cs="宋体"/>
                <w:color w:val="auto"/>
                <w:kern w:val="0"/>
                <w:sz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jc w:val="center"/>
        </w:trPr>
        <w:tc>
          <w:tcPr>
            <w:tcW w:w="420" w:type="pct"/>
            <w:vAlign w:val="center"/>
          </w:tcPr>
          <w:p>
            <w:pPr>
              <w:widowControl/>
              <w:spacing w:line="260" w:lineRule="exact"/>
              <w:jc w:val="center"/>
              <w:textAlignment w:val="center"/>
              <w:rPr>
                <w:rFonts w:ascii="宋体" w:cs="宋体"/>
                <w:color w:val="auto"/>
                <w:kern w:val="0"/>
                <w:sz w:val="24"/>
              </w:rPr>
            </w:pPr>
            <w:r>
              <w:rPr>
                <w:rFonts w:hint="eastAsia" w:ascii="宋体" w:cs="宋体"/>
                <w:color w:val="auto"/>
                <w:kern w:val="0"/>
                <w:sz w:val="24"/>
              </w:rPr>
              <w:t>33</w:t>
            </w:r>
          </w:p>
        </w:tc>
        <w:tc>
          <w:tcPr>
            <w:tcW w:w="1611" w:type="pct"/>
            <w:vAlign w:val="center"/>
          </w:tcPr>
          <w:p>
            <w:pPr>
              <w:widowControl/>
              <w:spacing w:line="260" w:lineRule="exact"/>
              <w:jc w:val="center"/>
              <w:textAlignment w:val="center"/>
              <w:rPr>
                <w:rFonts w:ascii="宋体" w:cs="宋体"/>
                <w:color w:val="auto"/>
                <w:kern w:val="0"/>
                <w:sz w:val="24"/>
              </w:rPr>
            </w:pPr>
            <w:r>
              <w:rPr>
                <w:rFonts w:hint="eastAsia" w:ascii="宋体" w:cs="宋体"/>
                <w:color w:val="auto"/>
                <w:kern w:val="0"/>
                <w:sz w:val="24"/>
              </w:rPr>
              <w:t>连城县莲中南路72号莲南小区A幢9.10</w:t>
            </w:r>
          </w:p>
        </w:tc>
        <w:tc>
          <w:tcPr>
            <w:tcW w:w="638" w:type="pct"/>
            <w:vAlign w:val="center"/>
          </w:tcPr>
          <w:p>
            <w:pPr>
              <w:widowControl/>
              <w:spacing w:line="260" w:lineRule="exact"/>
              <w:jc w:val="center"/>
              <w:textAlignment w:val="center"/>
              <w:rPr>
                <w:rFonts w:ascii="宋体" w:cs="宋体"/>
                <w:color w:val="auto"/>
                <w:kern w:val="0"/>
                <w:sz w:val="24"/>
              </w:rPr>
            </w:pPr>
            <w:r>
              <w:rPr>
                <w:rFonts w:hint="eastAsia" w:ascii="宋体" w:cs="宋体"/>
                <w:color w:val="auto"/>
                <w:kern w:val="0"/>
                <w:sz w:val="24"/>
              </w:rPr>
              <w:t>107.53+21.9（夹层）</w:t>
            </w:r>
          </w:p>
        </w:tc>
        <w:tc>
          <w:tcPr>
            <w:tcW w:w="834" w:type="pct"/>
            <w:vAlign w:val="center"/>
          </w:tcPr>
          <w:p>
            <w:pPr>
              <w:spacing w:line="260" w:lineRule="exact"/>
              <w:rPr>
                <w:rFonts w:ascii="宋体" w:cs="宋体"/>
                <w:color w:val="auto"/>
                <w:sz w:val="24"/>
              </w:rPr>
            </w:pPr>
          </w:p>
        </w:tc>
        <w:tc>
          <w:tcPr>
            <w:tcW w:w="738" w:type="pct"/>
            <w:vAlign w:val="center"/>
          </w:tcPr>
          <w:p>
            <w:pPr>
              <w:widowControl/>
              <w:spacing w:line="260" w:lineRule="exact"/>
              <w:jc w:val="center"/>
              <w:textAlignment w:val="center"/>
              <w:rPr>
                <w:rFonts w:ascii="宋体" w:cs="宋体"/>
                <w:color w:val="auto"/>
                <w:kern w:val="0"/>
                <w:sz w:val="24"/>
              </w:rPr>
            </w:pPr>
            <w:r>
              <w:rPr>
                <w:rFonts w:hint="eastAsia" w:ascii="宋体" w:cs="宋体"/>
                <w:color w:val="auto"/>
                <w:kern w:val="0"/>
                <w:sz w:val="24"/>
              </w:rPr>
              <w:t>2260</w:t>
            </w:r>
          </w:p>
        </w:tc>
        <w:tc>
          <w:tcPr>
            <w:tcW w:w="756" w:type="pct"/>
            <w:vAlign w:val="center"/>
          </w:tcPr>
          <w:p>
            <w:pPr>
              <w:widowControl/>
              <w:spacing w:line="260" w:lineRule="exact"/>
              <w:jc w:val="center"/>
              <w:textAlignment w:val="center"/>
              <w:rPr>
                <w:rFonts w:ascii="宋体" w:cs="宋体"/>
                <w:color w:val="auto"/>
                <w:kern w:val="0"/>
                <w:sz w:val="24"/>
              </w:rPr>
            </w:pPr>
            <w:r>
              <w:rPr>
                <w:rFonts w:hint="eastAsia" w:ascii="宋体" w:cs="宋体"/>
                <w:color w:val="auto"/>
                <w:kern w:val="0"/>
                <w:sz w:val="24"/>
              </w:rPr>
              <w:t>10000</w:t>
            </w:r>
          </w:p>
        </w:tc>
      </w:tr>
    </w:tbl>
    <w:p>
      <w:pPr>
        <w:spacing w:line="440" w:lineRule="exact"/>
        <w:ind w:left="0" w:firstLine="480" w:firstLineChars="200"/>
        <w:jc w:val="left"/>
        <w:rPr>
          <w:rFonts w:ascii="宋体"/>
          <w:color w:val="auto"/>
          <w:sz w:val="24"/>
        </w:rPr>
      </w:pPr>
      <w:r>
        <w:rPr>
          <w:rFonts w:hint="eastAsia" w:ascii="宋体"/>
          <w:color w:val="auto"/>
          <w:sz w:val="24"/>
        </w:rPr>
        <w:t>特别提示：</w:t>
      </w:r>
    </w:p>
    <w:p>
      <w:pPr>
        <w:spacing w:line="440" w:lineRule="exact"/>
        <w:ind w:left="0" w:firstLine="480" w:firstLineChars="200"/>
        <w:jc w:val="left"/>
        <w:rPr>
          <w:rFonts w:ascii="宋体"/>
          <w:color w:val="auto"/>
          <w:sz w:val="24"/>
        </w:rPr>
      </w:pPr>
      <w:r>
        <w:rPr>
          <w:rFonts w:hint="eastAsia" w:ascii="宋体"/>
          <w:color w:val="auto"/>
          <w:sz w:val="24"/>
        </w:rPr>
        <w:t>1.成交人需缴纳履约保证金，履约保证金为首年成交月租金的三倍。</w:t>
      </w:r>
    </w:p>
    <w:p>
      <w:pPr>
        <w:spacing w:line="440" w:lineRule="exact"/>
        <w:ind w:firstLine="480" w:firstLineChars="200"/>
        <w:jc w:val="left"/>
        <w:rPr>
          <w:rFonts w:ascii="宋体" w:cs="宋体"/>
          <w:color w:val="auto"/>
          <w:sz w:val="24"/>
        </w:rPr>
      </w:pPr>
      <w:r>
        <w:rPr>
          <w:rFonts w:hint="eastAsia" w:ascii="宋体"/>
          <w:color w:val="auto"/>
          <w:sz w:val="24"/>
        </w:rPr>
        <w:t>2.所有标的租期三年，租金</w:t>
      </w:r>
      <w:r>
        <w:rPr>
          <w:rFonts w:hint="eastAsia" w:ascii="宋体" w:cs="宋体"/>
          <w:color w:val="auto"/>
          <w:sz w:val="24"/>
        </w:rPr>
        <w:t>按季缴交，前两年月租金为成交月租金，第三年较第二年上浮5%。</w:t>
      </w:r>
    </w:p>
    <w:p>
      <w:pPr>
        <w:spacing w:line="440" w:lineRule="exact"/>
        <w:ind w:firstLine="480" w:firstLineChars="200"/>
        <w:jc w:val="left"/>
        <w:rPr>
          <w:rFonts w:ascii="宋体" w:cs="宋体"/>
          <w:color w:val="auto"/>
          <w:sz w:val="24"/>
        </w:rPr>
      </w:pPr>
      <w:r>
        <w:rPr>
          <w:rFonts w:hint="eastAsia" w:ascii="宋体" w:cs="宋体"/>
          <w:color w:val="auto"/>
          <w:sz w:val="24"/>
        </w:rPr>
        <w:t>3.租赁用途：不得经营易燃易爆用品、不得经营歌舞厅。</w:t>
      </w:r>
    </w:p>
    <w:p>
      <w:pPr>
        <w:spacing w:line="440" w:lineRule="exact"/>
        <w:ind w:firstLine="482" w:firstLineChars="200"/>
        <w:rPr>
          <w:rFonts w:ascii="宋体"/>
          <w:b/>
          <w:color w:val="auto"/>
          <w:sz w:val="24"/>
        </w:rPr>
      </w:pPr>
      <w:r>
        <w:rPr>
          <w:rFonts w:hint="eastAsia" w:ascii="宋体"/>
          <w:b/>
          <w:color w:val="auto"/>
          <w:sz w:val="24"/>
        </w:rPr>
        <w:t>三、竞价资格：</w:t>
      </w:r>
    </w:p>
    <w:p>
      <w:pPr>
        <w:spacing w:line="440" w:lineRule="exact"/>
        <w:ind w:firstLine="480" w:firstLineChars="200"/>
        <w:rPr>
          <w:rFonts w:ascii="宋体"/>
          <w:color w:val="auto"/>
          <w:sz w:val="24"/>
        </w:rPr>
      </w:pPr>
      <w:r>
        <w:rPr>
          <w:rFonts w:hint="eastAsia" w:ascii="宋体"/>
          <w:color w:val="auto"/>
          <w:sz w:val="24"/>
        </w:rPr>
        <w:t>1.凡遵守中华人民共和国法律、法规、具有独立法人资格的国内外企业、组织和自然人均可参加竞价(法律法规另有规定的除外)。</w:t>
      </w:r>
    </w:p>
    <w:p>
      <w:pPr>
        <w:spacing w:line="440" w:lineRule="exact"/>
        <w:ind w:left="50" w:firstLine="360" w:firstLineChars="150"/>
        <w:jc w:val="left"/>
        <w:rPr>
          <w:rFonts w:ascii="宋体"/>
          <w:color w:val="auto"/>
          <w:sz w:val="24"/>
        </w:rPr>
      </w:pPr>
      <w:r>
        <w:rPr>
          <w:rFonts w:hint="eastAsia" w:ascii="宋体"/>
          <w:color w:val="auto"/>
          <w:sz w:val="24"/>
        </w:rPr>
        <w:t>2.参加本次竞价会的竞价人在规定的时间前需交纳竞价保证金、登录权益云交易平台办理竞价登记手续并签订《承诺书》。竞价人为自然人的，应提供本人有效身份证件及其复印件。竞价人为法人或者其他组织的，应提供法人营业执照或登记证、法定代表人身份证明，并提交复印件。</w:t>
      </w:r>
    </w:p>
    <w:p>
      <w:pPr>
        <w:spacing w:line="440" w:lineRule="exact"/>
        <w:ind w:firstLine="482" w:firstLineChars="200"/>
        <w:rPr>
          <w:rFonts w:ascii="宋体"/>
          <w:b/>
          <w:color w:val="auto"/>
          <w:sz w:val="24"/>
        </w:rPr>
      </w:pPr>
      <w:r>
        <w:rPr>
          <w:rFonts w:hint="eastAsia" w:ascii="宋体"/>
          <w:b/>
          <w:color w:val="auto"/>
          <w:sz w:val="24"/>
        </w:rPr>
        <w:t>四、报名及竞价保证金：</w:t>
      </w:r>
    </w:p>
    <w:p>
      <w:pPr>
        <w:spacing w:line="440" w:lineRule="exact"/>
        <w:ind w:firstLine="480" w:firstLineChars="200"/>
        <w:rPr>
          <w:rFonts w:ascii="宋体"/>
          <w:color w:val="auto"/>
          <w:sz w:val="24"/>
        </w:rPr>
      </w:pPr>
      <w:r>
        <w:rPr>
          <w:rFonts w:hint="eastAsia" w:ascii="宋体"/>
          <w:color w:val="auto"/>
          <w:sz w:val="24"/>
        </w:rPr>
        <w:t>1.</w:t>
      </w:r>
      <w:r>
        <w:rPr>
          <w:rFonts w:ascii="宋体"/>
          <w:color w:val="auto"/>
          <w:sz w:val="24"/>
        </w:rPr>
        <w:t>符合前述条件的</w:t>
      </w:r>
      <w:r>
        <w:rPr>
          <w:rFonts w:hint="eastAsia" w:ascii="宋体"/>
          <w:color w:val="auto"/>
          <w:sz w:val="24"/>
        </w:rPr>
        <w:t>竞价</w:t>
      </w:r>
      <w:r>
        <w:rPr>
          <w:rFonts w:ascii="宋体"/>
          <w:color w:val="auto"/>
          <w:sz w:val="24"/>
        </w:rPr>
        <w:t>人，应于</w:t>
      </w:r>
      <w:r>
        <w:rPr>
          <w:rFonts w:ascii="宋体"/>
          <w:b/>
          <w:bCs/>
          <w:color w:val="auto"/>
          <w:sz w:val="24"/>
        </w:rPr>
        <w:t>202</w:t>
      </w:r>
      <w:r>
        <w:rPr>
          <w:rFonts w:hint="eastAsia" w:ascii="宋体"/>
          <w:b/>
          <w:bCs/>
          <w:color w:val="auto"/>
          <w:sz w:val="24"/>
        </w:rPr>
        <w:t>1</w:t>
      </w:r>
      <w:r>
        <w:rPr>
          <w:rFonts w:ascii="宋体"/>
          <w:b/>
          <w:bCs/>
          <w:color w:val="auto"/>
          <w:sz w:val="24"/>
        </w:rPr>
        <w:t>年</w:t>
      </w:r>
      <w:r>
        <w:rPr>
          <w:rFonts w:hint="eastAsia" w:ascii="宋体"/>
          <w:b/>
          <w:bCs/>
          <w:color w:val="auto"/>
          <w:sz w:val="24"/>
        </w:rPr>
        <w:t>8</w:t>
      </w:r>
      <w:r>
        <w:rPr>
          <w:rFonts w:ascii="宋体"/>
          <w:b/>
          <w:bCs/>
          <w:color w:val="auto"/>
          <w:sz w:val="24"/>
        </w:rPr>
        <w:t>月</w:t>
      </w:r>
      <w:r>
        <w:rPr>
          <w:rFonts w:hint="eastAsia" w:ascii="宋体"/>
          <w:b/>
          <w:bCs/>
          <w:color w:val="auto"/>
          <w:sz w:val="24"/>
        </w:rPr>
        <w:t>26</w:t>
      </w:r>
      <w:r>
        <w:rPr>
          <w:rFonts w:ascii="宋体"/>
          <w:b/>
          <w:bCs/>
          <w:color w:val="auto"/>
          <w:sz w:val="24"/>
        </w:rPr>
        <w:t>日17时前</w:t>
      </w:r>
      <w:r>
        <w:rPr>
          <w:rFonts w:ascii="宋体"/>
          <w:color w:val="auto"/>
          <w:sz w:val="24"/>
        </w:rPr>
        <w:t>将相应</w:t>
      </w:r>
      <w:r>
        <w:rPr>
          <w:rFonts w:hint="eastAsia" w:ascii="宋体"/>
          <w:color w:val="auto"/>
          <w:sz w:val="24"/>
        </w:rPr>
        <w:t>竞价</w:t>
      </w:r>
      <w:r>
        <w:rPr>
          <w:rFonts w:ascii="宋体"/>
          <w:color w:val="auto"/>
          <w:sz w:val="24"/>
        </w:rPr>
        <w:t>保证金存指定账户（以到账时间为准），</w:t>
      </w:r>
      <w:r>
        <w:rPr>
          <w:rFonts w:hint="eastAsia" w:ascii="宋体"/>
          <w:color w:val="auto"/>
          <w:sz w:val="24"/>
        </w:rPr>
        <w:t>并登录权益云交易平台报名和到我公司确认相关竞价文件。</w:t>
      </w:r>
    </w:p>
    <w:p>
      <w:pPr>
        <w:spacing w:line="440" w:lineRule="exact"/>
        <w:ind w:firstLine="480" w:firstLineChars="200"/>
        <w:rPr>
          <w:rFonts w:ascii="宋体"/>
          <w:color w:val="auto"/>
          <w:sz w:val="24"/>
        </w:rPr>
      </w:pPr>
      <w:r>
        <w:rPr>
          <w:rFonts w:hint="eastAsia" w:ascii="宋体"/>
          <w:color w:val="auto"/>
          <w:sz w:val="24"/>
        </w:rPr>
        <w:t>2.意向竞价人应自行至权益云网站学习竞价流程，注册竞价系统账号并在报名截止时间之前登录竞价系统申请竞价（支持微信公众号“权益云交易平台”），根据流程上传相关资料，若有疑问应及时咨询本公司业务部门；由于意向竞价人竞价材料或者竞价申请未按时提交而导致本公司无法进行资格审核、或者竞价账号未注册或者未激活的，均视为意向竞价人放弃本次竞价报名，不得成为竞价人。</w:t>
      </w:r>
    </w:p>
    <w:p>
      <w:pPr>
        <w:spacing w:line="440" w:lineRule="exact"/>
        <w:ind w:firstLine="480" w:firstLineChars="200"/>
        <w:rPr>
          <w:rFonts w:ascii="宋体"/>
          <w:color w:val="auto"/>
          <w:sz w:val="24"/>
        </w:rPr>
      </w:pPr>
      <w:r>
        <w:rPr>
          <w:rFonts w:hint="eastAsia" w:ascii="宋体"/>
          <w:color w:val="auto"/>
          <w:sz w:val="24"/>
        </w:rPr>
        <w:t>3.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spacing w:line="440" w:lineRule="exact"/>
        <w:ind w:firstLine="480" w:firstLineChars="200"/>
        <w:rPr>
          <w:rFonts w:ascii="宋体"/>
          <w:color w:val="auto"/>
          <w:sz w:val="24"/>
        </w:rPr>
      </w:pPr>
      <w:r>
        <w:rPr>
          <w:rFonts w:hint="eastAsia" w:ascii="宋体"/>
          <w:color w:val="auto"/>
          <w:sz w:val="24"/>
        </w:rPr>
        <w:t>4.未竞得标的的竞价人，其竞价保证金于竞价会结束之日起十个工作日内无息退还至缴款人本人账户。</w:t>
      </w:r>
    </w:p>
    <w:p>
      <w:pPr>
        <w:spacing w:line="440" w:lineRule="exact"/>
        <w:ind w:firstLine="480" w:firstLineChars="200"/>
        <w:rPr>
          <w:rFonts w:ascii="宋体"/>
          <w:color w:val="auto"/>
          <w:sz w:val="24"/>
        </w:rPr>
      </w:pPr>
      <w:r>
        <w:rPr>
          <w:rFonts w:hint="eastAsia" w:ascii="宋体"/>
          <w:color w:val="auto"/>
          <w:sz w:val="24"/>
        </w:rPr>
        <w:t>5.成交人（即承租人，下同）的竞价保证金直接抵作交易服务费，如有剩余，由产权交易服务机构将剩余部分转付给委托人抵作部分成交款，如不足抵扣交易服务费的，成交人应在竞价成交日起二日内付清。</w:t>
      </w:r>
    </w:p>
    <w:p>
      <w:pPr>
        <w:spacing w:line="440" w:lineRule="exact"/>
        <w:ind w:firstLine="482" w:firstLineChars="200"/>
        <w:rPr>
          <w:rFonts w:ascii="宋体"/>
          <w:b/>
          <w:color w:val="auto"/>
          <w:sz w:val="24"/>
        </w:rPr>
      </w:pPr>
      <w:r>
        <w:rPr>
          <w:rFonts w:hint="eastAsia" w:ascii="宋体"/>
          <w:b/>
          <w:color w:val="auto"/>
          <w:sz w:val="24"/>
        </w:rPr>
        <w:t>五、竞价保证金、交易服务费及竞价成交款的交付账户：</w:t>
      </w:r>
    </w:p>
    <w:p>
      <w:pPr>
        <w:spacing w:line="440" w:lineRule="exact"/>
        <w:ind w:firstLine="480" w:firstLineChars="200"/>
        <w:rPr>
          <w:rFonts w:ascii="宋体"/>
          <w:color w:val="auto"/>
          <w:sz w:val="24"/>
        </w:rPr>
      </w:pPr>
      <w:r>
        <w:rPr>
          <w:rFonts w:hint="eastAsia" w:ascii="宋体"/>
          <w:color w:val="auto"/>
          <w:sz w:val="24"/>
        </w:rPr>
        <w:t>1.竞价人的竞价保证金、交易服务费及竞价成交款存入产权交易服务机构指定的银行帐户（户名：连城县国有资产产权交易服务有限公司，开户行：农业银行连城县支行，账号： 1377 0101 0400 18263），竞价保证金缴至以上账户时，交款单中“款项来源”或“用途”一栏内须填写“****人的竞价保证金”。</w:t>
      </w:r>
    </w:p>
    <w:p>
      <w:pPr>
        <w:spacing w:line="440" w:lineRule="exact"/>
        <w:ind w:firstLine="480" w:firstLineChars="200"/>
        <w:rPr>
          <w:rFonts w:ascii="宋体"/>
          <w:color w:val="auto"/>
          <w:sz w:val="24"/>
        </w:rPr>
      </w:pPr>
      <w:r>
        <w:rPr>
          <w:rFonts w:hint="eastAsia" w:ascii="宋体"/>
          <w:color w:val="auto"/>
          <w:sz w:val="24"/>
        </w:rPr>
        <w:t>2.竞价人必须从本人或单位的银行账户采用转账、电汇、网上汇款等方式汇入指定账户，或直接在银行现金缴款到指定账户，不得以他人名义代缴，不接受ATM自助转账、微信、支付宝等方式，否则产权交易服务机构可以视其缴交竞价保证金行为无效。</w:t>
      </w:r>
    </w:p>
    <w:p>
      <w:pPr>
        <w:spacing w:line="440" w:lineRule="exact"/>
        <w:ind w:firstLine="482" w:firstLineChars="200"/>
        <w:rPr>
          <w:rFonts w:ascii="宋体" w:cs="宋体"/>
          <w:b/>
          <w:color w:val="auto"/>
          <w:sz w:val="24"/>
        </w:rPr>
      </w:pPr>
      <w:r>
        <w:rPr>
          <w:rFonts w:hint="eastAsia" w:ascii="宋体"/>
          <w:b/>
          <w:color w:val="auto"/>
          <w:sz w:val="24"/>
        </w:rPr>
        <w:t>六、</w:t>
      </w:r>
      <w:r>
        <w:rPr>
          <w:rFonts w:hint="eastAsia" w:ascii="宋体" w:cs="宋体"/>
          <w:b/>
          <w:color w:val="auto"/>
          <w:sz w:val="24"/>
        </w:rPr>
        <w:t>竞价规则：</w:t>
      </w:r>
    </w:p>
    <w:p>
      <w:pPr>
        <w:spacing w:line="440" w:lineRule="exact"/>
        <w:ind w:firstLine="480" w:firstLineChars="200"/>
        <w:rPr>
          <w:rFonts w:ascii="宋体" w:cs="宋体"/>
          <w:color w:val="auto"/>
          <w:kern w:val="0"/>
          <w:sz w:val="24"/>
        </w:rPr>
      </w:pPr>
      <w:r>
        <w:rPr>
          <w:rFonts w:hint="eastAsia" w:ascii="宋体" w:cs="宋体"/>
          <w:color w:val="auto"/>
          <w:kern w:val="0"/>
          <w:sz w:val="24"/>
        </w:rPr>
        <w:t>1.本次竞价采用权益云交易平台（网址：</w:t>
      </w:r>
      <w:r>
        <w:rPr>
          <w:rFonts w:hint="eastAsia" w:ascii="宋体" w:cs="宋体"/>
          <w:color w:val="auto"/>
          <w:kern w:val="0"/>
          <w:sz w:val="24"/>
        </w:rPr>
        <w:fldChar w:fldCharType="begin"/>
      </w:r>
      <w:r>
        <w:rPr>
          <w:color w:val="auto"/>
        </w:rPr>
        <w:instrText xml:space="preserve">HYPERLINK "https://www.unibid.cn/"</w:instrText>
      </w:r>
      <w:r>
        <w:rPr>
          <w:rFonts w:hint="eastAsia" w:ascii="宋体" w:cs="宋体"/>
          <w:color w:val="auto"/>
          <w:kern w:val="0"/>
          <w:sz w:val="24"/>
        </w:rPr>
        <w:fldChar w:fldCharType="separate"/>
      </w:r>
      <w:r>
        <w:rPr>
          <w:rFonts w:hint="eastAsia" w:ascii="宋体" w:cs="宋体"/>
          <w:color w:val="auto"/>
          <w:kern w:val="0"/>
          <w:sz w:val="24"/>
        </w:rPr>
        <w:t>https://www.unibid.cn/</w:t>
      </w:r>
      <w:r>
        <w:rPr>
          <w:rFonts w:hint="eastAsia" w:ascii="宋体" w:cs="宋体"/>
          <w:color w:val="auto"/>
          <w:kern w:val="0"/>
          <w:sz w:val="24"/>
        </w:rPr>
        <w:fldChar w:fldCharType="end"/>
      </w:r>
      <w:r>
        <w:rPr>
          <w:rFonts w:hint="eastAsia" w:ascii="宋体" w:cs="宋体"/>
          <w:color w:val="auto"/>
          <w:kern w:val="0"/>
          <w:sz w:val="24"/>
        </w:rPr>
        <w:t>)正向一次性报价的方式，按价高者得确定承租人（</w:t>
      </w:r>
      <w:r>
        <w:rPr>
          <w:rFonts w:hint="eastAsia" w:ascii="宋体" w:cs="宋体"/>
          <w:b/>
          <w:bCs/>
          <w:color w:val="auto"/>
          <w:kern w:val="0"/>
          <w:sz w:val="24"/>
        </w:rPr>
        <w:t>若有优先权人的，优先权人</w:t>
      </w:r>
      <w:r>
        <w:rPr>
          <w:rFonts w:hint="eastAsia" w:ascii="宋体"/>
          <w:b/>
          <w:bCs/>
          <w:color w:val="auto"/>
          <w:sz w:val="24"/>
        </w:rPr>
        <w:t>参加竞价的在同等条件下享有优先承租权，优先权人应报名参加竞价会，否则视为放弃优先权</w:t>
      </w:r>
      <w:r>
        <w:rPr>
          <w:rFonts w:hint="eastAsia" w:ascii="宋体" w:cs="宋体"/>
          <w:color w:val="auto"/>
          <w:kern w:val="0"/>
          <w:sz w:val="24"/>
        </w:rPr>
        <w:t>），未达保留价不成交。</w:t>
      </w:r>
    </w:p>
    <w:p>
      <w:pPr>
        <w:spacing w:line="440" w:lineRule="exact"/>
        <w:ind w:firstLine="480" w:firstLineChars="200"/>
        <w:rPr>
          <w:rFonts w:ascii="宋体" w:cs="宋体"/>
          <w:color w:val="auto"/>
          <w:kern w:val="0"/>
          <w:sz w:val="24"/>
        </w:rPr>
      </w:pPr>
      <w:r>
        <w:rPr>
          <w:rFonts w:hint="eastAsia" w:ascii="宋体" w:cs="宋体"/>
          <w:color w:val="auto"/>
          <w:kern w:val="0"/>
          <w:sz w:val="24"/>
        </w:rPr>
        <w:t>2.意向</w:t>
      </w:r>
      <w:r>
        <w:rPr>
          <w:rFonts w:hint="eastAsia" w:ascii="宋体"/>
          <w:color w:val="auto"/>
          <w:sz w:val="24"/>
        </w:rPr>
        <w:t>竞价</w:t>
      </w:r>
      <w:r>
        <w:rPr>
          <w:rFonts w:hint="eastAsia" w:ascii="宋体" w:cs="宋体"/>
          <w:color w:val="auto"/>
          <w:kern w:val="0"/>
          <w:sz w:val="24"/>
        </w:rPr>
        <w:t>人申请竞价经本公司审核通过才能进入竞价大厅正式报价。</w:t>
      </w:r>
    </w:p>
    <w:p>
      <w:pPr>
        <w:spacing w:line="440" w:lineRule="exact"/>
        <w:ind w:firstLine="480" w:firstLineChars="200"/>
        <w:rPr>
          <w:rFonts w:ascii="宋体" w:cs="宋体"/>
          <w:b/>
          <w:bCs/>
          <w:color w:val="auto"/>
          <w:kern w:val="0"/>
          <w:sz w:val="24"/>
        </w:rPr>
      </w:pPr>
      <w:r>
        <w:rPr>
          <w:rFonts w:hint="eastAsia" w:ascii="宋体" w:cs="宋体"/>
          <w:color w:val="auto"/>
          <w:kern w:val="0"/>
          <w:sz w:val="24"/>
        </w:rPr>
        <w:t>3.</w:t>
      </w:r>
      <w:r>
        <w:rPr>
          <w:rFonts w:hint="eastAsia" w:ascii="宋体" w:cs="宋体"/>
          <w:b/>
          <w:bCs/>
          <w:color w:val="auto"/>
          <w:kern w:val="0"/>
          <w:sz w:val="24"/>
        </w:rPr>
        <w:t>若有优先权人的，报价分成两个阶段，先进行一般竞买人一次报价阶段（第一报价阶段），然后为优先权人行使优先权阶段（第二报价阶段）；若无优先权人的，在第一报价阶段时间结束就确定最高报价者，具体如下：</w:t>
      </w:r>
    </w:p>
    <w:p>
      <w:pPr>
        <w:spacing w:line="440" w:lineRule="exact"/>
        <w:ind w:firstLine="482" w:firstLineChars="200"/>
        <w:rPr>
          <w:rFonts w:ascii="宋体" w:cs="宋体"/>
          <w:b/>
          <w:bCs/>
          <w:color w:val="auto"/>
          <w:kern w:val="0"/>
          <w:sz w:val="24"/>
        </w:rPr>
      </w:pPr>
      <w:r>
        <w:rPr>
          <w:rFonts w:hint="eastAsia" w:ascii="宋体" w:cs="宋体"/>
          <w:b/>
          <w:bCs/>
          <w:color w:val="auto"/>
          <w:kern w:val="0"/>
          <w:sz w:val="24"/>
        </w:rPr>
        <w:t>（1）第一报价阶段：即本公司约定时间至优先权人行使优先承租权阶段开始之前。在报价时间内，所有竞买人（优先权人不用报价）都可以对本项目标的进行一次报价，报价提交后不可撤销或更改，竞买人一经报价，不得反悔，按照价格优先、时间优先的原则确定最高报价者。</w:t>
      </w:r>
    </w:p>
    <w:p>
      <w:pPr>
        <w:spacing w:line="440" w:lineRule="exact"/>
        <w:ind w:firstLine="482" w:firstLineChars="200"/>
        <w:rPr>
          <w:rFonts w:ascii="宋体" w:cs="宋体"/>
          <w:b/>
          <w:bCs/>
          <w:color w:val="auto"/>
          <w:kern w:val="0"/>
          <w:sz w:val="24"/>
        </w:rPr>
      </w:pPr>
      <w:r>
        <w:rPr>
          <w:rFonts w:hint="eastAsia" w:ascii="宋体" w:cs="宋体"/>
          <w:b/>
          <w:bCs/>
          <w:color w:val="auto"/>
          <w:kern w:val="0"/>
          <w:sz w:val="24"/>
        </w:rPr>
        <w:t>（2）第二报价阶段：即优先权人行使优先权阶段。第一阶段报价完成产生结果后，优先权人根据结果决定是否行使优先权（优先权人的报价应高于或等于最高报价），行使优先权的时间为</w:t>
      </w:r>
      <w:r>
        <w:rPr>
          <w:rFonts w:ascii="宋体" w:cs="宋体"/>
          <w:b/>
          <w:bCs/>
          <w:color w:val="auto"/>
          <w:kern w:val="0"/>
          <w:sz w:val="24"/>
        </w:rPr>
        <w:t>10分钟</w:t>
      </w:r>
      <w:r>
        <w:rPr>
          <w:rFonts w:hint="eastAsia" w:ascii="宋体" w:cs="宋体"/>
          <w:b/>
          <w:bCs/>
          <w:color w:val="auto"/>
          <w:kern w:val="0"/>
          <w:sz w:val="24"/>
        </w:rPr>
        <w:t>。</w:t>
      </w:r>
    </w:p>
    <w:p>
      <w:pPr>
        <w:spacing w:line="440" w:lineRule="exact"/>
        <w:ind w:firstLine="480" w:firstLineChars="200"/>
        <w:rPr>
          <w:rFonts w:ascii="宋体" w:cs="宋体"/>
          <w:bCs/>
          <w:color w:val="auto"/>
          <w:kern w:val="0"/>
          <w:sz w:val="24"/>
        </w:rPr>
      </w:pPr>
      <w:r>
        <w:rPr>
          <w:rFonts w:hint="eastAsia" w:ascii="宋体" w:cs="宋体"/>
          <w:bCs/>
          <w:color w:val="auto"/>
          <w:kern w:val="0"/>
          <w:sz w:val="24"/>
        </w:rPr>
        <w:t>4.在规定的报价时点截止后，最高报价超过或达到保留价时成交，不到保留价不成交。成交人应在竞价成交后2日内前来本公司签署《竞价结果通知书》，且不得变更成交人的名字。如逾期未签署，视成交人根本违约，</w:t>
      </w:r>
      <w:r>
        <w:rPr>
          <w:rFonts w:hint="eastAsia" w:ascii="宋体"/>
          <w:color w:val="auto"/>
          <w:sz w:val="24"/>
        </w:rPr>
        <w:t>竞价</w:t>
      </w:r>
      <w:r>
        <w:rPr>
          <w:rFonts w:hint="eastAsia" w:ascii="宋体" w:cs="宋体"/>
          <w:bCs/>
          <w:color w:val="auto"/>
          <w:kern w:val="0"/>
          <w:sz w:val="24"/>
        </w:rPr>
        <w:t>保证金不予退回，逾期2日后委托人有权另行委托竞价招租。</w:t>
      </w:r>
    </w:p>
    <w:p>
      <w:pPr>
        <w:spacing w:line="440" w:lineRule="exact"/>
        <w:ind w:firstLine="480" w:firstLineChars="200"/>
        <w:rPr>
          <w:rFonts w:ascii="宋体" w:cs="宋体"/>
          <w:bCs/>
          <w:color w:val="auto"/>
          <w:kern w:val="0"/>
          <w:sz w:val="24"/>
        </w:rPr>
      </w:pPr>
      <w:r>
        <w:rPr>
          <w:rFonts w:hint="eastAsia" w:ascii="宋体" w:cs="宋体"/>
          <w:bCs/>
          <w:color w:val="auto"/>
          <w:kern w:val="0"/>
          <w:sz w:val="24"/>
        </w:rPr>
        <w:t>5.因平台在竞价当日无法正常登录使用，或因不可预见的原因导致上述竞价不能正常进行的，本公司有权调整竞价时间、中止交易或临时决定采用其它竞价方式和竞价交易规则，</w:t>
      </w:r>
      <w:r>
        <w:rPr>
          <w:rFonts w:hint="eastAsia" w:ascii="宋体"/>
          <w:color w:val="auto"/>
          <w:sz w:val="24"/>
        </w:rPr>
        <w:t>竞价</w:t>
      </w:r>
      <w:r>
        <w:rPr>
          <w:rFonts w:hint="eastAsia" w:ascii="宋体" w:cs="宋体"/>
          <w:bCs/>
          <w:color w:val="auto"/>
          <w:kern w:val="0"/>
          <w:sz w:val="24"/>
        </w:rPr>
        <w:t>人对此不得有异议。如有调整将在在</w:t>
      </w:r>
      <w:r>
        <w:rPr>
          <w:rFonts w:hint="eastAsia" w:ascii="宋体"/>
          <w:b/>
          <w:bCs/>
          <w:color w:val="auto"/>
          <w:sz w:val="24"/>
        </w:rPr>
        <w:t>连城产权交易网（网址：http://www.lcxcqjy.com/）、龙岩产权交易网（网址：http://www.lycqjy.com/)和龙岩市公共资源交易中心网（网址：https://ggzy.longyan.gov.cn:8443/lyztb/）</w:t>
      </w:r>
      <w:r>
        <w:rPr>
          <w:rFonts w:hint="eastAsia" w:ascii="宋体" w:cs="宋体"/>
          <w:bCs/>
          <w:color w:val="auto"/>
          <w:kern w:val="0"/>
          <w:sz w:val="24"/>
        </w:rPr>
        <w:t>进行公告</w:t>
      </w:r>
      <w:r>
        <w:rPr>
          <w:rFonts w:ascii="宋体" w:cs="宋体"/>
          <w:bCs/>
          <w:color w:val="auto"/>
          <w:kern w:val="0"/>
          <w:sz w:val="24"/>
        </w:rPr>
        <w:t>。</w:t>
      </w:r>
    </w:p>
    <w:p>
      <w:pPr>
        <w:spacing w:line="440" w:lineRule="exact"/>
        <w:ind w:firstLine="480" w:firstLineChars="200"/>
        <w:rPr>
          <w:rFonts w:ascii="宋体" w:cs="宋体"/>
          <w:bCs/>
          <w:color w:val="auto"/>
          <w:kern w:val="0"/>
          <w:sz w:val="24"/>
        </w:rPr>
      </w:pPr>
      <w:r>
        <w:rPr>
          <w:rFonts w:hint="eastAsia" w:ascii="宋体" w:cs="宋体"/>
          <w:bCs/>
          <w:color w:val="auto"/>
          <w:kern w:val="0"/>
          <w:sz w:val="24"/>
        </w:rPr>
        <w:t>6.</w:t>
      </w:r>
      <w:r>
        <w:rPr>
          <w:rFonts w:hint="eastAsia" w:ascii="宋体"/>
          <w:color w:val="auto"/>
          <w:sz w:val="24"/>
        </w:rPr>
        <w:t>竞价</w:t>
      </w:r>
      <w:r>
        <w:rPr>
          <w:rFonts w:hint="eastAsia" w:ascii="宋体" w:cs="宋体"/>
          <w:bCs/>
          <w:color w:val="auto"/>
          <w:kern w:val="0"/>
          <w:sz w:val="24"/>
        </w:rPr>
        <w:t>人应妥善保管好用户名及密码，用户名为</w:t>
      </w:r>
      <w:r>
        <w:rPr>
          <w:rFonts w:hint="eastAsia" w:ascii="宋体"/>
          <w:color w:val="auto"/>
          <w:sz w:val="24"/>
        </w:rPr>
        <w:t>竞价</w:t>
      </w:r>
      <w:r>
        <w:rPr>
          <w:rFonts w:hint="eastAsia" w:ascii="宋体" w:cs="宋体"/>
          <w:bCs/>
          <w:color w:val="auto"/>
          <w:kern w:val="0"/>
          <w:sz w:val="24"/>
        </w:rPr>
        <w:t>人参加网络竞价的唯一合法身份，所有用户登录后的报价均视为</w:t>
      </w:r>
      <w:r>
        <w:rPr>
          <w:rFonts w:hint="eastAsia" w:ascii="宋体"/>
          <w:color w:val="auto"/>
          <w:sz w:val="24"/>
        </w:rPr>
        <w:t>竞价</w:t>
      </w:r>
      <w:r>
        <w:rPr>
          <w:rFonts w:hint="eastAsia" w:ascii="宋体" w:cs="宋体"/>
          <w:bCs/>
          <w:color w:val="auto"/>
          <w:kern w:val="0"/>
          <w:sz w:val="24"/>
        </w:rPr>
        <w:t>人对本竞价文件各条款的完全接受；</w:t>
      </w:r>
      <w:r>
        <w:rPr>
          <w:rFonts w:hint="eastAsia" w:ascii="宋体"/>
          <w:color w:val="auto"/>
          <w:sz w:val="24"/>
        </w:rPr>
        <w:t>竞价</w:t>
      </w:r>
      <w:r>
        <w:rPr>
          <w:rFonts w:hint="eastAsia" w:ascii="宋体" w:cs="宋体"/>
          <w:bCs/>
          <w:color w:val="auto"/>
          <w:kern w:val="0"/>
          <w:sz w:val="24"/>
        </w:rPr>
        <w:t>人对于本公司和委托人的免责条款已知悉，并同意接受；并且是本人真实意愿的表示。如用户名丢失或被他人盗用所造成的一切后果均由</w:t>
      </w:r>
      <w:r>
        <w:rPr>
          <w:rFonts w:hint="eastAsia" w:ascii="宋体"/>
          <w:color w:val="auto"/>
          <w:sz w:val="24"/>
        </w:rPr>
        <w:t>竞价</w:t>
      </w:r>
      <w:r>
        <w:rPr>
          <w:rFonts w:hint="eastAsia" w:ascii="宋体" w:cs="宋体"/>
          <w:bCs/>
          <w:color w:val="auto"/>
          <w:kern w:val="0"/>
          <w:sz w:val="24"/>
        </w:rPr>
        <w:t>人负责。</w:t>
      </w:r>
    </w:p>
    <w:p>
      <w:pPr>
        <w:spacing w:line="440" w:lineRule="exact"/>
        <w:ind w:firstLine="480" w:firstLineChars="200"/>
        <w:rPr>
          <w:rFonts w:ascii="宋体" w:cs="宋体"/>
          <w:bCs/>
          <w:color w:val="auto"/>
          <w:kern w:val="0"/>
          <w:sz w:val="24"/>
        </w:rPr>
      </w:pPr>
      <w:r>
        <w:rPr>
          <w:rFonts w:hint="eastAsia" w:ascii="宋体" w:cs="宋体"/>
          <w:bCs/>
          <w:color w:val="auto"/>
          <w:kern w:val="0"/>
          <w:sz w:val="24"/>
        </w:rPr>
        <w:t>7.成交人无论以何种方式支付竞价成交价款，都必须按规定</w:t>
      </w:r>
      <w:r>
        <w:rPr>
          <w:rFonts w:ascii="宋体" w:cs="宋体"/>
          <w:bCs/>
          <w:color w:val="auto"/>
          <w:kern w:val="0"/>
          <w:sz w:val="24"/>
        </w:rPr>
        <w:t>将</w:t>
      </w:r>
      <w:r>
        <w:rPr>
          <w:rFonts w:hint="eastAsia" w:ascii="宋体" w:cs="宋体"/>
          <w:bCs/>
          <w:color w:val="auto"/>
          <w:kern w:val="0"/>
          <w:sz w:val="24"/>
        </w:rPr>
        <w:t>成交款存入指定帐户，并得到确认后，方能领取《竞价结果通知书》并办理标的的移交手续。</w:t>
      </w:r>
    </w:p>
    <w:p>
      <w:pPr>
        <w:spacing w:line="440" w:lineRule="exact"/>
        <w:ind w:firstLine="480" w:firstLineChars="200"/>
        <w:rPr>
          <w:rFonts w:ascii="宋体" w:cs="宋体"/>
          <w:bCs/>
          <w:color w:val="auto"/>
          <w:kern w:val="0"/>
          <w:sz w:val="24"/>
        </w:rPr>
      </w:pPr>
      <w:r>
        <w:rPr>
          <w:rFonts w:hint="eastAsia" w:ascii="宋体" w:cs="宋体"/>
          <w:bCs/>
          <w:color w:val="auto"/>
          <w:kern w:val="0"/>
          <w:sz w:val="24"/>
        </w:rPr>
        <w:t>8.</w:t>
      </w:r>
      <w:r>
        <w:rPr>
          <w:rFonts w:hint="eastAsia" w:ascii="宋体"/>
          <w:color w:val="auto"/>
          <w:sz w:val="24"/>
        </w:rPr>
        <w:t>竞价</w:t>
      </w:r>
      <w:r>
        <w:rPr>
          <w:rFonts w:hint="eastAsia" w:ascii="宋体" w:cs="宋体"/>
          <w:bCs/>
          <w:color w:val="auto"/>
          <w:kern w:val="0"/>
          <w:sz w:val="24"/>
        </w:rPr>
        <w:t>登记时</w:t>
      </w:r>
      <w:r>
        <w:rPr>
          <w:rFonts w:hint="eastAsia" w:ascii="宋体"/>
          <w:color w:val="auto"/>
          <w:sz w:val="24"/>
        </w:rPr>
        <w:t>竞价</w:t>
      </w:r>
      <w:r>
        <w:rPr>
          <w:rFonts w:hint="eastAsia" w:ascii="宋体" w:cs="宋体"/>
          <w:bCs/>
          <w:color w:val="auto"/>
          <w:kern w:val="0"/>
          <w:sz w:val="24"/>
        </w:rPr>
        <w:t>人应保证提供真实有效的身份证明及其他相关材料，确保</w:t>
      </w:r>
      <w:r>
        <w:rPr>
          <w:rFonts w:hint="eastAsia" w:ascii="宋体"/>
          <w:color w:val="auto"/>
          <w:sz w:val="24"/>
        </w:rPr>
        <w:t>竞价</w:t>
      </w:r>
      <w:r>
        <w:rPr>
          <w:rFonts w:hint="eastAsia" w:ascii="宋体" w:cs="宋体"/>
          <w:bCs/>
          <w:color w:val="auto"/>
          <w:kern w:val="0"/>
          <w:sz w:val="24"/>
        </w:rPr>
        <w:t>保证金已缴纳到产权交易服务机构的指定账户，并自行履行审查义务，如上述证明材料存在虚假或</w:t>
      </w:r>
      <w:r>
        <w:rPr>
          <w:rFonts w:hint="eastAsia" w:ascii="宋体"/>
          <w:color w:val="auto"/>
          <w:sz w:val="24"/>
        </w:rPr>
        <w:t>竞价</w:t>
      </w:r>
      <w:r>
        <w:rPr>
          <w:rFonts w:hint="eastAsia" w:ascii="宋体" w:cs="宋体"/>
          <w:bCs/>
          <w:color w:val="auto"/>
          <w:kern w:val="0"/>
          <w:sz w:val="24"/>
        </w:rPr>
        <w:t>保证金未到产权交易服务机构指定账户，将被取消</w:t>
      </w:r>
      <w:r>
        <w:rPr>
          <w:rFonts w:hint="eastAsia" w:ascii="宋体"/>
          <w:color w:val="auto"/>
          <w:sz w:val="24"/>
        </w:rPr>
        <w:t>竞价</w:t>
      </w:r>
      <w:r>
        <w:rPr>
          <w:rFonts w:hint="eastAsia" w:ascii="宋体" w:cs="宋体"/>
          <w:bCs/>
          <w:color w:val="auto"/>
          <w:kern w:val="0"/>
          <w:sz w:val="24"/>
        </w:rPr>
        <w:t>资格同时视作</w:t>
      </w:r>
      <w:r>
        <w:rPr>
          <w:rFonts w:hint="eastAsia" w:ascii="宋体"/>
          <w:color w:val="auto"/>
          <w:sz w:val="24"/>
        </w:rPr>
        <w:t>竞价</w:t>
      </w:r>
      <w:r>
        <w:rPr>
          <w:rFonts w:hint="eastAsia" w:ascii="宋体" w:cs="宋体"/>
          <w:bCs/>
          <w:color w:val="auto"/>
          <w:kern w:val="0"/>
          <w:sz w:val="24"/>
        </w:rPr>
        <w:t>人的恶意</w:t>
      </w:r>
      <w:r>
        <w:rPr>
          <w:rFonts w:hint="eastAsia" w:ascii="宋体"/>
          <w:color w:val="auto"/>
          <w:sz w:val="24"/>
        </w:rPr>
        <w:t>竞价</w:t>
      </w:r>
      <w:r>
        <w:rPr>
          <w:rFonts w:hint="eastAsia" w:ascii="宋体" w:cs="宋体"/>
          <w:bCs/>
          <w:color w:val="auto"/>
          <w:kern w:val="0"/>
          <w:sz w:val="24"/>
        </w:rPr>
        <w:t>行为，产权交易服务机构有权追究其相关的法律责任，如造成损失的，应承担相应的赔偿责任。</w:t>
      </w:r>
    </w:p>
    <w:p>
      <w:pPr>
        <w:spacing w:line="440" w:lineRule="exact"/>
        <w:ind w:firstLine="480" w:firstLineChars="200"/>
        <w:rPr>
          <w:rFonts w:ascii="宋体" w:cs="宋体"/>
          <w:bCs/>
          <w:color w:val="auto"/>
          <w:kern w:val="0"/>
          <w:sz w:val="24"/>
        </w:rPr>
      </w:pPr>
      <w:r>
        <w:rPr>
          <w:rFonts w:hint="eastAsia" w:ascii="宋体" w:cs="宋体"/>
          <w:bCs/>
          <w:color w:val="auto"/>
          <w:kern w:val="0"/>
          <w:sz w:val="24"/>
        </w:rPr>
        <w:t>9.竞价的起价、成交价中均未含竞价成交后成交人应支付的交易服务费。</w:t>
      </w:r>
    </w:p>
    <w:p>
      <w:pPr>
        <w:spacing w:line="440" w:lineRule="exact"/>
        <w:ind w:firstLine="480" w:firstLineChars="200"/>
        <w:rPr>
          <w:rFonts w:ascii="宋体" w:cs="宋体"/>
          <w:bCs/>
          <w:color w:val="auto"/>
          <w:kern w:val="0"/>
          <w:sz w:val="24"/>
        </w:rPr>
      </w:pPr>
      <w:r>
        <w:rPr>
          <w:rFonts w:ascii="宋体" w:cs="宋体"/>
          <w:bCs/>
          <w:color w:val="auto"/>
          <w:kern w:val="0"/>
          <w:sz w:val="24"/>
        </w:rPr>
        <w:t>1</w:t>
      </w:r>
      <w:r>
        <w:rPr>
          <w:rFonts w:hint="eastAsia" w:ascii="宋体" w:cs="宋体"/>
          <w:bCs/>
          <w:color w:val="auto"/>
          <w:kern w:val="0"/>
          <w:sz w:val="24"/>
        </w:rPr>
        <w:t>0.网上</w:t>
      </w:r>
      <w:r>
        <w:rPr>
          <w:rFonts w:hint="eastAsia" w:ascii="宋体"/>
          <w:color w:val="auto"/>
          <w:sz w:val="24"/>
        </w:rPr>
        <w:t>竞价</w:t>
      </w:r>
      <w:r>
        <w:rPr>
          <w:rFonts w:hint="eastAsia" w:ascii="宋体" w:cs="宋体"/>
          <w:bCs/>
          <w:color w:val="auto"/>
          <w:kern w:val="0"/>
          <w:sz w:val="24"/>
        </w:rPr>
        <w:t>风险提醒</w:t>
      </w:r>
    </w:p>
    <w:p>
      <w:pPr>
        <w:spacing w:line="440" w:lineRule="exact"/>
        <w:ind w:left="0" w:firstLine="480" w:firstLineChars="200"/>
        <w:rPr>
          <w:bCs/>
          <w:color w:val="auto"/>
          <w:sz w:val="24"/>
        </w:rPr>
      </w:pPr>
      <w:r>
        <w:rPr>
          <w:rFonts w:hint="eastAsia"/>
          <w:bCs/>
          <w:color w:val="auto"/>
          <w:sz w:val="24"/>
        </w:rPr>
        <w:t>鉴于互联网的特殊性，同时出于对网上</w:t>
      </w:r>
      <w:r>
        <w:rPr>
          <w:rFonts w:hint="eastAsia" w:ascii="宋体"/>
          <w:color w:val="auto"/>
          <w:sz w:val="24"/>
        </w:rPr>
        <w:t>竞价</w:t>
      </w:r>
      <w:r>
        <w:rPr>
          <w:rFonts w:hint="eastAsia"/>
          <w:bCs/>
          <w:color w:val="auto"/>
          <w:sz w:val="24"/>
        </w:rPr>
        <w:t>人负责的态度，产权交易服务机构郑重提醒：网上出价存在多种风险（网络故障、电路故障、系统故障、平台故障），网上</w:t>
      </w:r>
      <w:r>
        <w:rPr>
          <w:rFonts w:hint="eastAsia" w:ascii="宋体"/>
          <w:color w:val="auto"/>
          <w:sz w:val="24"/>
        </w:rPr>
        <w:t>竞价</w:t>
      </w:r>
      <w:r>
        <w:rPr>
          <w:rFonts w:hint="eastAsia"/>
          <w:bCs/>
          <w:color w:val="auto"/>
          <w:sz w:val="24"/>
        </w:rPr>
        <w:t>人必须充分估计上述原因导致网上出价不同与现场出价所带来的风险，如果发生上述情况以及本人操作差错所造成的损失由</w:t>
      </w:r>
      <w:r>
        <w:rPr>
          <w:rFonts w:hint="eastAsia" w:ascii="宋体"/>
          <w:color w:val="auto"/>
          <w:sz w:val="24"/>
        </w:rPr>
        <w:t>竞价</w:t>
      </w:r>
      <w:r>
        <w:rPr>
          <w:rFonts w:hint="eastAsia"/>
          <w:bCs/>
          <w:color w:val="auto"/>
          <w:sz w:val="24"/>
        </w:rPr>
        <w:t>人承担，产权交易服务机构不负有任何责任。</w:t>
      </w:r>
    </w:p>
    <w:p>
      <w:pPr>
        <w:spacing w:line="440" w:lineRule="exact"/>
        <w:ind w:left="0" w:firstLine="480" w:firstLineChars="200"/>
        <w:rPr>
          <w:bCs/>
          <w:color w:val="auto"/>
          <w:sz w:val="24"/>
        </w:rPr>
      </w:pPr>
      <w:r>
        <w:rPr>
          <w:rFonts w:hint="eastAsia"/>
          <w:bCs/>
          <w:color w:val="auto"/>
          <w:sz w:val="24"/>
        </w:rPr>
        <w:t>11.平台竞价的</w:t>
      </w:r>
      <w:r>
        <w:rPr>
          <w:rFonts w:hint="eastAsia" w:ascii="宋体"/>
          <w:color w:val="auto"/>
          <w:sz w:val="24"/>
        </w:rPr>
        <w:t>竞价</w:t>
      </w:r>
      <w:r>
        <w:rPr>
          <w:rFonts w:hint="eastAsia"/>
          <w:bCs/>
          <w:color w:val="auto"/>
          <w:sz w:val="24"/>
        </w:rPr>
        <w:t>人应自行保障竞价过程中电脑及网络的通畅，竞价过程中如因</w:t>
      </w:r>
      <w:r>
        <w:rPr>
          <w:rFonts w:hint="eastAsia" w:ascii="宋体"/>
          <w:color w:val="auto"/>
          <w:sz w:val="24"/>
        </w:rPr>
        <w:t>竞价</w:t>
      </w:r>
      <w:r>
        <w:rPr>
          <w:rFonts w:hint="eastAsia"/>
          <w:bCs/>
          <w:color w:val="auto"/>
          <w:sz w:val="24"/>
        </w:rPr>
        <w:t>人所使用电脑或网络中断或因其操作不当、失误导致竞价失败，与产权交易服务机构无关。</w:t>
      </w:r>
    </w:p>
    <w:p>
      <w:pPr>
        <w:spacing w:line="440" w:lineRule="exact"/>
        <w:ind w:left="0" w:firstLine="480" w:firstLineChars="200"/>
        <w:rPr>
          <w:bCs/>
          <w:color w:val="auto"/>
          <w:sz w:val="24"/>
        </w:rPr>
      </w:pPr>
      <w:r>
        <w:rPr>
          <w:rFonts w:hint="eastAsia"/>
          <w:bCs/>
          <w:color w:val="auto"/>
          <w:sz w:val="24"/>
        </w:rPr>
        <w:t>12.竞价如果出现出价异常情况，或</w:t>
      </w:r>
      <w:r>
        <w:rPr>
          <w:rFonts w:hint="eastAsia" w:ascii="宋体"/>
          <w:color w:val="auto"/>
          <w:sz w:val="24"/>
        </w:rPr>
        <w:t>竞价</w:t>
      </w:r>
      <w:r>
        <w:rPr>
          <w:rFonts w:hint="eastAsia"/>
          <w:bCs/>
          <w:color w:val="auto"/>
          <w:sz w:val="24"/>
        </w:rPr>
        <w:t>人有严重背离价格等恶意乱出价行为，将被视为违约，</w:t>
      </w:r>
      <w:r>
        <w:rPr>
          <w:rFonts w:hint="eastAsia" w:ascii="宋体"/>
          <w:color w:val="auto"/>
          <w:sz w:val="24"/>
        </w:rPr>
        <w:t>竞价</w:t>
      </w:r>
      <w:r>
        <w:rPr>
          <w:rFonts w:hint="eastAsia"/>
          <w:bCs/>
          <w:color w:val="auto"/>
          <w:sz w:val="24"/>
        </w:rPr>
        <w:t>保证金不予退回。</w:t>
      </w:r>
    </w:p>
    <w:p>
      <w:pPr>
        <w:spacing w:line="440" w:lineRule="exact"/>
        <w:ind w:firstLine="482" w:firstLineChars="200"/>
        <w:rPr>
          <w:rFonts w:ascii="宋体"/>
          <w:b/>
          <w:color w:val="auto"/>
          <w:sz w:val="24"/>
        </w:rPr>
      </w:pPr>
      <w:r>
        <w:rPr>
          <w:rFonts w:hint="eastAsia" w:ascii="宋体"/>
          <w:b/>
          <w:color w:val="auto"/>
          <w:sz w:val="24"/>
        </w:rPr>
        <w:t>七、税费：</w:t>
      </w:r>
    </w:p>
    <w:p>
      <w:pPr>
        <w:spacing w:line="440" w:lineRule="exact"/>
        <w:ind w:firstLine="480" w:firstLineChars="200"/>
        <w:rPr>
          <w:rFonts w:ascii="宋体"/>
          <w:color w:val="auto"/>
          <w:sz w:val="24"/>
        </w:rPr>
      </w:pPr>
      <w:r>
        <w:rPr>
          <w:rFonts w:hint="eastAsia" w:ascii="宋体"/>
          <w:color w:val="auto"/>
          <w:sz w:val="24"/>
        </w:rPr>
        <w:t>租金收入应负担的税金由出租人承担，租赁期间产生的其他一切税收及费用（包括不限于水电费、卫生费、物业费、电梯使用维护费、电梯电费、有线电视费、通讯费、日常维修费、消防、计生和因使用房屋所产生的各项费用等）均由成交人自行承担。</w:t>
      </w:r>
    </w:p>
    <w:p>
      <w:pPr>
        <w:numPr>
          <w:ilvl w:val="0"/>
          <w:numId w:val="2"/>
        </w:numPr>
        <w:spacing w:line="440" w:lineRule="exact"/>
        <w:ind w:left="0" w:firstLine="482" w:firstLineChars="200"/>
        <w:rPr>
          <w:rFonts w:ascii="宋体"/>
          <w:b/>
          <w:color w:val="auto"/>
          <w:sz w:val="24"/>
        </w:rPr>
      </w:pPr>
      <w:r>
        <w:rPr>
          <w:rFonts w:hint="eastAsia" w:ascii="宋体"/>
          <w:b/>
          <w:color w:val="auto"/>
          <w:sz w:val="24"/>
        </w:rPr>
        <w:t>交易服务费及成交价款的支付：</w:t>
      </w:r>
    </w:p>
    <w:p>
      <w:pPr>
        <w:spacing w:line="440" w:lineRule="exact"/>
        <w:rPr>
          <w:rFonts w:ascii="宋体"/>
          <w:color w:val="auto"/>
          <w:sz w:val="24"/>
        </w:rPr>
      </w:pPr>
      <w:r>
        <w:rPr>
          <w:rFonts w:hint="eastAsia" w:ascii="宋体"/>
          <w:color w:val="auto"/>
          <w:sz w:val="24"/>
        </w:rPr>
        <w:t>　　1.竞价成交后，成交人</w:t>
      </w:r>
      <w:r>
        <w:rPr>
          <w:rFonts w:hint="eastAsia" w:ascii="宋体" w:eastAsia="宋体"/>
          <w:b/>
          <w:bCs/>
          <w:color w:val="auto"/>
          <w:sz w:val="24"/>
        </w:rPr>
        <w:t>向本公司支付1个月的租金（租金标准按首年月租金成交价计取）作为交易服务费</w:t>
      </w:r>
      <w:r>
        <w:rPr>
          <w:rFonts w:hint="eastAsia" w:ascii="宋体"/>
          <w:b/>
          <w:bCs/>
          <w:color w:val="auto"/>
          <w:sz w:val="24"/>
        </w:rPr>
        <w:t>，</w:t>
      </w:r>
      <w:r>
        <w:rPr>
          <w:rFonts w:hint="eastAsia" w:ascii="宋体"/>
          <w:color w:val="auto"/>
          <w:sz w:val="24"/>
        </w:rPr>
        <w:t>交易服务费直接由产权交易服务机构从成交人缴纳的竞价保证金中扣收，不足的，成交人应在2日内补齐。交易服务费未按期付清的，视成交人根本违约，竞价保证金不予退回。</w:t>
      </w:r>
    </w:p>
    <w:p>
      <w:pPr>
        <w:spacing w:line="440" w:lineRule="exact"/>
        <w:rPr>
          <w:rFonts w:ascii="宋体"/>
          <w:color w:val="auto"/>
          <w:sz w:val="24"/>
        </w:rPr>
      </w:pPr>
      <w:r>
        <w:rPr>
          <w:rFonts w:hint="eastAsia" w:ascii="宋体"/>
          <w:color w:val="auto"/>
          <w:sz w:val="24"/>
        </w:rPr>
        <w:t>　　2.成交人应在成交后</w:t>
      </w:r>
      <w:r>
        <w:rPr>
          <w:rFonts w:hint="eastAsia" w:ascii="宋体"/>
          <w:b/>
          <w:bCs/>
          <w:color w:val="auto"/>
          <w:sz w:val="24"/>
        </w:rPr>
        <w:t>2个工作日内</w:t>
      </w:r>
      <w:r>
        <w:rPr>
          <w:rFonts w:ascii="宋体"/>
          <w:b/>
          <w:bCs/>
          <w:color w:val="auto"/>
          <w:sz w:val="24"/>
        </w:rPr>
        <w:t>将</w:t>
      </w:r>
      <w:r>
        <w:rPr>
          <w:rFonts w:hint="eastAsia" w:ascii="宋体"/>
          <w:b/>
          <w:bCs/>
          <w:color w:val="auto"/>
          <w:sz w:val="24"/>
        </w:rPr>
        <w:t>履约保证金</w:t>
      </w:r>
      <w:r>
        <w:rPr>
          <w:rFonts w:ascii="宋体"/>
          <w:color w:val="auto"/>
          <w:sz w:val="24"/>
        </w:rPr>
        <w:t>缴纳</w:t>
      </w:r>
      <w:r>
        <w:rPr>
          <w:rFonts w:hint="eastAsia" w:ascii="宋体"/>
          <w:color w:val="auto"/>
          <w:sz w:val="24"/>
        </w:rPr>
        <w:t>给产权交易服务机构。</w:t>
      </w:r>
    </w:p>
    <w:p>
      <w:pPr>
        <w:spacing w:line="440" w:lineRule="exact"/>
        <w:ind w:firstLine="480" w:firstLineChars="200"/>
        <w:rPr>
          <w:rFonts w:ascii="宋体"/>
          <w:color w:val="auto"/>
          <w:sz w:val="24"/>
        </w:rPr>
      </w:pPr>
      <w:r>
        <w:rPr>
          <w:rFonts w:hint="eastAsia" w:ascii="宋体"/>
          <w:color w:val="auto"/>
          <w:sz w:val="24"/>
        </w:rPr>
        <w:t>3.履约保证金的交付方式以《租赁合同》和《竞价招租清单》约定的为准。成交人与委托人的具体权利义务按《租赁合同》的约定执行。</w:t>
      </w:r>
    </w:p>
    <w:p>
      <w:pPr>
        <w:spacing w:line="440" w:lineRule="exact"/>
        <w:ind w:firstLine="482" w:firstLineChars="200"/>
        <w:rPr>
          <w:rFonts w:ascii="宋体"/>
          <w:b/>
          <w:color w:val="auto"/>
          <w:sz w:val="24"/>
        </w:rPr>
      </w:pPr>
      <w:r>
        <w:rPr>
          <w:rFonts w:hint="eastAsia" w:ascii="宋体"/>
          <w:b/>
          <w:color w:val="auto"/>
          <w:sz w:val="24"/>
        </w:rPr>
        <w:t>九、标的移交：</w:t>
      </w:r>
    </w:p>
    <w:p>
      <w:pPr>
        <w:spacing w:line="440" w:lineRule="exact"/>
        <w:ind w:firstLine="480" w:firstLineChars="200"/>
        <w:rPr>
          <w:rFonts w:ascii="宋体"/>
          <w:color w:val="auto"/>
          <w:sz w:val="24"/>
        </w:rPr>
      </w:pPr>
      <w:r>
        <w:rPr>
          <w:rFonts w:hint="eastAsia" w:ascii="宋体"/>
          <w:color w:val="auto"/>
          <w:sz w:val="24"/>
        </w:rPr>
        <w:t>1.成交人按约定期限与委托人签署《租赁合同》，并缴纳完毕约定款项后，凭《竞价结果通知书》及有关票据，于接到委托人通知之日起</w:t>
      </w:r>
      <w:r>
        <w:rPr>
          <w:rFonts w:hint="eastAsia" w:ascii="宋体"/>
          <w:b/>
          <w:bCs/>
          <w:color w:val="auto"/>
          <w:sz w:val="24"/>
        </w:rPr>
        <w:t>3日内</w:t>
      </w:r>
      <w:r>
        <w:rPr>
          <w:rFonts w:hint="eastAsia" w:ascii="宋体"/>
          <w:color w:val="auto"/>
          <w:sz w:val="24"/>
        </w:rPr>
        <w:t>与委托人办理租赁场所的移交手续。标的物移交手续由成交人自行办理，产权交易服务机构不负责标的租赁现场的移交。</w:t>
      </w:r>
    </w:p>
    <w:p>
      <w:pPr>
        <w:spacing w:line="440" w:lineRule="exact"/>
        <w:ind w:firstLine="480" w:firstLineChars="200"/>
        <w:rPr>
          <w:rFonts w:ascii="宋体"/>
          <w:color w:val="auto"/>
          <w:sz w:val="24"/>
        </w:rPr>
      </w:pPr>
      <w:r>
        <w:rPr>
          <w:rFonts w:hint="eastAsia" w:ascii="宋体"/>
          <w:color w:val="auto"/>
          <w:sz w:val="24"/>
        </w:rPr>
        <w:t>2.若委托人逾期交付标的物，标的租赁期按实际逾期天数顺延，但产权交易服务机构及委托人不给予任何赔偿或补偿，也不承担任何损失；若租期无顺延，具体以《租赁合同》约定为准。</w:t>
      </w:r>
    </w:p>
    <w:p>
      <w:pPr>
        <w:spacing w:line="440" w:lineRule="exact"/>
        <w:ind w:firstLine="482" w:firstLineChars="200"/>
        <w:rPr>
          <w:rFonts w:ascii="宋体" w:eastAsia="宋体"/>
          <w:b/>
          <w:bCs/>
          <w:color w:val="auto"/>
          <w:sz w:val="24"/>
        </w:rPr>
      </w:pPr>
      <w:r>
        <w:rPr>
          <w:rFonts w:hint="eastAsia" w:ascii="宋体"/>
          <w:b/>
          <w:bCs/>
          <w:color w:val="auto"/>
          <w:sz w:val="24"/>
        </w:rPr>
        <w:t>3.</w:t>
      </w:r>
      <w:r>
        <w:rPr>
          <w:rFonts w:hint="eastAsia" w:ascii="宋体" w:eastAsia="宋体"/>
          <w:b/>
          <w:bCs/>
          <w:color w:val="auto"/>
          <w:sz w:val="24"/>
        </w:rPr>
        <w:t>若租赁物在交付时遇到障碍，而使租赁物超过约定的时间30日后仍无法正常移交的，成交人可以要求退回所有款项，产权交易服务机构及委托人将无息全额退款，但产权交易服务机构及委托人不承担由此造成的一切经济损失和法律责任，该风险由成交人承担。</w:t>
      </w:r>
    </w:p>
    <w:p>
      <w:pPr>
        <w:spacing w:line="440" w:lineRule="exact"/>
        <w:ind w:firstLine="482" w:firstLineChars="200"/>
        <w:rPr>
          <w:rFonts w:ascii="宋体"/>
          <w:b/>
          <w:color w:val="auto"/>
          <w:sz w:val="24"/>
        </w:rPr>
      </w:pPr>
      <w:r>
        <w:rPr>
          <w:rFonts w:hint="eastAsia" w:ascii="宋体"/>
          <w:b/>
          <w:color w:val="auto"/>
          <w:sz w:val="24"/>
        </w:rPr>
        <w:t>十、违约责任：</w:t>
      </w:r>
    </w:p>
    <w:p>
      <w:pPr>
        <w:spacing w:line="440" w:lineRule="exact"/>
        <w:ind w:firstLine="480" w:firstLineChars="200"/>
        <w:rPr>
          <w:rFonts w:ascii="宋体"/>
          <w:color w:val="auto"/>
          <w:sz w:val="24"/>
        </w:rPr>
      </w:pPr>
      <w:r>
        <w:rPr>
          <w:rFonts w:hint="eastAsia" w:ascii="宋体"/>
          <w:color w:val="auto"/>
          <w:sz w:val="24"/>
        </w:rPr>
        <w:t>1.竞价成交后，成交人倘若出现如下情形（包括但不限于任一、部分或全部），都将构成根本性违约，产权交易服务机构有权追究违约方的责任, 成交人已支付竞价保证金及应委托人要求支付的款项不予退还，同时本公司可以根据委托人的要求重新组织招租或退回委托人。本公司重新组织招租后，新成交的金额低于原成交金额的，本公司有权根据有关法律法规的规定向成交人要求赔偿：</w:t>
      </w:r>
    </w:p>
    <w:p>
      <w:pPr>
        <w:spacing w:line="440" w:lineRule="exact"/>
        <w:ind w:firstLine="480" w:firstLineChars="200"/>
        <w:rPr>
          <w:rFonts w:ascii="宋体"/>
          <w:color w:val="auto"/>
          <w:sz w:val="24"/>
        </w:rPr>
      </w:pPr>
      <w:r>
        <w:rPr>
          <w:rFonts w:hint="eastAsia" w:ascii="宋体"/>
          <w:color w:val="auto"/>
          <w:sz w:val="24"/>
        </w:rPr>
        <w:t>1.1成交人未按规定期限及时足额支付交易服务费、租赁合同履约保证金以及其它约定款项。</w:t>
      </w:r>
    </w:p>
    <w:p>
      <w:pPr>
        <w:spacing w:line="440" w:lineRule="exact"/>
        <w:ind w:firstLine="480" w:firstLineChars="200"/>
        <w:rPr>
          <w:rFonts w:ascii="宋体"/>
          <w:color w:val="auto"/>
          <w:sz w:val="24"/>
        </w:rPr>
      </w:pPr>
      <w:r>
        <w:rPr>
          <w:rFonts w:hint="eastAsia" w:ascii="宋体"/>
          <w:color w:val="auto"/>
          <w:sz w:val="24"/>
        </w:rPr>
        <w:t>1.2竞价成交后，成交人未在约定时间签署《竞价结果通知书》、《租赁合同》。</w:t>
      </w:r>
    </w:p>
    <w:p>
      <w:pPr>
        <w:spacing w:line="440" w:lineRule="exact"/>
        <w:ind w:firstLine="480" w:firstLineChars="200"/>
        <w:rPr>
          <w:rFonts w:ascii="宋体"/>
          <w:color w:val="auto"/>
          <w:sz w:val="24"/>
        </w:rPr>
      </w:pPr>
      <w:r>
        <w:rPr>
          <w:rFonts w:hint="eastAsia" w:ascii="宋体"/>
          <w:color w:val="auto"/>
          <w:sz w:val="24"/>
        </w:rPr>
        <w:t>1.3竞价成交后，成交人拒收有关文件、函件，或怠于办理标的房屋移交手续等。</w:t>
      </w:r>
    </w:p>
    <w:p>
      <w:pPr>
        <w:spacing w:line="440" w:lineRule="exact"/>
        <w:ind w:firstLine="480" w:firstLineChars="200"/>
        <w:rPr>
          <w:rFonts w:ascii="宋体"/>
          <w:color w:val="auto"/>
          <w:sz w:val="24"/>
        </w:rPr>
      </w:pPr>
      <w:r>
        <w:rPr>
          <w:rFonts w:hint="eastAsia" w:ascii="宋体"/>
          <w:color w:val="auto"/>
          <w:sz w:val="24"/>
        </w:rPr>
        <w:t>1.4违反本《竞价须知》约定的其他行为的。</w:t>
      </w:r>
    </w:p>
    <w:p>
      <w:pPr>
        <w:spacing w:line="440" w:lineRule="exact"/>
        <w:ind w:firstLine="480" w:firstLineChars="200"/>
        <w:rPr>
          <w:rFonts w:ascii="宋体"/>
          <w:color w:val="auto"/>
          <w:sz w:val="24"/>
        </w:rPr>
      </w:pPr>
      <w:r>
        <w:rPr>
          <w:rFonts w:hint="eastAsia" w:ascii="宋体"/>
          <w:color w:val="auto"/>
          <w:sz w:val="24"/>
        </w:rPr>
        <w:t>2.若因竞价标的特殊原因造成合同无效的，产权交易服务机构仅负责无息退回交易服务费，成交人同意不予追究产权交易服务机构的任何经济和法律责任。</w:t>
      </w:r>
    </w:p>
    <w:p>
      <w:pPr>
        <w:spacing w:line="440" w:lineRule="exact"/>
        <w:ind w:firstLine="482" w:firstLineChars="200"/>
        <w:rPr>
          <w:rFonts w:ascii="宋体"/>
          <w:b/>
          <w:color w:val="auto"/>
          <w:sz w:val="24"/>
        </w:rPr>
      </w:pPr>
      <w:r>
        <w:rPr>
          <w:rFonts w:hint="eastAsia" w:ascii="宋体"/>
          <w:b/>
          <w:color w:val="auto"/>
          <w:sz w:val="24"/>
        </w:rPr>
        <w:t>十一、特别约定和相关瑕疵：</w:t>
      </w:r>
    </w:p>
    <w:p>
      <w:pPr>
        <w:spacing w:line="440" w:lineRule="exact"/>
        <w:ind w:firstLine="480" w:firstLineChars="200"/>
        <w:rPr>
          <w:rFonts w:ascii="宋体"/>
          <w:color w:val="auto"/>
          <w:sz w:val="24"/>
        </w:rPr>
      </w:pPr>
      <w:r>
        <w:rPr>
          <w:rFonts w:hint="eastAsia" w:ascii="宋体"/>
          <w:color w:val="auto"/>
          <w:sz w:val="24"/>
        </w:rPr>
        <w:t>1.竞价标的成交人即为承租人。</w:t>
      </w:r>
    </w:p>
    <w:p>
      <w:pPr>
        <w:spacing w:line="440" w:lineRule="exact"/>
        <w:ind w:firstLine="480" w:firstLineChars="200"/>
        <w:rPr>
          <w:rFonts w:ascii="宋体"/>
          <w:color w:val="auto"/>
          <w:sz w:val="24"/>
        </w:rPr>
      </w:pPr>
      <w:r>
        <w:rPr>
          <w:rFonts w:hint="eastAsia" w:ascii="宋体"/>
          <w:color w:val="auto"/>
          <w:sz w:val="24"/>
        </w:rPr>
        <w:t>2.竞价成交价为标的租赁期限内首年月租金，成交总额为租赁期限内的全部租金总额。</w:t>
      </w:r>
    </w:p>
    <w:p>
      <w:pPr>
        <w:spacing w:line="440" w:lineRule="exact"/>
        <w:ind w:firstLine="482" w:firstLineChars="200"/>
        <w:rPr>
          <w:rFonts w:ascii="宋体"/>
          <w:b/>
          <w:bCs/>
          <w:color w:val="auto"/>
          <w:sz w:val="24"/>
        </w:rPr>
      </w:pPr>
      <w:r>
        <w:rPr>
          <w:rFonts w:hint="eastAsia" w:ascii="宋体"/>
          <w:b/>
          <w:bCs/>
          <w:color w:val="auto"/>
          <w:sz w:val="24"/>
        </w:rPr>
        <w:t>3.本次竞价标的仅以现状竞价，委托人、产权交易服务机构所作的关于本次竞价标的的介绍及有关材料仅供竞价人参考，不构成对标的物的任何担保或承诺，委托人、产权交易服务机构对竞价标的名称、单位、规格、数量、质量、面积、年限、结构、用途、方位、产权情况、规划、消防验收等竞价标的的瑕疵不承担担保责任。本次竞价标的以现场实物为准，如介绍的租赁建筑面积、用地面积与实际面积有差异，或者介绍的附属设施、物品、用途与实际不符的，竞价成交价及交易服务费均不作调整。竞价人参加竞价即视为已经充分了解竞价标的的现状及瑕疵（包含但不限于委托人、产权交易服务机构对标的物瑕疵的情况说明），同意按照竞价标的的现状承租。委托人、产权交易服务机构对成交人承租竞价标的后的风险和障碍不承担任何责任。</w:t>
      </w:r>
    </w:p>
    <w:p>
      <w:pPr>
        <w:spacing w:line="440" w:lineRule="exact"/>
        <w:ind w:firstLine="480" w:firstLineChars="200"/>
        <w:rPr>
          <w:rFonts w:ascii="宋体"/>
          <w:color w:val="auto"/>
          <w:sz w:val="24"/>
        </w:rPr>
      </w:pPr>
      <w:r>
        <w:rPr>
          <w:rFonts w:hint="eastAsia" w:ascii="宋体"/>
          <w:color w:val="auto"/>
          <w:sz w:val="24"/>
        </w:rPr>
        <w:t>4.竞价人参加竞价会说明在出租标的物展示期间已看样并充分了解认可租赁物产权、相关费用、成交后应签的《租赁合同》条款和瑕疵状况等与标的物相关的一切情况，同时对租赁物存在或可能存在的瑕疵表示认可，并承诺因存在或可能存在的瑕疵造成的风险由成交人承担。</w:t>
      </w:r>
    </w:p>
    <w:p>
      <w:pPr>
        <w:spacing w:line="440" w:lineRule="exact"/>
        <w:ind w:firstLine="480" w:firstLineChars="200"/>
        <w:rPr>
          <w:rFonts w:ascii="宋体"/>
          <w:color w:val="auto"/>
          <w:sz w:val="24"/>
        </w:rPr>
      </w:pPr>
      <w:r>
        <w:rPr>
          <w:rFonts w:hint="eastAsia" w:ascii="宋体"/>
          <w:color w:val="auto"/>
          <w:sz w:val="24"/>
        </w:rPr>
        <w:t>5.因历史遗留问题，本次竞价标的尚未办理产权登记手续及消防验收。标的物是否存在产权用途与实际用途不符，以及标的是否可以作为其它经营使用，由成交人自行判断。标的物按现状招租，如不能作为其它经营使用，其责任及后果由受让人自行承担，与产权交易服务机构、委托人无关。受让人将标的物用于经营项目时，按照相关规定须报经有关部门批准的，则所有报批手续包括申领营业执照及申报消防审批、广告牌安装等所有手续，均由受让人自行办理并承担费用，委托人及产权交易服务机构对受让人办理相关手续的障碍和结果不承担任何责任。</w:t>
      </w:r>
    </w:p>
    <w:p>
      <w:pPr>
        <w:spacing w:line="440" w:lineRule="exact"/>
        <w:ind w:firstLine="480" w:firstLineChars="200"/>
        <w:rPr>
          <w:rFonts w:ascii="宋体"/>
          <w:color w:val="auto"/>
          <w:sz w:val="24"/>
        </w:rPr>
      </w:pPr>
      <w:r>
        <w:rPr>
          <w:rFonts w:hint="eastAsia" w:ascii="宋体"/>
          <w:color w:val="auto"/>
          <w:sz w:val="24"/>
        </w:rPr>
        <w:t>6.对因委托人未尽瑕疵告知义务或非因产权交易服务机构的原因造成竞价标的不能及时移交或无法移交而导致解除合同或合同无效的，产权交易服务机构不承担任何责任。竞价成交即视为产权交易服务机构对受让人的竞价合同义务履行完毕。</w:t>
      </w:r>
    </w:p>
    <w:p>
      <w:pPr>
        <w:spacing w:line="440" w:lineRule="exact"/>
        <w:ind w:firstLine="480" w:firstLineChars="200"/>
        <w:rPr>
          <w:rFonts w:ascii="宋体"/>
          <w:color w:val="auto"/>
          <w:sz w:val="24"/>
        </w:rPr>
      </w:pPr>
      <w:r>
        <w:rPr>
          <w:rFonts w:hint="eastAsia" w:ascii="宋体"/>
          <w:color w:val="auto"/>
          <w:sz w:val="24"/>
        </w:rPr>
        <w:t>7.如遇委托人在竞价前撤回本次竞价标的，竞价保证金无息退还，委托人和产权交易服务机构不承担任何费用或赔偿责任，竞价人对此无异议。</w:t>
      </w:r>
    </w:p>
    <w:p>
      <w:pPr>
        <w:spacing w:line="440" w:lineRule="exact"/>
        <w:ind w:firstLine="480" w:firstLineChars="200"/>
        <w:rPr>
          <w:rFonts w:ascii="宋体"/>
          <w:color w:val="auto"/>
          <w:sz w:val="24"/>
        </w:rPr>
      </w:pPr>
      <w:r>
        <w:rPr>
          <w:rFonts w:hint="eastAsia" w:ascii="宋体"/>
          <w:color w:val="auto"/>
          <w:sz w:val="24"/>
        </w:rPr>
        <w:t>8.标的从移交之日起发生的所有安全、经济、法律责任都由受让人承担，标的风险也随之转移给受让人，标的移交之日起产生的所有相关费用（包括但不限于:水电、物业、有线电视等）都由受让人承担。</w:t>
      </w:r>
    </w:p>
    <w:p>
      <w:pPr>
        <w:spacing w:line="440" w:lineRule="exact"/>
        <w:ind w:firstLine="480" w:firstLineChars="200"/>
        <w:rPr>
          <w:rFonts w:ascii="宋体"/>
          <w:b/>
          <w:color w:val="auto"/>
          <w:sz w:val="24"/>
          <w:u w:val="single"/>
        </w:rPr>
      </w:pPr>
      <w:r>
        <w:rPr>
          <w:rFonts w:hint="eastAsia" w:ascii="宋体"/>
          <w:color w:val="auto"/>
          <w:sz w:val="24"/>
        </w:rPr>
        <w:t>9.</w:t>
      </w:r>
      <w:r>
        <w:rPr>
          <w:rFonts w:hint="eastAsia" w:ascii="宋体"/>
          <w:bCs/>
          <w:color w:val="auto"/>
          <w:sz w:val="24"/>
          <w:u w:val="single"/>
        </w:rPr>
        <w:t>通知方式：竞价人确定身份证载明的地址为竞价人收件地址，凡与本次竞价有关的任何通知、主张、函件等文书，均可向该地址送达，如有变更应书面通知产权交易服务机构。迁址、更换收件人、拒收或无人接收造成投递不成的，视为已送达。</w:t>
      </w:r>
    </w:p>
    <w:p>
      <w:pPr>
        <w:spacing w:line="440" w:lineRule="exact"/>
        <w:ind w:firstLine="480" w:firstLineChars="200"/>
        <w:rPr>
          <w:rFonts w:ascii="宋体"/>
          <w:color w:val="auto"/>
          <w:sz w:val="24"/>
        </w:rPr>
      </w:pPr>
      <w:r>
        <w:rPr>
          <w:rFonts w:hint="eastAsia" w:ascii="宋体"/>
          <w:color w:val="auto"/>
          <w:sz w:val="24"/>
        </w:rPr>
        <w:t>10.竞价人报名参与竞价，即视为已对本竞价须知各条款及附件内容作了全面的理解，且应竞价人的要求，产权交易服务机构也对本竞价须知及附件的相应内容做了说明。竞价人报名参与竞价是在已详细审查本次竞价的所有文件和相关信息，向有关管理部门全面了解了标的情况，并亲赴标的物现场认真查勘，对标的现状满意，已行使了知情权，并接受标的物的现状和一切已知及未知的瑕疵。竞价人点击出价即视为其同意本竞价须知各条款的权利义务，并愿承担参加本次竞价会及竞价成交以后可能带来的一切风险、障碍（包括但不限于标的物移交时间长或无法移交等方面的风险），并承诺放弃对产权交易服务机构的任何权利主张。本竞价须知及其附件内容对本人发生法律效力。</w:t>
      </w:r>
    </w:p>
    <w:p>
      <w:pPr>
        <w:spacing w:line="440" w:lineRule="exact"/>
        <w:ind w:firstLine="482" w:firstLineChars="200"/>
        <w:rPr>
          <w:rFonts w:ascii="宋体"/>
          <w:b/>
          <w:color w:val="auto"/>
          <w:sz w:val="24"/>
        </w:rPr>
      </w:pPr>
      <w:r>
        <w:rPr>
          <w:rFonts w:hint="eastAsia" w:ascii="宋体"/>
          <w:b/>
          <w:color w:val="auto"/>
          <w:sz w:val="24"/>
        </w:rPr>
        <w:t>十二、竞价标的重要文件</w:t>
      </w:r>
    </w:p>
    <w:p>
      <w:pPr>
        <w:spacing w:line="440" w:lineRule="exact"/>
        <w:ind w:firstLine="480" w:firstLineChars="200"/>
        <w:rPr>
          <w:rFonts w:ascii="宋体"/>
          <w:color w:val="auto"/>
          <w:sz w:val="24"/>
        </w:rPr>
      </w:pPr>
      <w:r>
        <w:rPr>
          <w:rFonts w:hint="eastAsia" w:ascii="宋体"/>
          <w:color w:val="auto"/>
          <w:sz w:val="24"/>
        </w:rPr>
        <w:t>上述竞价标的现有相关文件、材料复印件有：1.《租赁合同》样本（已拟定的条款）；2.《承诺函》。</w:t>
      </w:r>
    </w:p>
    <w:p>
      <w:pPr>
        <w:spacing w:line="440" w:lineRule="exact"/>
        <w:ind w:firstLine="480" w:firstLineChars="200"/>
        <w:rPr>
          <w:rFonts w:ascii="宋体"/>
          <w:color w:val="auto"/>
          <w:sz w:val="24"/>
        </w:rPr>
      </w:pPr>
      <w:r>
        <w:rPr>
          <w:rFonts w:hint="eastAsia" w:ascii="宋体"/>
          <w:color w:val="auto"/>
          <w:sz w:val="24"/>
        </w:rPr>
        <w:t>竞价一旦成交，受让人即成为上述《租赁合同》的承租人，受该合同的约束。成交人作为《租赁合同》的乙方（承租人），应在竞价成交后与委托人签署《租赁合同》。因此，郑重提示各位竞价人认真阅读此《租赁合同》样本，全面理解各方当事人的权利义务约定，同时，请各位竞价人认真阅读上述标的的相关文件。</w:t>
      </w:r>
    </w:p>
    <w:p>
      <w:pPr>
        <w:spacing w:line="440" w:lineRule="exact"/>
        <w:ind w:firstLine="480" w:firstLineChars="200"/>
        <w:rPr>
          <w:rFonts w:ascii="宋体"/>
          <w:color w:val="auto"/>
          <w:sz w:val="24"/>
        </w:rPr>
      </w:pPr>
      <w:r>
        <w:rPr>
          <w:rFonts w:hint="eastAsia" w:ascii="宋体"/>
          <w:color w:val="auto"/>
          <w:sz w:val="24"/>
        </w:rPr>
        <w:t>以上文件作为本《竞价须知》的附件，竞价人参与竞价即表明全面接受其中的内容。</w:t>
      </w:r>
    </w:p>
    <w:p>
      <w:pPr>
        <w:spacing w:line="440" w:lineRule="exact"/>
        <w:ind w:firstLine="420"/>
        <w:jc w:val="right"/>
        <w:rPr>
          <w:rFonts w:ascii="宋体"/>
          <w:b/>
          <w:bCs/>
          <w:color w:val="auto"/>
          <w:sz w:val="24"/>
        </w:rPr>
      </w:pPr>
      <w:r>
        <w:rPr>
          <w:rFonts w:ascii="宋体"/>
          <w:color w:val="auto"/>
          <w:sz w:val="24"/>
        </w:rPr>
        <w:t xml:space="preserve">  </w:t>
      </w:r>
      <w:r>
        <w:rPr>
          <w:rFonts w:ascii="宋体"/>
          <w:b/>
          <w:bCs/>
          <w:color w:val="auto"/>
          <w:sz w:val="24"/>
        </w:rPr>
        <w:t xml:space="preserve">                                    </w:t>
      </w:r>
      <w:r>
        <w:rPr>
          <w:rFonts w:hint="eastAsia" w:ascii="宋体"/>
          <w:b/>
          <w:bCs/>
          <w:color w:val="auto"/>
          <w:sz w:val="24"/>
        </w:rPr>
        <w:t xml:space="preserve">　     </w:t>
      </w:r>
    </w:p>
    <w:p>
      <w:pPr>
        <w:spacing w:line="440" w:lineRule="exact"/>
        <w:ind w:firstLine="420"/>
        <w:jc w:val="right"/>
        <w:rPr>
          <w:rFonts w:ascii="宋体"/>
          <w:color w:val="auto"/>
          <w:sz w:val="24"/>
        </w:rPr>
      </w:pPr>
      <w:r>
        <w:rPr>
          <w:rFonts w:hint="eastAsia" w:ascii="宋体"/>
          <w:color w:val="auto"/>
          <w:sz w:val="24"/>
        </w:rPr>
        <w:t>连城县国有资产产权交易服务有限公司</w:t>
      </w:r>
    </w:p>
    <w:p>
      <w:pPr>
        <w:spacing w:line="440" w:lineRule="exact"/>
        <w:ind w:firstLine="420"/>
        <w:jc w:val="center"/>
        <w:rPr>
          <w:rFonts w:ascii="宋体"/>
          <w:color w:val="auto"/>
          <w:sz w:val="24"/>
        </w:rPr>
      </w:pPr>
      <w:r>
        <w:rPr>
          <w:rFonts w:hint="eastAsia" w:ascii="宋体"/>
          <w:color w:val="auto"/>
          <w:sz w:val="24"/>
        </w:rPr>
        <w:t xml:space="preserve">                                               </w:t>
      </w:r>
      <w:r>
        <w:rPr>
          <w:rFonts w:ascii="宋体"/>
          <w:color w:val="auto"/>
          <w:sz w:val="24"/>
        </w:rPr>
        <w:t>20</w:t>
      </w:r>
      <w:r>
        <w:rPr>
          <w:rFonts w:hint="eastAsia" w:ascii="宋体"/>
          <w:color w:val="auto"/>
          <w:sz w:val="24"/>
        </w:rPr>
        <w:t>21年8月16日</w:t>
      </w:r>
    </w:p>
    <w:p>
      <w:pPr>
        <w:spacing w:line="440" w:lineRule="exact"/>
        <w:ind w:firstLine="420"/>
        <w:jc w:val="center"/>
        <w:rPr>
          <w:rFonts w:ascii="宋体"/>
          <w:color w:val="auto"/>
          <w:sz w:val="24"/>
        </w:rPr>
      </w:pPr>
    </w:p>
    <w:p>
      <w:pPr>
        <w:spacing w:line="440" w:lineRule="exact"/>
        <w:ind w:firstLine="420"/>
        <w:jc w:val="center"/>
        <w:rPr>
          <w:rFonts w:ascii="宋体"/>
          <w:color w:val="auto"/>
          <w:sz w:val="24"/>
        </w:rPr>
      </w:pPr>
    </w:p>
    <w:p>
      <w:pPr>
        <w:spacing w:line="440" w:lineRule="exact"/>
        <w:ind w:firstLine="420"/>
        <w:jc w:val="center"/>
        <w:rPr>
          <w:rFonts w:ascii="宋体"/>
          <w:color w:val="auto"/>
          <w:sz w:val="24"/>
        </w:rPr>
      </w:pPr>
    </w:p>
    <w:p>
      <w:pPr>
        <w:spacing w:line="440" w:lineRule="exact"/>
        <w:ind w:firstLine="420"/>
        <w:jc w:val="center"/>
        <w:rPr>
          <w:rFonts w:ascii="宋体"/>
          <w:color w:val="auto"/>
          <w:sz w:val="24"/>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rFonts w:hint="eastAsia"/>
          <w:color w:val="auto"/>
        </w:rPr>
      </w:pPr>
    </w:p>
    <w:p>
      <w:pPr>
        <w:pStyle w:val="33"/>
        <w:rPr>
          <w:color w:val="auto"/>
        </w:rPr>
      </w:pPr>
    </w:p>
    <w:p>
      <w:pPr>
        <w:pStyle w:val="33"/>
        <w:rPr>
          <w:color w:val="auto"/>
        </w:rPr>
      </w:pPr>
      <w:r>
        <w:rPr>
          <w:rFonts w:hint="eastAsia"/>
          <w:color w:val="auto"/>
        </w:rPr>
        <w:t>承诺函</w:t>
      </w:r>
    </w:p>
    <w:p>
      <w:pPr>
        <w:spacing w:line="600" w:lineRule="exact"/>
        <w:rPr>
          <w:color w:val="auto"/>
          <w:sz w:val="24"/>
          <w:u w:val="single"/>
        </w:rPr>
      </w:pPr>
      <w:r>
        <w:rPr>
          <w:rFonts w:hint="eastAsia" w:ascii="宋体"/>
          <w:b/>
          <w:bCs/>
          <w:color w:val="auto"/>
          <w:sz w:val="24"/>
        </w:rPr>
        <w:t>连城县国有资产产权交易服务有限公司</w:t>
      </w:r>
      <w:r>
        <w:rPr>
          <w:rFonts w:hint="eastAsia"/>
          <w:color w:val="auto"/>
          <w:sz w:val="24"/>
        </w:rPr>
        <w:t>：</w:t>
      </w:r>
    </w:p>
    <w:p>
      <w:pPr>
        <w:tabs>
          <w:tab w:val="left" w:pos="900"/>
        </w:tabs>
        <w:spacing w:line="600" w:lineRule="exact"/>
        <w:ind w:firstLine="480" w:firstLineChars="200"/>
        <w:rPr>
          <w:color w:val="auto"/>
          <w:sz w:val="24"/>
        </w:rPr>
      </w:pPr>
      <w:r>
        <w:rPr>
          <w:rFonts w:hint="eastAsia" w:ascii="宋体"/>
          <w:color w:val="auto"/>
          <w:sz w:val="24"/>
        </w:rPr>
        <w:t>本人(本公司)</w:t>
      </w:r>
      <w:r>
        <w:rPr>
          <w:rFonts w:hint="eastAsia"/>
          <w:color w:val="auto"/>
          <w:sz w:val="24"/>
        </w:rPr>
        <w:t>就参与贵公司</w:t>
      </w:r>
      <w:r>
        <w:rPr>
          <w:rFonts w:hint="eastAsia" w:ascii="宋体" w:cs="宋体"/>
          <w:color w:val="auto"/>
          <w:sz w:val="24"/>
        </w:rPr>
        <w:t>于</w:t>
      </w:r>
      <w:r>
        <w:rPr>
          <w:rFonts w:hint="eastAsia" w:ascii="宋体" w:cs="宋体"/>
          <w:color w:val="auto"/>
          <w:sz w:val="24"/>
          <w:u w:val="single"/>
        </w:rPr>
        <w:t xml:space="preserve"> 2021 </w:t>
      </w:r>
      <w:r>
        <w:rPr>
          <w:rFonts w:hint="eastAsia" w:ascii="宋体" w:cs="宋体"/>
          <w:color w:val="auto"/>
          <w:sz w:val="24"/>
        </w:rPr>
        <w:t>年</w:t>
      </w:r>
      <w:r>
        <w:rPr>
          <w:rFonts w:hint="eastAsia" w:ascii="宋体" w:cs="宋体"/>
          <w:color w:val="auto"/>
          <w:sz w:val="24"/>
          <w:u w:val="single"/>
        </w:rPr>
        <w:t xml:space="preserve"> 8 </w:t>
      </w:r>
      <w:r>
        <w:rPr>
          <w:rFonts w:hint="eastAsia" w:ascii="宋体" w:cs="宋体"/>
          <w:color w:val="auto"/>
          <w:sz w:val="24"/>
        </w:rPr>
        <w:t>月</w:t>
      </w:r>
      <w:r>
        <w:rPr>
          <w:rFonts w:hint="eastAsia" w:ascii="宋体" w:cs="宋体"/>
          <w:color w:val="auto"/>
          <w:sz w:val="24"/>
          <w:u w:val="single"/>
        </w:rPr>
        <w:t xml:space="preserve">27 </w:t>
      </w:r>
      <w:r>
        <w:rPr>
          <w:rFonts w:hint="eastAsia" w:ascii="宋体" w:cs="宋体"/>
          <w:color w:val="auto"/>
          <w:sz w:val="24"/>
        </w:rPr>
        <w:t>日</w:t>
      </w:r>
      <w:r>
        <w:rPr>
          <w:rFonts w:hint="eastAsia" w:ascii="宋体" w:cs="宋体"/>
          <w:color w:val="auto"/>
          <w:sz w:val="24"/>
          <w:u w:val="single"/>
        </w:rPr>
        <w:t xml:space="preserve"> 09：30 </w:t>
      </w:r>
      <w:r>
        <w:rPr>
          <w:rFonts w:hint="eastAsia" w:ascii="宋体" w:cs="宋体"/>
          <w:color w:val="auto"/>
          <w:sz w:val="24"/>
        </w:rPr>
        <w:t>时在</w:t>
      </w:r>
      <w:r>
        <w:rPr>
          <w:rFonts w:hint="eastAsia" w:ascii="宋体" w:cs="宋体"/>
          <w:bCs/>
          <w:color w:val="auto"/>
          <w:kern w:val="0"/>
          <w:sz w:val="24"/>
          <w:u w:val="single"/>
        </w:rPr>
        <w:t>权益云交易平台（网址：</w:t>
      </w:r>
      <w:r>
        <w:rPr>
          <w:rFonts w:hint="eastAsia" w:ascii="宋体" w:cs="宋体"/>
          <w:bCs/>
          <w:color w:val="auto"/>
          <w:kern w:val="0"/>
          <w:sz w:val="24"/>
          <w:u w:val="single"/>
        </w:rPr>
        <w:fldChar w:fldCharType="begin"/>
      </w:r>
      <w:r>
        <w:rPr>
          <w:color w:val="auto"/>
        </w:rPr>
        <w:instrText xml:space="preserve">HYPERLINK "https://www.unibid.cn/"</w:instrText>
      </w:r>
      <w:r>
        <w:rPr>
          <w:rFonts w:hint="eastAsia" w:ascii="宋体" w:cs="宋体"/>
          <w:bCs/>
          <w:color w:val="auto"/>
          <w:kern w:val="0"/>
          <w:sz w:val="24"/>
          <w:u w:val="single"/>
        </w:rPr>
        <w:fldChar w:fldCharType="separate"/>
      </w:r>
      <w:r>
        <w:rPr>
          <w:rFonts w:hint="eastAsia" w:ascii="宋体" w:cs="宋体"/>
          <w:bCs/>
          <w:color w:val="auto"/>
          <w:kern w:val="0"/>
          <w:sz w:val="24"/>
          <w:u w:val="single"/>
        </w:rPr>
        <w:t>https://www.unibid.cn/</w:t>
      </w:r>
      <w:r>
        <w:rPr>
          <w:rFonts w:hint="eastAsia" w:ascii="宋体" w:cs="宋体"/>
          <w:bCs/>
          <w:color w:val="auto"/>
          <w:kern w:val="0"/>
          <w:sz w:val="24"/>
          <w:u w:val="single"/>
        </w:rPr>
        <w:fldChar w:fldCharType="end"/>
      </w:r>
      <w:r>
        <w:rPr>
          <w:rFonts w:hint="eastAsia" w:ascii="宋体" w:cs="宋体"/>
          <w:bCs/>
          <w:color w:val="auto"/>
          <w:kern w:val="0"/>
          <w:sz w:val="24"/>
          <w:u w:val="single"/>
        </w:rPr>
        <w:t>)</w:t>
      </w:r>
      <w:r>
        <w:rPr>
          <w:rFonts w:hint="eastAsia" w:ascii="宋体" w:cs="宋体"/>
          <w:color w:val="auto"/>
          <w:sz w:val="24"/>
        </w:rPr>
        <w:t>举办的</w:t>
      </w:r>
      <w:r>
        <w:rPr>
          <w:rFonts w:hint="eastAsia" w:ascii="宋体" w:cs="宋体"/>
          <w:color w:val="auto"/>
          <w:sz w:val="24"/>
          <w:u w:val="single"/>
        </w:rPr>
        <w:t xml:space="preserve"> 连城县北大中路、福莲大厦、莲中北路、李彭村豸峰街、莲冠大道、北大东路、莲中南路等33处房产三年租赁权</w:t>
      </w:r>
      <w:r>
        <w:rPr>
          <w:rFonts w:hint="eastAsia"/>
          <w:color w:val="auto"/>
          <w:sz w:val="24"/>
          <w:u w:val="single"/>
        </w:rPr>
        <w:t xml:space="preserve"> </w:t>
      </w:r>
      <w:r>
        <w:rPr>
          <w:rFonts w:hint="eastAsia"/>
          <w:color w:val="auto"/>
          <w:sz w:val="24"/>
        </w:rPr>
        <w:t>（以下简称“本标的”）竞价活动做出如下承诺：</w:t>
      </w:r>
    </w:p>
    <w:p>
      <w:pPr>
        <w:tabs>
          <w:tab w:val="left" w:pos="900"/>
        </w:tabs>
        <w:spacing w:line="600" w:lineRule="exact"/>
        <w:ind w:firstLine="480" w:firstLineChars="200"/>
        <w:rPr>
          <w:color w:val="auto"/>
          <w:sz w:val="24"/>
        </w:rPr>
      </w:pPr>
      <w:r>
        <w:rPr>
          <w:rFonts w:hint="eastAsia"/>
          <w:color w:val="auto"/>
          <w:sz w:val="24"/>
        </w:rPr>
        <w:t>一、</w:t>
      </w:r>
      <w:r>
        <w:rPr>
          <w:rFonts w:hint="eastAsia" w:ascii="宋体"/>
          <w:color w:val="auto"/>
          <w:sz w:val="24"/>
        </w:rPr>
        <w:t>本人(本公司)承诺提供的报名材料真实、合法、有效。</w:t>
      </w:r>
    </w:p>
    <w:p>
      <w:pPr>
        <w:spacing w:line="600" w:lineRule="exact"/>
        <w:ind w:firstLine="480" w:firstLineChars="200"/>
        <w:rPr>
          <w:color w:val="auto"/>
          <w:sz w:val="24"/>
        </w:rPr>
      </w:pPr>
      <w:r>
        <w:rPr>
          <w:rFonts w:hint="eastAsia"/>
          <w:color w:val="auto"/>
          <w:sz w:val="24"/>
        </w:rPr>
        <w:t>二、</w:t>
      </w:r>
      <w:r>
        <w:rPr>
          <w:rFonts w:hint="eastAsia" w:ascii="宋体"/>
          <w:color w:val="auto"/>
          <w:sz w:val="24"/>
        </w:rPr>
        <w:t>本人(本公司)</w:t>
      </w:r>
      <w:r>
        <w:rPr>
          <w:rFonts w:hint="eastAsia"/>
          <w:color w:val="auto"/>
          <w:sz w:val="24"/>
        </w:rPr>
        <w:t>已仔细阅读并自愿遵守《竞价须知》等文件的规定，同意按照《竞价须知》的内容参加竞价活动。</w:t>
      </w:r>
    </w:p>
    <w:p>
      <w:pPr>
        <w:spacing w:line="600" w:lineRule="exact"/>
        <w:ind w:firstLine="480" w:firstLineChars="200"/>
        <w:rPr>
          <w:rFonts w:ascii="宋体"/>
          <w:b/>
          <w:bCs/>
          <w:color w:val="auto"/>
          <w:sz w:val="24"/>
        </w:rPr>
      </w:pPr>
      <w:r>
        <w:rPr>
          <w:rFonts w:hint="eastAsia"/>
          <w:color w:val="auto"/>
          <w:sz w:val="24"/>
        </w:rPr>
        <w:t>三、</w:t>
      </w:r>
      <w:r>
        <w:rPr>
          <w:rFonts w:hint="eastAsia" w:ascii="宋体"/>
          <w:color w:val="auto"/>
          <w:sz w:val="24"/>
        </w:rPr>
        <w:t>本人(本公司)</w:t>
      </w:r>
      <w:r>
        <w:rPr>
          <w:rFonts w:hint="eastAsia"/>
          <w:color w:val="auto"/>
          <w:sz w:val="24"/>
        </w:rPr>
        <w:t>已仔细阅读并自愿遵守</w:t>
      </w:r>
      <w:r>
        <w:rPr>
          <w:rFonts w:hint="eastAsia" w:ascii="宋体"/>
          <w:color w:val="auto"/>
          <w:sz w:val="24"/>
        </w:rPr>
        <w:t>《</w:t>
      </w:r>
      <w:r>
        <w:rPr>
          <w:rFonts w:hint="eastAsia"/>
          <w:color w:val="auto"/>
          <w:sz w:val="24"/>
        </w:rPr>
        <w:t>竞价</w:t>
      </w:r>
      <w:r>
        <w:rPr>
          <w:rFonts w:hint="eastAsia" w:ascii="宋体"/>
          <w:color w:val="auto"/>
          <w:sz w:val="24"/>
        </w:rPr>
        <w:t>须知》</w:t>
      </w:r>
      <w:r>
        <w:rPr>
          <w:rFonts w:hint="eastAsia" w:ascii="宋体"/>
          <w:b/>
          <w:bCs/>
          <w:color w:val="auto"/>
          <w:sz w:val="24"/>
        </w:rPr>
        <w:t>，贵公司对于该须知中的重要条款和贵公司的免责条款均已详细说明解读，本人已全面理解和认可该须知的所有条款，且无异议。</w:t>
      </w:r>
    </w:p>
    <w:p>
      <w:pPr>
        <w:spacing w:line="600" w:lineRule="exact"/>
        <w:ind w:firstLine="480" w:firstLineChars="200"/>
        <w:rPr>
          <w:rFonts w:ascii="宋体"/>
          <w:color w:val="auto"/>
          <w:sz w:val="24"/>
        </w:rPr>
      </w:pPr>
      <w:r>
        <w:rPr>
          <w:rFonts w:hint="eastAsia" w:ascii="宋体"/>
          <w:color w:val="auto"/>
          <w:sz w:val="24"/>
        </w:rPr>
        <w:t>四、本人（本公司）若有违反该次《竞价须知》条款的行为，自愿被取消竞价资格，保证金不予退回，并承担由此造成的一切经济和法律责任。</w:t>
      </w:r>
    </w:p>
    <w:p>
      <w:pPr>
        <w:spacing w:line="600" w:lineRule="exact"/>
        <w:ind w:firstLine="480" w:firstLineChars="200"/>
        <w:rPr>
          <w:rFonts w:ascii="宋体"/>
          <w:color w:val="auto"/>
          <w:sz w:val="24"/>
        </w:rPr>
      </w:pPr>
      <w:r>
        <w:rPr>
          <w:rFonts w:hint="eastAsia"/>
          <w:color w:val="auto"/>
          <w:sz w:val="24"/>
        </w:rPr>
        <w:t>五、</w:t>
      </w:r>
      <w:r>
        <w:rPr>
          <w:rFonts w:hint="eastAsia" w:ascii="宋体"/>
          <w:color w:val="auto"/>
          <w:sz w:val="24"/>
        </w:rPr>
        <w:t>本人(本公司)</w:t>
      </w:r>
      <w:r>
        <w:rPr>
          <w:rFonts w:hint="eastAsia"/>
          <w:color w:val="auto"/>
          <w:sz w:val="24"/>
        </w:rPr>
        <w:t>已完成对本标的的全面调查了解（包括但不限于查阅由贵公司提供的竞价资料如产权证明、相关合同条款等），对标的情况已充分知晓。</w:t>
      </w:r>
      <w:r>
        <w:rPr>
          <w:rFonts w:hint="eastAsia" w:ascii="宋体"/>
          <w:color w:val="auto"/>
          <w:sz w:val="24"/>
        </w:rPr>
        <w:t>本人(本公司)对竞价行为负责，</w:t>
      </w:r>
      <w:r>
        <w:rPr>
          <w:rFonts w:hint="eastAsia"/>
          <w:color w:val="auto"/>
          <w:sz w:val="24"/>
        </w:rPr>
        <w:t>自行承担包括但不限于因所获取的标的信息不全面、误解等而产生的相应后果</w:t>
      </w:r>
      <w:r>
        <w:rPr>
          <w:rFonts w:hint="eastAsia" w:ascii="宋体"/>
          <w:color w:val="auto"/>
          <w:sz w:val="24"/>
        </w:rPr>
        <w:t>。本人(本公司)已亲赴标的物现场认真查勘，已行使了知情权，接受标的物的现状和一切已知及未知的瑕疵。</w:t>
      </w:r>
    </w:p>
    <w:p>
      <w:pPr>
        <w:spacing w:line="600" w:lineRule="exact"/>
        <w:rPr>
          <w:color w:val="auto"/>
          <w:sz w:val="24"/>
        </w:rPr>
      </w:pPr>
    </w:p>
    <w:p>
      <w:pPr>
        <w:spacing w:line="600" w:lineRule="exact"/>
        <w:ind w:firstLine="5040" w:firstLineChars="2100"/>
        <w:rPr>
          <w:color w:val="auto"/>
          <w:sz w:val="24"/>
          <w:u w:val="single"/>
        </w:rPr>
      </w:pPr>
      <w:r>
        <w:rPr>
          <w:rFonts w:hint="eastAsia"/>
          <w:color w:val="auto"/>
          <w:sz w:val="24"/>
        </w:rPr>
        <w:t>承诺人签章：</w:t>
      </w:r>
    </w:p>
    <w:p>
      <w:pPr>
        <w:spacing w:line="600" w:lineRule="exact"/>
        <w:ind w:firstLine="4200" w:firstLineChars="1750"/>
        <w:jc w:val="right"/>
        <w:rPr>
          <w:color w:val="auto"/>
          <w:sz w:val="24"/>
          <w:u w:val="single"/>
        </w:rPr>
      </w:pPr>
    </w:p>
    <w:p>
      <w:pPr>
        <w:spacing w:line="600" w:lineRule="exact"/>
        <w:ind w:firstLine="3960" w:firstLineChars="1650"/>
        <w:jc w:val="center"/>
        <w:rPr>
          <w:rFonts w:ascii="宋体"/>
          <w:color w:val="auto"/>
          <w:sz w:val="24"/>
        </w:rPr>
      </w:pP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pPr>
        <w:spacing w:line="440" w:lineRule="exact"/>
        <w:ind w:firstLine="420"/>
        <w:rPr>
          <w:rFonts w:ascii="宋体"/>
          <w:color w:val="auto"/>
          <w:sz w:val="24"/>
        </w:rPr>
      </w:pPr>
    </w:p>
    <w:sectPr>
      <w:footerReference r:id="rId3" w:type="default"/>
      <w:pgSz w:w="11906" w:h="16838"/>
      <w:pgMar w:top="1154" w:right="976" w:bottom="1404" w:left="1070" w:header="851" w:footer="992" w:gutter="0"/>
      <w:pgNumType w:start="1"/>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1" name="_x0000_s4097"/>
              <wp:cNvGraphicFramePr/>
              <a:graphic xmlns:a="http://schemas.openxmlformats.org/drawingml/2006/main">
                <a:graphicData uri="http://schemas.microsoft.com/office/word/2010/wordprocessingShape">
                  <wps:wsp>
                    <wps:cNvSpPr/>
                    <wps:spPr>
                      <a:xfrm>
                        <a:off x="0" y="0"/>
                        <a:ext cx="57149" cy="131557"/>
                      </a:xfrm>
                      <a:prstGeom prst="rect">
                        <a:avLst/>
                      </a:prstGeom>
                      <a:noFill/>
                      <a:ln w="9525" cap="flat" cmpd="sng">
                        <a:noFill/>
                        <a:prstDash val="solid"/>
                        <a:miter/>
                      </a:ln>
                    </wps:spPr>
                    <wps:txbx>
                      <w:txbxContent>
                        <w:p>
                          <w:pPr>
                            <w:pStyle w:val="9"/>
                          </w:pPr>
                          <w:r>
                            <w:fldChar w:fldCharType="begin"/>
                          </w:r>
                          <w:r>
                            <w:instrText xml:space="preserve"> PAGE  \* MERGEFORMAT </w:instrText>
                          </w:r>
                          <w:r>
                            <w:fldChar w:fldCharType="separate"/>
                          </w:r>
                          <w:r>
                            <w:t>8</w:t>
                          </w:r>
                          <w:r>
                            <w:fldChar w:fldCharType="end"/>
                          </w:r>
                        </w:p>
                      </w:txbxContent>
                    </wps:txbx>
                    <wps:bodyPr vert="horz" wrap="none" lIns="0" tIns="0" rIns="0" bIns="0" anchor="t" anchorCtr="0" upright="1">
                      <a:spAutoFit/>
                    </wps:bodyPr>
                  </wps:wsp>
                </a:graphicData>
              </a:graphic>
            </wp:anchor>
          </w:drawing>
        </mc:Choice>
        <mc:Fallback>
          <w:pict>
            <v:rect id="_x0000_s4097" o:spid="_x0000_s1026" o:spt="1"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QNszjQAAAAAgEAAA8AAAAAAAAAAQAgAAAAIgAAAGRycy9kb3ducmV2LnhtbFBLAQIUABQA&#10;AAAIAIdO4kBkiZv5+AEAAPQDAAAOAAAAAAAAAAEAIAAAAB8BAABkcnMvZTJvRG9jLnhtbFBLBQYA&#10;AAAABgAGAFkBAACJBQAAAAA=&#10;">
              <v:fill on="f" focussize="0,0"/>
              <v:stroke on="f" joinstyle="miter"/>
              <v:imagedata o:title=""/>
              <o:lock v:ext="edit" aspectratio="f"/>
              <v:textbox inset="0mm,0mm,0mm,0mm" style="mso-fit-shape-to-text:t;">
                <w:txbxContent>
                  <w:p>
                    <w:pPr>
                      <w:pStyle w:val="9"/>
                    </w:pPr>
                    <w:r>
                      <w:fldChar w:fldCharType="begin"/>
                    </w:r>
                    <w:r>
                      <w:instrText xml:space="preserve"> PAGE  \* MERGEFORMAT </w:instrText>
                    </w:r>
                    <w:r>
                      <w:fldChar w:fldCharType="separate"/>
                    </w:r>
                    <w:r>
                      <w:t>8</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C8CE71"/>
    <w:multiLevelType w:val="singleLevel"/>
    <w:tmpl w:val="A6C8CE71"/>
    <w:lvl w:ilvl="0" w:tentative="0">
      <w:start w:val="2"/>
      <w:numFmt w:val="chineseCounting"/>
      <w:suff w:val="nothing"/>
      <w:lvlText w:val="%1、"/>
      <w:lvlJc w:val="left"/>
      <w:pPr>
        <w:ind w:left="0" w:firstLine="0"/>
      </w:pPr>
      <w:rPr>
        <w:rFonts w:hint="eastAsia"/>
      </w:rPr>
    </w:lvl>
  </w:abstractNum>
  <w:abstractNum w:abstractNumId="1">
    <w:nsid w:val="261B82C0"/>
    <w:multiLevelType w:val="singleLevel"/>
    <w:tmpl w:val="261B82C0"/>
    <w:lvl w:ilvl="0" w:tentative="0">
      <w:start w:val="8"/>
      <w:numFmt w:val="chineseCounting"/>
      <w:suff w:val="nothing"/>
      <w:lvlText w:val="%1、"/>
      <w:lvlJc w:val="left"/>
      <w:pPr>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9"/>
  <w:displayHorizontalDrawingGridEvery w:val="0"/>
  <w:displayVerticalDrawingGridEvery w:val="1"/>
  <w:noPunctuationKerning w:val="1"/>
  <w:characterSpacingControl w:val="compressPunctuation"/>
  <w:noLineBreaksAfter w:lang="zh-CN" w:val="$([{£¥·‘“〈《「『【〔〖〝﹙﹛﹝＄（．［｛￡￥"/>
  <w:noLineBreaksBefore w:lang="zh-CN" w:val="!%),.:;&gt;?]}¢¨°·ˇˉ―‖’”…‰′″›℃∶、。〃〉》」』】〕〗〞︶︺︾﹀﹄﹚﹜﹞！＂％＇），．：；？］｀｜｝～￠"/>
  <w:compat>
    <w:spaceForUL/>
    <w:balanceSingleByteDoubleByteWidth/>
    <w:doNotExpandShiftReturn/>
    <w:adjustLineHeightInTable/>
    <w:useFELayout/>
    <w:doNotUseIndentAsNumberingTabStop/>
    <w:useAltKinsokuLineBreakRules/>
    <w:compatSetting w:name="compatibilityMode" w:uri="http://schemas.microsoft.com/office/word" w:val="12"/>
  </w:compat>
  <w:rsids>
    <w:rsidRoot w:val="00000000"/>
    <w:rsid w:val="45CC0B01"/>
    <w:rsid w:val="72932F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4294967295" w:semiHidden="0" w:name="heading 4"/>
    <w:lsdException w:unhideWhenUsed="0" w:uiPriority="4294967295" w:semiHidden="0" w:name="heading 5"/>
    <w:lsdException w:unhideWhenUsed="0" w:uiPriority="4294967295" w:semiHidden="0" w:name="heading 6"/>
    <w:lsdException w:unhideWhenUsed="0" w:uiPriority="4294967295" w:semiHidden="0" w:name="heading 7"/>
    <w:lsdException w:unhideWhenUsed="0" w:uiPriority="4294967295" w:semiHidden="0" w:name="heading 8"/>
    <w:lsdException w:unhideWhenUsed="0" w:uiPriority="4294967295" w:semiHidden="0" w:name="heading 9"/>
    <w:lsdException w:unhideWhenUsed="0" w:uiPriority="4294967295" w:semiHidden="0" w:name="index 1" w:locked="1"/>
    <w:lsdException w:unhideWhenUsed="0" w:uiPriority="4294967295" w:semiHidden="0" w:name="index 2" w:locked="1"/>
    <w:lsdException w:unhideWhenUsed="0" w:uiPriority="4294967295" w:semiHidden="0" w:name="index 3" w:locked="1"/>
    <w:lsdException w:unhideWhenUsed="0" w:uiPriority="4294967295" w:semiHidden="0" w:name="index 4" w:locked="1"/>
    <w:lsdException w:unhideWhenUsed="0" w:uiPriority="4294967295" w:semiHidden="0" w:name="index 5" w:locked="1"/>
    <w:lsdException w:unhideWhenUsed="0" w:uiPriority="4294967295" w:semiHidden="0" w:name="index 6" w:locked="1"/>
    <w:lsdException w:unhideWhenUsed="0" w:uiPriority="4294967295" w:semiHidden="0" w:name="index 7" w:locked="1"/>
    <w:lsdException w:unhideWhenUsed="0" w:uiPriority="4294967295" w:semiHidden="0" w:name="index 8" w:locked="1"/>
    <w:lsdException w:unhideWhenUsed="0" w:uiPriority="4294967295" w:semiHidden="0" w:name="index 9" w:locked="1"/>
    <w:lsdException w:unhideWhenUsed="0" w:uiPriority="4294967295" w:semiHidden="0" w:name="toc 1"/>
    <w:lsdException w:unhideWhenUsed="0" w:uiPriority="4294967295" w:semiHidden="0" w:name="toc 2"/>
    <w:lsdException w:unhideWhenUsed="0" w:uiPriority="4294967295" w:semiHidden="0" w:name="toc 3"/>
    <w:lsdException w:unhideWhenUsed="0" w:uiPriority="4294967295" w:semiHidden="0" w:name="toc 4"/>
    <w:lsdException w:unhideWhenUsed="0" w:uiPriority="4294967295" w:semiHidden="0" w:name="toc 5"/>
    <w:lsdException w:unhideWhenUsed="0" w:uiPriority="4294967295" w:semiHidden="0" w:name="toc 6"/>
    <w:lsdException w:unhideWhenUsed="0" w:uiPriority="4294967295" w:semiHidden="0" w:name="toc 7"/>
    <w:lsdException w:unhideWhenUsed="0" w:uiPriority="4294967295" w:semiHidden="0" w:name="toc 8"/>
    <w:lsdException w:unhideWhenUsed="0" w:uiPriority="4294967295" w:semiHidden="0" w:name="toc 9"/>
    <w:lsdException w:qFormat="1" w:unhideWhenUsed="0" w:uiPriority="0" w:semiHidden="0" w:name="Normal Indent" w:locked="1"/>
    <w:lsdException w:unhideWhenUsed="0" w:uiPriority="4294967295" w:semiHidden="0" w:name="footnote text" w:locked="1"/>
    <w:lsdException w:unhideWhenUsed="0" w:uiPriority="4294967295" w:semiHidden="0" w:name="annotation text" w:locked="1"/>
    <w:lsdException w:qFormat="1" w:unhideWhenUsed="0" w:uiPriority="0" w:semiHidden="0" w:name="header"/>
    <w:lsdException w:qFormat="1" w:unhideWhenUsed="0" w:uiPriority="0" w:semiHidden="0" w:name="footer"/>
    <w:lsdException w:unhideWhenUsed="0" w:uiPriority="4294967295" w:semiHidden="0" w:name="index heading" w:locked="1"/>
    <w:lsdException w:unhideWhenUsed="0" w:uiPriority="4294967295" w:semiHidden="0" w:name="caption"/>
    <w:lsdException w:unhideWhenUsed="0" w:uiPriority="4294967295" w:semiHidden="0" w:name="table of figures" w:locked="1"/>
    <w:lsdException w:unhideWhenUsed="0" w:uiPriority="4294967295" w:semiHidden="0" w:name="envelope address" w:locked="1"/>
    <w:lsdException w:unhideWhenUsed="0" w:uiPriority="4294967295" w:semiHidden="0" w:name="envelope return" w:locked="1"/>
    <w:lsdException w:unhideWhenUsed="0" w:uiPriority="4294967295" w:semiHidden="0" w:name="footnote reference" w:locked="1"/>
    <w:lsdException w:unhideWhenUsed="0" w:uiPriority="4294967295" w:semiHidden="0" w:name="annotation reference" w:locked="1"/>
    <w:lsdException w:unhideWhenUsed="0" w:uiPriority="4294967295" w:semiHidden="0" w:name="line number" w:locked="1"/>
    <w:lsdException w:qFormat="1" w:unhideWhenUsed="0" w:uiPriority="0" w:semiHidden="0" w:name="page number"/>
    <w:lsdException w:unhideWhenUsed="0" w:uiPriority="4294967295" w:semiHidden="0" w:name="endnote reference" w:locked="1"/>
    <w:lsdException w:unhideWhenUsed="0" w:uiPriority="4294967295" w:semiHidden="0" w:name="endnote text" w:locked="1"/>
    <w:lsdException w:unhideWhenUsed="0" w:uiPriority="4294967295" w:semiHidden="0" w:name="table of authorities" w:locked="1"/>
    <w:lsdException w:unhideWhenUsed="0" w:uiPriority="4294967295" w:semiHidden="0" w:name="macro" w:locked="1"/>
    <w:lsdException w:unhideWhenUsed="0" w:uiPriority="4294967295" w:semiHidden="0" w:name="toa heading" w:locked="1"/>
    <w:lsdException w:unhideWhenUsed="0" w:uiPriority="4294967295" w:semiHidden="0" w:name="List" w:locked="1"/>
    <w:lsdException w:unhideWhenUsed="0" w:uiPriority="4294967295" w:semiHidden="0" w:name="List Bullet" w:locked="1"/>
    <w:lsdException w:unhideWhenUsed="0" w:uiPriority="4294967295" w:semiHidden="0" w:name="List Number" w:locked="1"/>
    <w:lsdException w:unhideWhenUsed="0" w:uiPriority="4294967295" w:semiHidden="0" w:name="List 2" w:locked="1"/>
    <w:lsdException w:unhideWhenUsed="0" w:uiPriority="4294967295" w:semiHidden="0" w:name="List 3" w:locked="1"/>
    <w:lsdException w:unhideWhenUsed="0" w:uiPriority="4294967295" w:semiHidden="0" w:name="List 4" w:locked="1"/>
    <w:lsdException w:unhideWhenUsed="0" w:uiPriority="4294967295" w:semiHidden="0" w:name="List 5" w:locked="1"/>
    <w:lsdException w:unhideWhenUsed="0" w:uiPriority="4294967295" w:semiHidden="0" w:name="List Bullet 2" w:locked="1"/>
    <w:lsdException w:unhideWhenUsed="0" w:uiPriority="4294967295" w:semiHidden="0" w:name="List Bullet 3" w:locked="1"/>
    <w:lsdException w:unhideWhenUsed="0" w:uiPriority="4294967295" w:semiHidden="0" w:name="List Bullet 4" w:locked="1"/>
    <w:lsdException w:unhideWhenUsed="0" w:uiPriority="4294967295" w:semiHidden="0" w:name="List Bullet 5" w:locked="1"/>
    <w:lsdException w:unhideWhenUsed="0" w:uiPriority="4294967295" w:semiHidden="0" w:name="List Number 2" w:locked="1"/>
    <w:lsdException w:unhideWhenUsed="0" w:uiPriority="4294967295" w:semiHidden="0" w:name="List Number 3" w:locked="1"/>
    <w:lsdException w:unhideWhenUsed="0" w:uiPriority="4294967295" w:semiHidden="0" w:name="List Number 4" w:locked="1"/>
    <w:lsdException w:unhideWhenUsed="0" w:uiPriority="4294967295" w:semiHidden="0" w:name="List Number 5" w:locked="1"/>
    <w:lsdException w:unhideWhenUsed="0" w:uiPriority="4294967295" w:semiHidden="0" w:name="Title"/>
    <w:lsdException w:unhideWhenUsed="0" w:uiPriority="4294967295" w:semiHidden="0" w:name="Closing" w:locked="1"/>
    <w:lsdException w:unhideWhenUsed="0" w:uiPriority="4294967295" w:semiHidden="0" w:name="Signature" w:locked="1"/>
    <w:lsdException w:qFormat="1" w:unhideWhenUsed="0" w:uiPriority="0" w:semiHidden="0" w:name="Default Paragraph Font"/>
    <w:lsdException w:qFormat="1" w:unhideWhenUsed="0" w:uiPriority="0" w:semiHidden="0" w:name="Body Text" w:locked="1"/>
    <w:lsdException w:qFormat="1" w:unhideWhenUsed="0" w:uiPriority="0" w:semiHidden="0" w:name="Body Text Indent"/>
    <w:lsdException w:unhideWhenUsed="0" w:uiPriority="4294967295" w:semiHidden="0" w:name="List Continue" w:locked="1"/>
    <w:lsdException w:unhideWhenUsed="0" w:uiPriority="4294967295" w:semiHidden="0" w:name="List Continue 2" w:locked="1"/>
    <w:lsdException w:unhideWhenUsed="0" w:uiPriority="4294967295" w:semiHidden="0" w:name="List Continue 3" w:locked="1"/>
    <w:lsdException w:unhideWhenUsed="0" w:uiPriority="4294967295" w:semiHidden="0" w:name="List Continue 4" w:locked="1"/>
    <w:lsdException w:unhideWhenUsed="0" w:uiPriority="4294967295" w:semiHidden="0" w:name="List Continue 5" w:locked="1"/>
    <w:lsdException w:unhideWhenUsed="0" w:uiPriority="4294967295" w:semiHidden="0" w:name="Message Header" w:locked="1"/>
    <w:lsdException w:unhideWhenUsed="0" w:uiPriority="4294967295" w:semiHidden="0" w:name="Subtitle"/>
    <w:lsdException w:unhideWhenUsed="0" w:uiPriority="4294967295" w:semiHidden="0" w:name="Salutation" w:locked="1"/>
    <w:lsdException w:unhideWhenUsed="0" w:uiPriority="4294967295" w:semiHidden="0" w:name="Date" w:locked="1"/>
    <w:lsdException w:unhideWhenUsed="0" w:uiPriority="4294967295" w:semiHidden="0" w:name="Body Text First Indent" w:locked="1"/>
    <w:lsdException w:unhideWhenUsed="0" w:uiPriority="4294967295" w:semiHidden="0" w:name="Body Text First Indent 2" w:locked="1"/>
    <w:lsdException w:unhideWhenUsed="0" w:uiPriority="4294967295" w:semiHidden="0" w:name="Note Heading" w:locked="1"/>
    <w:lsdException w:unhideWhenUsed="0" w:uiPriority="4294967295" w:semiHidden="0" w:name="Body Text 2" w:locked="1"/>
    <w:lsdException w:unhideWhenUsed="0" w:uiPriority="4294967295" w:semiHidden="0" w:name="Body Text 3" w:locked="1"/>
    <w:lsdException w:unhideWhenUsed="0" w:uiPriority="4294967295" w:semiHidden="0" w:name="Body Text Indent 2" w:locked="1"/>
    <w:lsdException w:unhideWhenUsed="0" w:uiPriority="4294967295" w:semiHidden="0" w:name="Body Text Indent 3" w:locked="1"/>
    <w:lsdException w:unhideWhenUsed="0" w:uiPriority="4294967295" w:semiHidden="0" w:name="Block Text" w:locked="1"/>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4294967295" w:semiHidden="0" w:name="Document Map" w:locked="1"/>
    <w:lsdException w:unhideWhenUsed="0" w:uiPriority="4294967295" w:semiHidden="0" w:name="Plain Text" w:locked="1"/>
    <w:lsdException w:unhideWhenUsed="0" w:uiPriority="4294967295" w:semiHidden="0" w:name="E-mail Signature" w:locked="1"/>
    <w:lsdException w:qFormat="1" w:unhideWhenUsed="0" w:uiPriority="0" w:semiHidden="0" w:name="Normal (Web)" w:locked="1"/>
    <w:lsdException w:unhideWhenUsed="0" w:uiPriority="4294967295" w:semiHidden="0" w:name="HTML Acronym" w:locked="1"/>
    <w:lsdException w:unhideWhenUsed="0" w:uiPriority="4294967295" w:semiHidden="0" w:name="HTML Address" w:locked="1"/>
    <w:lsdException w:unhideWhenUsed="0" w:uiPriority="4294967295" w:semiHidden="0" w:name="HTML Cite" w:locked="1"/>
    <w:lsdException w:unhideWhenUsed="0" w:uiPriority="4294967295" w:semiHidden="0" w:name="HTML Code" w:locked="1"/>
    <w:lsdException w:unhideWhenUsed="0" w:uiPriority="4294967295" w:semiHidden="0" w:name="HTML Definition" w:locked="1"/>
    <w:lsdException w:unhideWhenUsed="0" w:uiPriority="4294967295" w:semiHidden="0" w:name="HTML Keyboard" w:locked="1"/>
    <w:lsdException w:unhideWhenUsed="0" w:uiPriority="4294967295" w:semiHidden="0" w:name="HTML Preformatted" w:locked="1"/>
    <w:lsdException w:unhideWhenUsed="0" w:uiPriority="4294967295" w:semiHidden="0" w:name="HTML Sample" w:locked="1"/>
    <w:lsdException w:unhideWhenUsed="0" w:uiPriority="4294967295" w:semiHidden="0" w:name="HTML Typewriter" w:locked="1"/>
    <w:lsdException w:unhideWhenUsed="0" w:uiPriority="4294967295" w:semiHidden="0" w:name="HTML Variable" w:locked="1"/>
    <w:lsdException w:unhideWhenUsed="0" w:uiPriority="4294967295" w:semiHidden="0" w:name="Normal Table"/>
    <w:lsdException w:unhideWhenUsed="0" w:uiPriority="4294967295" w:semiHidden="0" w:name="annotation subject" w:locked="1"/>
    <w:lsdException w:unhideWhenUsed="0" w:uiPriority="4294967295" w:semiHidden="0" w:name="Table Simple 1"/>
    <w:lsdException w:unhideWhenUsed="0" w:uiPriority="4294967295" w:semiHidden="0" w:name="Table Simple 2"/>
    <w:lsdException w:unhideWhenUsed="0" w:uiPriority="4294967295" w:semiHidden="0" w:name="Table Simple 3"/>
    <w:lsdException w:unhideWhenUsed="0" w:uiPriority="4294967295" w:semiHidden="0" w:name="Table Classic 1"/>
    <w:lsdException w:unhideWhenUsed="0" w:uiPriority="4294967295" w:semiHidden="0" w:name="Table Classic 2"/>
    <w:lsdException w:unhideWhenUsed="0" w:uiPriority="4294967295" w:semiHidden="0" w:name="Table Classic 3"/>
    <w:lsdException w:unhideWhenUsed="0" w:uiPriority="4294967295" w:semiHidden="0" w:name="Table Classic 4"/>
    <w:lsdException w:unhideWhenUsed="0" w:uiPriority="4294967295" w:semiHidden="0" w:name="Table Colorful 1"/>
    <w:lsdException w:unhideWhenUsed="0" w:uiPriority="4294967295" w:semiHidden="0" w:name="Table Colorful 2"/>
    <w:lsdException w:unhideWhenUsed="0" w:uiPriority="4294967295" w:semiHidden="0" w:name="Table Colorful 3"/>
    <w:lsdException w:unhideWhenUsed="0" w:uiPriority="4294967295" w:semiHidden="0" w:name="Table Columns 1"/>
    <w:lsdException w:unhideWhenUsed="0" w:uiPriority="4294967295" w:semiHidden="0" w:name="Table Columns 2"/>
    <w:lsdException w:unhideWhenUsed="0" w:uiPriority="4294967295" w:semiHidden="0" w:name="Table Columns 3"/>
    <w:lsdException w:unhideWhenUsed="0" w:uiPriority="4294967295" w:semiHidden="0" w:name="Table Columns 4"/>
    <w:lsdException w:unhideWhenUsed="0" w:uiPriority="4294967295" w:semiHidden="0" w:name="Table Columns 5"/>
    <w:lsdException w:unhideWhenUsed="0" w:uiPriority="4294967295" w:semiHidden="0" w:name="Table Grid 1"/>
    <w:lsdException w:unhideWhenUsed="0" w:uiPriority="4294967295" w:semiHidden="0" w:name="Table Grid 2"/>
    <w:lsdException w:unhideWhenUsed="0" w:uiPriority="4294967295" w:semiHidden="0" w:name="Table Grid 3"/>
    <w:lsdException w:unhideWhenUsed="0" w:uiPriority="4294967295" w:semiHidden="0" w:name="Table Grid 4"/>
    <w:lsdException w:unhideWhenUsed="0" w:uiPriority="4294967295" w:semiHidden="0" w:name="Table Grid 5"/>
    <w:lsdException w:unhideWhenUsed="0" w:uiPriority="4294967295" w:semiHidden="0" w:name="Table Grid 6"/>
    <w:lsdException w:unhideWhenUsed="0" w:uiPriority="4294967295" w:semiHidden="0" w:name="Table Grid 7"/>
    <w:lsdException w:unhideWhenUsed="0" w:uiPriority="4294967295" w:semiHidden="0" w:name="Table Grid 8"/>
    <w:lsdException w:unhideWhenUsed="0" w:uiPriority="4294967295" w:semiHidden="0" w:name="Table List 1"/>
    <w:lsdException w:unhideWhenUsed="0" w:uiPriority="4294967295" w:semiHidden="0" w:name="Table List 2"/>
    <w:lsdException w:unhideWhenUsed="0" w:uiPriority="4294967295" w:semiHidden="0" w:name="Table List 3"/>
    <w:lsdException w:unhideWhenUsed="0" w:uiPriority="4294967295" w:semiHidden="0" w:name="Table List 4"/>
    <w:lsdException w:unhideWhenUsed="0" w:uiPriority="4294967295" w:semiHidden="0" w:name="Table List 5"/>
    <w:lsdException w:unhideWhenUsed="0" w:uiPriority="4294967295" w:semiHidden="0" w:name="Table List 6"/>
    <w:lsdException w:unhideWhenUsed="0" w:uiPriority="4294967295" w:semiHidden="0" w:name="Table List 7"/>
    <w:lsdException w:unhideWhenUsed="0" w:uiPriority="4294967295" w:semiHidden="0" w:name="Table List 8"/>
    <w:lsdException w:unhideWhenUsed="0" w:uiPriority="4294967295" w:semiHidden="0" w:name="Table 3D effects 1"/>
    <w:lsdException w:unhideWhenUsed="0" w:uiPriority="4294967295" w:semiHidden="0" w:name="Table 3D effects 2"/>
    <w:lsdException w:unhideWhenUsed="0" w:uiPriority="4294967295" w:semiHidden="0" w:name="Table 3D effects 3"/>
    <w:lsdException w:unhideWhenUsed="0" w:uiPriority="4294967295" w:semiHidden="0" w:name="Table Contemporary"/>
    <w:lsdException w:unhideWhenUsed="0" w:uiPriority="4294967295" w:semiHidden="0" w:name="Table Elegant"/>
    <w:lsdException w:unhideWhenUsed="0" w:uiPriority="4294967295" w:semiHidden="0" w:name="Table Professional"/>
    <w:lsdException w:unhideWhenUsed="0" w:uiPriority="4294967295" w:semiHidden="0" w:name="Table Subtle 1"/>
    <w:lsdException w:unhideWhenUsed="0" w:uiPriority="4294967295" w:semiHidden="0" w:name="Table Subtle 2"/>
    <w:lsdException w:unhideWhenUsed="0" w:uiPriority="4294967295" w:semiHidden="0" w:name="Table Web 1"/>
    <w:lsdException w:unhideWhenUsed="0" w:uiPriority="4294967295" w:semiHidden="0" w:name="Table Web 2"/>
    <w:lsdException w:unhideWhenUsed="0" w:uiPriority="4294967295" w:semiHidden="0" w:name="Table Web 3"/>
    <w:lsdException w:qFormat="1" w:unhideWhenUsed="0" w:uiPriority="0" w:semiHidden="0" w:name="Balloon Text"/>
    <w:lsdException w:unhideWhenUsed="0" w:uiPriority="4294967295" w:semiHidden="0" w:name="Table Grid"/>
    <w:lsdException w:unhideWhenUsed="0" w:uiPriority="4294967295"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3">
    <w:name w:val="Default Paragraph Font"/>
    <w:qFormat/>
    <w:uiPriority w:val="0"/>
  </w:style>
  <w:style w:type="table" w:default="1" w:styleId="12">
    <w:name w:val="Normal Table"/>
    <w:uiPriority w:val="4294967295"/>
    <w:tblPr>
      <w:tblCellMar>
        <w:top w:w="0" w:type="dxa"/>
        <w:left w:w="108" w:type="dxa"/>
        <w:bottom w:w="0" w:type="dxa"/>
        <w:right w:w="108" w:type="dxa"/>
      </w:tblCellMar>
    </w:tblPr>
  </w:style>
  <w:style w:type="paragraph" w:styleId="5">
    <w:name w:val="Normal Indent"/>
    <w:basedOn w:val="1"/>
    <w:qFormat/>
    <w:locked/>
    <w:uiPriority w:val="0"/>
    <w:pPr>
      <w:ind w:firstLine="420"/>
    </w:pPr>
    <w:rPr>
      <w:szCs w:val="20"/>
    </w:rPr>
  </w:style>
  <w:style w:type="paragraph" w:styleId="6">
    <w:name w:val="Body Text"/>
    <w:basedOn w:val="1"/>
    <w:qFormat/>
    <w:locked/>
    <w:uiPriority w:val="0"/>
    <w:pPr>
      <w:spacing w:after="120"/>
    </w:pPr>
    <w:rPr>
      <w:rFonts w:ascii="Calibri" w:hAnsi="Calibri"/>
    </w:rPr>
  </w:style>
  <w:style w:type="paragraph" w:styleId="7">
    <w:name w:val="Body Text Indent"/>
    <w:basedOn w:val="1"/>
    <w:qFormat/>
    <w:uiPriority w:val="0"/>
    <w:pPr>
      <w:ind w:firstLine="200" w:firstLineChars="200"/>
    </w:pPr>
    <w:rPr>
      <w:sz w:val="28"/>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locked/>
    <w:uiPriority w:val="0"/>
    <w:pPr>
      <w:widowControl/>
      <w:spacing w:before="100" w:beforeAutospacing="1" w:after="100" w:afterAutospacing="1"/>
      <w:jc w:val="left"/>
    </w:pPr>
    <w:rPr>
      <w:rFonts w:ascii="宋体" w:cs="宋体"/>
      <w:kern w:val="0"/>
      <w:sz w:val="24"/>
    </w:rPr>
  </w:style>
  <w:style w:type="character" w:styleId="14">
    <w:name w:val="Strong"/>
    <w:basedOn w:val="13"/>
    <w:qFormat/>
    <w:uiPriority w:val="0"/>
    <w:rPr>
      <w:rFonts w:cs="Times New Roman"/>
      <w:b/>
      <w:sz w:val="24"/>
      <w:szCs w:val="24"/>
      <w:vertAlign w:val="baseline"/>
    </w:rPr>
  </w:style>
  <w:style w:type="character" w:styleId="15">
    <w:name w:val="page number"/>
    <w:basedOn w:val="13"/>
    <w:qFormat/>
    <w:uiPriority w:val="0"/>
    <w:rPr>
      <w:rFonts w:cs="Times New Roman"/>
    </w:rPr>
  </w:style>
  <w:style w:type="character" w:styleId="16">
    <w:name w:val="FollowedHyperlink"/>
    <w:basedOn w:val="13"/>
    <w:qFormat/>
    <w:uiPriority w:val="0"/>
    <w:rPr>
      <w:rFonts w:cs="Times New Roman"/>
      <w:color w:val="800080"/>
      <w:sz w:val="24"/>
      <w:szCs w:val="24"/>
      <w:u w:val="none"/>
      <w:vertAlign w:val="baseline"/>
    </w:rPr>
  </w:style>
  <w:style w:type="character" w:styleId="17">
    <w:name w:val="Emphasis"/>
    <w:basedOn w:val="13"/>
    <w:qFormat/>
    <w:uiPriority w:val="0"/>
    <w:rPr>
      <w:rFonts w:cs="Times New Roman"/>
      <w:i/>
      <w:sz w:val="24"/>
      <w:szCs w:val="24"/>
      <w:vertAlign w:val="baseline"/>
    </w:rPr>
  </w:style>
  <w:style w:type="character" w:styleId="18">
    <w:name w:val="Hyperlink"/>
    <w:basedOn w:val="13"/>
    <w:qFormat/>
    <w:uiPriority w:val="0"/>
    <w:rPr>
      <w:rFonts w:cs="Times New Roman"/>
      <w:color w:val="0000FF"/>
      <w:sz w:val="24"/>
      <w:szCs w:val="24"/>
      <w:u w:val="none"/>
      <w:vertAlign w:val="baseline"/>
    </w:rPr>
  </w:style>
  <w:style w:type="paragraph" w:customStyle="1" w:styleId="19">
    <w:name w:val="Char1 Char Char Char"/>
    <w:basedOn w:val="1"/>
    <w:qFormat/>
    <w:uiPriority w:val="0"/>
    <w:rPr>
      <w:rFonts w:ascii="Tahoma" w:hAnsi="Tahoma"/>
      <w:sz w:val="24"/>
      <w:szCs w:val="20"/>
    </w:rPr>
  </w:style>
  <w:style w:type="paragraph" w:customStyle="1" w:styleId="20">
    <w:name w:val="Char1 Char Char Char1"/>
    <w:basedOn w:val="1"/>
    <w:qFormat/>
    <w:uiPriority w:val="0"/>
    <w:rPr>
      <w:rFonts w:ascii="Tahoma" w:hAnsi="Tahoma"/>
      <w:sz w:val="24"/>
      <w:szCs w:val="20"/>
    </w:rPr>
  </w:style>
  <w:style w:type="character" w:customStyle="1" w:styleId="21">
    <w:name w:val="beat"/>
    <w:basedOn w:val="13"/>
    <w:qFormat/>
    <w:uiPriority w:val="0"/>
    <w:rPr>
      <w:rFonts w:cs="Times New Roman"/>
    </w:rPr>
  </w:style>
  <w:style w:type="character" w:customStyle="1" w:styleId="22">
    <w:name w:val="j"/>
    <w:basedOn w:val="13"/>
    <w:qFormat/>
    <w:uiPriority w:val="0"/>
    <w:rPr>
      <w:rFonts w:cs="Times New Roman"/>
    </w:rPr>
  </w:style>
  <w:style w:type="character" w:customStyle="1" w:styleId="23">
    <w:name w:val="jl"/>
    <w:basedOn w:val="13"/>
    <w:qFormat/>
    <w:uiPriority w:val="0"/>
    <w:rPr>
      <w:rFonts w:cs="Times New Roman"/>
    </w:rPr>
  </w:style>
  <w:style w:type="character" w:customStyle="1" w:styleId="24">
    <w:name w:val="bds_more2"/>
    <w:basedOn w:val="13"/>
    <w:qFormat/>
    <w:uiPriority w:val="0"/>
    <w:rPr>
      <w:rFonts w:ascii="宋体" w:eastAsia="宋体" w:cs="宋体"/>
    </w:rPr>
  </w:style>
  <w:style w:type="character" w:customStyle="1" w:styleId="25">
    <w:name w:val="bad"/>
    <w:basedOn w:val="13"/>
    <w:qFormat/>
    <w:uiPriority w:val="0"/>
    <w:rPr>
      <w:rFonts w:cs="Times New Roman"/>
    </w:rPr>
  </w:style>
  <w:style w:type="character" w:customStyle="1" w:styleId="26">
    <w:name w:val="jr"/>
    <w:basedOn w:val="13"/>
    <w:qFormat/>
    <w:uiPriority w:val="0"/>
    <w:rPr>
      <w:rFonts w:cs="Times New Roman"/>
    </w:rPr>
  </w:style>
  <w:style w:type="character" w:customStyle="1" w:styleId="27">
    <w:name w:val="bds_more3"/>
    <w:basedOn w:val="13"/>
    <w:qFormat/>
    <w:uiPriority w:val="0"/>
    <w:rPr>
      <w:rFonts w:cs="Times New Roman"/>
    </w:rPr>
  </w:style>
  <w:style w:type="character" w:customStyle="1" w:styleId="28">
    <w:name w:val="bds_more"/>
    <w:basedOn w:val="13"/>
    <w:qFormat/>
    <w:uiPriority w:val="0"/>
    <w:rPr>
      <w:rFonts w:cs="Times New Roman"/>
    </w:rPr>
  </w:style>
  <w:style w:type="character" w:customStyle="1" w:styleId="29">
    <w:name w:val="bds_nopic"/>
    <w:basedOn w:val="13"/>
    <w:qFormat/>
    <w:uiPriority w:val="0"/>
    <w:rPr>
      <w:rFonts w:cs="Times New Roman"/>
    </w:rPr>
  </w:style>
  <w:style w:type="character" w:customStyle="1" w:styleId="30">
    <w:name w:val="bds_more1"/>
    <w:basedOn w:val="13"/>
    <w:qFormat/>
    <w:uiPriority w:val="0"/>
    <w:rPr>
      <w:rFonts w:cs="Times New Roman"/>
    </w:rPr>
  </w:style>
  <w:style w:type="character" w:customStyle="1" w:styleId="31">
    <w:name w:val="font11"/>
    <w:basedOn w:val="13"/>
    <w:qFormat/>
    <w:uiPriority w:val="0"/>
    <w:rPr>
      <w:rFonts w:ascii="Times New Roman" w:hAnsi="Times New Roman" w:cs="Times New Roman"/>
      <w:color w:val="000000"/>
      <w:sz w:val="21"/>
      <w:szCs w:val="21"/>
      <w:u w:val="none"/>
    </w:rPr>
  </w:style>
  <w:style w:type="character" w:customStyle="1" w:styleId="32">
    <w:name w:val="font21"/>
    <w:basedOn w:val="13"/>
    <w:qFormat/>
    <w:uiPriority w:val="0"/>
    <w:rPr>
      <w:rFonts w:ascii="宋体" w:eastAsia="宋体" w:cs="宋体"/>
      <w:color w:val="000000"/>
      <w:sz w:val="21"/>
      <w:szCs w:val="21"/>
      <w:u w:val="none"/>
    </w:rPr>
  </w:style>
  <w:style w:type="paragraph" w:customStyle="1" w:styleId="33">
    <w:name w:val="汇编大标题1"/>
    <w:basedOn w:val="1"/>
    <w:qFormat/>
    <w:uiPriority w:val="0"/>
    <w:pPr>
      <w:autoSpaceDE w:val="0"/>
      <w:autoSpaceDN w:val="0"/>
      <w:adjustRightInd w:val="0"/>
      <w:spacing w:line="360" w:lineRule="auto"/>
      <w:ind w:right="100" w:rightChars="100"/>
      <w:jc w:val="center"/>
    </w:pPr>
    <w:rPr>
      <w:rFonts w:ascii="黑体" w:eastAsia="黑体"/>
      <w:b/>
      <w:bCs/>
      <w:kern w:val="0"/>
      <w:sz w:val="36"/>
      <w:szCs w:val="28"/>
    </w:rPr>
  </w:style>
  <w:style w:type="character" w:customStyle="1" w:styleId="34">
    <w:name w:val="font01"/>
    <w:basedOn w:val="13"/>
    <w:qFormat/>
    <w:uiPriority w:val="0"/>
    <w:rPr>
      <w:rFonts w:asci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Sky123.Org</Company>
  <Pages>9</Pages>
  <Words>6718</Words>
  <Characters>7546</Characters>
  <Lines>0</Lines>
  <Paragraphs>110</Paragraphs>
  <TotalTime>32</TotalTime>
  <ScaleCrop>false</ScaleCrop>
  <LinksUpToDate>false</LinksUpToDate>
  <CharactersWithSpaces>7700</CharactersWithSpaces>
  <Application>WPS Office_11.1.0.10650_F1E327BC-269C-435d-A152-05C5408002CA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2021-03-22T03:37:00Z</dcterms:created>
  <dc:creator>NTKO</dc:creator>
  <cp:lastModifiedBy>Jacky</cp:lastModifiedBy>
  <cp:lastPrinted>2020-05-12T00:43:00Z</cp:lastPrinted>
  <dcterms:modified xsi:type="dcterms:W3CDTF">2021-08-16T00:56:09Z</dcterms:modified>
  <dc:title>龙岩鼎成拍卖有限公司</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0B02B2DE4EB9444C91F9A5A058FFC9BF</vt:lpwstr>
  </property>
</Properties>
</file>