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0610</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lang w:val="en-US" w:eastAsia="zh-CN"/>
        </w:rPr>
        <w:t>月10日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lang w:val="en-US" w:eastAsia="zh-CN"/>
        </w:rPr>
        <w:t>月4日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lang w:val="en-US" w:eastAsia="zh-CN"/>
        </w:rPr>
        <w:t>月9日</w:t>
      </w:r>
      <w:r>
        <w:rPr>
          <w:rFonts w:hint="eastAsia" w:asciiTheme="minorEastAsia" w:hAnsiTheme="minorEastAsia" w:eastAsiaTheme="minorEastAsia" w:cstheme="minorEastAsia"/>
          <w:color w:val="auto"/>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15BF0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福建省莲景园林绿化有限公司水稻病虫防治药剂采购项目</w:t>
      </w:r>
      <w:r>
        <w:rPr>
          <w:rFonts w:hint="eastAsia" w:asciiTheme="minorEastAsia" w:hAnsiTheme="minorEastAsia" w:eastAsiaTheme="minorEastAsia" w:cstheme="minorEastAsia"/>
          <w:color w:val="auto"/>
          <w:sz w:val="24"/>
          <w:szCs w:val="24"/>
          <w:highlight w:val="none"/>
        </w:rPr>
        <w:t>。</w:t>
      </w:r>
    </w:p>
    <w:p w14:paraId="62957AA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auto"/>
          <w:kern w:val="2"/>
          <w:sz w:val="24"/>
          <w:szCs w:val="24"/>
          <w:highlight w:val="none"/>
          <w:u w:val="none"/>
          <w:lang w:val="en-US" w:eastAsia="zh-CN"/>
        </w:rPr>
        <w:t>本次采购涵盖杀虫剂、、除草剂等多种农药产品，旨在满足水稻种植过程中的病虫害防治和杂草控制要求。</w:t>
      </w:r>
    </w:p>
    <w:tbl>
      <w:tblPr>
        <w:tblStyle w:val="4"/>
        <w:tblpPr w:leftFromText="180" w:rightFromText="180" w:vertAnchor="text" w:horzAnchor="page" w:tblpX="1559" w:tblpY="507"/>
        <w:tblOverlap w:val="never"/>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575"/>
        <w:gridCol w:w="1881"/>
        <w:gridCol w:w="1566"/>
        <w:gridCol w:w="1521"/>
        <w:gridCol w:w="1193"/>
      </w:tblGrid>
      <w:tr w14:paraId="7A21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0" w:type="auto"/>
            <w:noWrap w:val="0"/>
            <w:vAlign w:val="center"/>
          </w:tcPr>
          <w:p w14:paraId="55324C42">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0" w:type="auto"/>
            <w:noWrap w:val="0"/>
            <w:vAlign w:val="center"/>
          </w:tcPr>
          <w:p w14:paraId="33E22BAE">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药剂种类</w:t>
            </w:r>
          </w:p>
        </w:tc>
        <w:tc>
          <w:tcPr>
            <w:tcW w:w="0" w:type="auto"/>
            <w:noWrap w:val="0"/>
            <w:vAlign w:val="center"/>
          </w:tcPr>
          <w:p w14:paraId="099A28E3">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规格（ml或g/瓶、包）</w:t>
            </w:r>
          </w:p>
        </w:tc>
        <w:tc>
          <w:tcPr>
            <w:tcW w:w="0" w:type="auto"/>
            <w:noWrap w:val="0"/>
            <w:vAlign w:val="center"/>
          </w:tcPr>
          <w:p w14:paraId="722582E8">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数量（瓶、公斤）</w:t>
            </w:r>
          </w:p>
        </w:tc>
        <w:tc>
          <w:tcPr>
            <w:tcW w:w="0" w:type="auto"/>
            <w:shd w:val="clear" w:color="auto" w:fill="auto"/>
            <w:noWrap w:val="0"/>
            <w:vAlign w:val="center"/>
          </w:tcPr>
          <w:p w14:paraId="29AE03B4">
            <w:pPr>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单价（元/瓶、包）</w:t>
            </w:r>
          </w:p>
        </w:tc>
        <w:tc>
          <w:tcPr>
            <w:tcW w:w="0" w:type="auto"/>
            <w:shd w:val="clear" w:color="auto" w:fill="auto"/>
            <w:noWrap w:val="0"/>
            <w:vAlign w:val="center"/>
          </w:tcPr>
          <w:p w14:paraId="3472652D">
            <w:pPr>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总价（元）</w:t>
            </w:r>
          </w:p>
        </w:tc>
      </w:tr>
      <w:tr w14:paraId="731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noWrap w:val="0"/>
            <w:vAlign w:val="center"/>
          </w:tcPr>
          <w:p w14:paraId="6310DA9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0" w:type="auto"/>
            <w:noWrap w:val="0"/>
            <w:vAlign w:val="center"/>
          </w:tcPr>
          <w:p w14:paraId="4690D35C">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19%氯虫.三氟苯嘧啶</w:t>
            </w:r>
          </w:p>
        </w:tc>
        <w:tc>
          <w:tcPr>
            <w:tcW w:w="0" w:type="auto"/>
            <w:noWrap w:val="0"/>
            <w:vAlign w:val="center"/>
          </w:tcPr>
          <w:p w14:paraId="7375C7F3">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200ml</w:t>
            </w:r>
          </w:p>
        </w:tc>
        <w:tc>
          <w:tcPr>
            <w:tcW w:w="0" w:type="auto"/>
            <w:noWrap w:val="0"/>
            <w:vAlign w:val="center"/>
          </w:tcPr>
          <w:p w14:paraId="42B8B68F">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520</w:t>
            </w:r>
          </w:p>
        </w:tc>
        <w:tc>
          <w:tcPr>
            <w:tcW w:w="0" w:type="auto"/>
            <w:noWrap w:val="0"/>
            <w:vAlign w:val="center"/>
          </w:tcPr>
          <w:p w14:paraId="4A65CE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220</w:t>
            </w:r>
          </w:p>
        </w:tc>
        <w:tc>
          <w:tcPr>
            <w:tcW w:w="0" w:type="auto"/>
            <w:noWrap w:val="0"/>
            <w:vAlign w:val="center"/>
          </w:tcPr>
          <w:p w14:paraId="361FE3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114400</w:t>
            </w:r>
          </w:p>
        </w:tc>
      </w:tr>
      <w:tr w14:paraId="0F9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noWrap w:val="0"/>
            <w:vAlign w:val="center"/>
          </w:tcPr>
          <w:p w14:paraId="78F50FE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0" w:type="auto"/>
            <w:noWrap w:val="0"/>
            <w:vAlign w:val="center"/>
          </w:tcPr>
          <w:p w14:paraId="3AD7CD85">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42%肟菌.戊唑醇</w:t>
            </w:r>
          </w:p>
        </w:tc>
        <w:tc>
          <w:tcPr>
            <w:tcW w:w="0" w:type="auto"/>
            <w:noWrap w:val="0"/>
            <w:vAlign w:val="center"/>
          </w:tcPr>
          <w:p w14:paraId="227D7D66">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500g</w:t>
            </w:r>
          </w:p>
        </w:tc>
        <w:tc>
          <w:tcPr>
            <w:tcW w:w="0" w:type="auto"/>
            <w:noWrap w:val="0"/>
            <w:vAlign w:val="center"/>
          </w:tcPr>
          <w:p w14:paraId="183F26F8">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452</w:t>
            </w:r>
          </w:p>
        </w:tc>
        <w:tc>
          <w:tcPr>
            <w:tcW w:w="0" w:type="auto"/>
            <w:noWrap w:val="0"/>
            <w:vAlign w:val="center"/>
          </w:tcPr>
          <w:p w14:paraId="5C842F0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200</w:t>
            </w:r>
          </w:p>
        </w:tc>
        <w:tc>
          <w:tcPr>
            <w:tcW w:w="0" w:type="auto"/>
            <w:noWrap w:val="0"/>
            <w:vAlign w:val="center"/>
          </w:tcPr>
          <w:p w14:paraId="71780D0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90400</w:t>
            </w:r>
          </w:p>
        </w:tc>
      </w:tr>
      <w:tr w14:paraId="2085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33E5717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0" w:type="auto"/>
            <w:noWrap w:val="0"/>
            <w:vAlign w:val="center"/>
          </w:tcPr>
          <w:p w14:paraId="3CC2571E">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360g/l虫螨腈</w:t>
            </w:r>
          </w:p>
        </w:tc>
        <w:tc>
          <w:tcPr>
            <w:tcW w:w="0" w:type="auto"/>
            <w:noWrap w:val="0"/>
            <w:vAlign w:val="center"/>
          </w:tcPr>
          <w:p w14:paraId="1E617482">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100g</w:t>
            </w:r>
          </w:p>
        </w:tc>
        <w:tc>
          <w:tcPr>
            <w:tcW w:w="0" w:type="auto"/>
            <w:noWrap w:val="0"/>
            <w:vAlign w:val="center"/>
          </w:tcPr>
          <w:p w14:paraId="4DB27C62">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1734</w:t>
            </w:r>
          </w:p>
        </w:tc>
        <w:tc>
          <w:tcPr>
            <w:tcW w:w="0" w:type="auto"/>
            <w:noWrap w:val="0"/>
            <w:vAlign w:val="center"/>
          </w:tcPr>
          <w:p w14:paraId="6A7363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w:t>
            </w:r>
          </w:p>
        </w:tc>
        <w:tc>
          <w:tcPr>
            <w:tcW w:w="0" w:type="auto"/>
            <w:noWrap w:val="0"/>
            <w:vAlign w:val="center"/>
          </w:tcPr>
          <w:p w14:paraId="48AC474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36414</w:t>
            </w:r>
          </w:p>
        </w:tc>
      </w:tr>
      <w:tr w14:paraId="2D31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1129295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0" w:type="auto"/>
            <w:noWrap w:val="0"/>
            <w:vAlign w:val="center"/>
          </w:tcPr>
          <w:p w14:paraId="49C6CEAF">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20%氯氟吡氧乙酸</w:t>
            </w:r>
          </w:p>
        </w:tc>
        <w:tc>
          <w:tcPr>
            <w:tcW w:w="0" w:type="auto"/>
            <w:noWrap w:val="0"/>
            <w:vAlign w:val="center"/>
          </w:tcPr>
          <w:p w14:paraId="74CA0832">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1kg</w:t>
            </w:r>
          </w:p>
        </w:tc>
        <w:tc>
          <w:tcPr>
            <w:tcW w:w="0" w:type="auto"/>
            <w:noWrap w:val="0"/>
            <w:vAlign w:val="center"/>
          </w:tcPr>
          <w:p w14:paraId="3A6EC456">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130</w:t>
            </w:r>
          </w:p>
        </w:tc>
        <w:tc>
          <w:tcPr>
            <w:tcW w:w="0" w:type="auto"/>
            <w:noWrap w:val="0"/>
            <w:vAlign w:val="center"/>
          </w:tcPr>
          <w:p w14:paraId="5F0E7B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90</w:t>
            </w:r>
          </w:p>
        </w:tc>
        <w:tc>
          <w:tcPr>
            <w:tcW w:w="0" w:type="auto"/>
            <w:noWrap w:val="0"/>
            <w:vAlign w:val="center"/>
          </w:tcPr>
          <w:p w14:paraId="45123BF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11700</w:t>
            </w:r>
          </w:p>
        </w:tc>
      </w:tr>
      <w:tr w14:paraId="680F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0A9B2A8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0" w:type="auto"/>
            <w:noWrap w:val="0"/>
            <w:vAlign w:val="center"/>
          </w:tcPr>
          <w:p w14:paraId="11CB7164">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36%草铵.草甘膦</w:t>
            </w:r>
          </w:p>
        </w:tc>
        <w:tc>
          <w:tcPr>
            <w:tcW w:w="0" w:type="auto"/>
            <w:noWrap w:val="0"/>
            <w:vAlign w:val="center"/>
          </w:tcPr>
          <w:p w14:paraId="4D21427F">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5kg</w:t>
            </w:r>
          </w:p>
        </w:tc>
        <w:tc>
          <w:tcPr>
            <w:tcW w:w="0" w:type="auto"/>
            <w:noWrap w:val="0"/>
            <w:vAlign w:val="center"/>
          </w:tcPr>
          <w:p w14:paraId="3A98BDD8">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260</w:t>
            </w:r>
          </w:p>
        </w:tc>
        <w:tc>
          <w:tcPr>
            <w:tcW w:w="0" w:type="auto"/>
            <w:noWrap w:val="0"/>
            <w:vAlign w:val="center"/>
          </w:tcPr>
          <w:p w14:paraId="221CAD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190</w:t>
            </w:r>
          </w:p>
        </w:tc>
        <w:tc>
          <w:tcPr>
            <w:tcW w:w="0" w:type="auto"/>
            <w:noWrap w:val="0"/>
            <w:vAlign w:val="center"/>
          </w:tcPr>
          <w:p w14:paraId="43BF882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49400</w:t>
            </w:r>
          </w:p>
        </w:tc>
      </w:tr>
      <w:tr w14:paraId="432F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699A2F2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0" w:type="auto"/>
            <w:noWrap w:val="0"/>
            <w:vAlign w:val="center"/>
          </w:tcPr>
          <w:p w14:paraId="52751906">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30%功夫.噻虫嗪</w:t>
            </w:r>
          </w:p>
        </w:tc>
        <w:tc>
          <w:tcPr>
            <w:tcW w:w="0" w:type="auto"/>
            <w:noWrap w:val="0"/>
            <w:vAlign w:val="center"/>
          </w:tcPr>
          <w:p w14:paraId="6AD01524">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500g</w:t>
            </w:r>
          </w:p>
        </w:tc>
        <w:tc>
          <w:tcPr>
            <w:tcW w:w="0" w:type="auto"/>
            <w:noWrap w:val="0"/>
            <w:vAlign w:val="center"/>
          </w:tcPr>
          <w:p w14:paraId="184DDC39">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312</w:t>
            </w:r>
          </w:p>
        </w:tc>
        <w:tc>
          <w:tcPr>
            <w:tcW w:w="0" w:type="auto"/>
            <w:noWrap w:val="0"/>
            <w:vAlign w:val="center"/>
          </w:tcPr>
          <w:p w14:paraId="1442339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85</w:t>
            </w:r>
          </w:p>
        </w:tc>
        <w:tc>
          <w:tcPr>
            <w:tcW w:w="0" w:type="auto"/>
            <w:noWrap w:val="0"/>
            <w:vAlign w:val="center"/>
          </w:tcPr>
          <w:p w14:paraId="0274E21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26520</w:t>
            </w:r>
          </w:p>
        </w:tc>
      </w:tr>
      <w:tr w14:paraId="3C04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5A1DCE7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0" w:type="auto"/>
            <w:noWrap w:val="0"/>
            <w:vAlign w:val="center"/>
          </w:tcPr>
          <w:p w14:paraId="4C5EB2C0">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芸苔素内酯水剂</w:t>
            </w:r>
          </w:p>
        </w:tc>
        <w:tc>
          <w:tcPr>
            <w:tcW w:w="0" w:type="auto"/>
            <w:noWrap w:val="0"/>
            <w:vAlign w:val="center"/>
          </w:tcPr>
          <w:p w14:paraId="13061FD2">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500g</w:t>
            </w:r>
          </w:p>
        </w:tc>
        <w:tc>
          <w:tcPr>
            <w:tcW w:w="0" w:type="auto"/>
            <w:noWrap w:val="0"/>
            <w:vAlign w:val="center"/>
          </w:tcPr>
          <w:p w14:paraId="6D3A93C1">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348</w:t>
            </w:r>
          </w:p>
        </w:tc>
        <w:tc>
          <w:tcPr>
            <w:tcW w:w="0" w:type="auto"/>
            <w:noWrap w:val="0"/>
            <w:vAlign w:val="center"/>
          </w:tcPr>
          <w:p w14:paraId="23E89F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95</w:t>
            </w:r>
          </w:p>
        </w:tc>
        <w:tc>
          <w:tcPr>
            <w:tcW w:w="0" w:type="auto"/>
            <w:noWrap w:val="0"/>
            <w:vAlign w:val="center"/>
          </w:tcPr>
          <w:p w14:paraId="7F57D20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33060</w:t>
            </w:r>
          </w:p>
        </w:tc>
      </w:tr>
      <w:tr w14:paraId="4A48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1977D64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0" w:type="auto"/>
            <w:noWrap w:val="0"/>
            <w:vAlign w:val="center"/>
          </w:tcPr>
          <w:p w14:paraId="12B101BB">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5%阿维菌素</w:t>
            </w:r>
          </w:p>
        </w:tc>
        <w:tc>
          <w:tcPr>
            <w:tcW w:w="0" w:type="auto"/>
            <w:noWrap w:val="0"/>
            <w:vAlign w:val="center"/>
          </w:tcPr>
          <w:p w14:paraId="4DC87CCA">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300g</w:t>
            </w:r>
          </w:p>
        </w:tc>
        <w:tc>
          <w:tcPr>
            <w:tcW w:w="0" w:type="auto"/>
            <w:noWrap w:val="0"/>
            <w:vAlign w:val="center"/>
          </w:tcPr>
          <w:p w14:paraId="33572055">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867</w:t>
            </w:r>
          </w:p>
        </w:tc>
        <w:tc>
          <w:tcPr>
            <w:tcW w:w="0" w:type="auto"/>
            <w:noWrap w:val="0"/>
            <w:vAlign w:val="center"/>
          </w:tcPr>
          <w:p w14:paraId="752C3D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w:t>
            </w:r>
          </w:p>
        </w:tc>
        <w:tc>
          <w:tcPr>
            <w:tcW w:w="0" w:type="auto"/>
            <w:noWrap w:val="0"/>
            <w:vAlign w:val="center"/>
          </w:tcPr>
          <w:p w14:paraId="6D999E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21675</w:t>
            </w:r>
          </w:p>
        </w:tc>
      </w:tr>
      <w:tr w14:paraId="6852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0" w:type="auto"/>
            <w:noWrap w:val="0"/>
            <w:vAlign w:val="center"/>
          </w:tcPr>
          <w:p w14:paraId="7EFCB56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0" w:type="auto"/>
            <w:noWrap w:val="0"/>
            <w:vAlign w:val="center"/>
          </w:tcPr>
          <w:p w14:paraId="15928026">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400克/L大量元素水溶肥高磷高钾型</w:t>
            </w:r>
          </w:p>
        </w:tc>
        <w:tc>
          <w:tcPr>
            <w:tcW w:w="0" w:type="auto"/>
            <w:noWrap w:val="0"/>
            <w:vAlign w:val="center"/>
          </w:tcPr>
          <w:p w14:paraId="1D829CBD">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1000ml</w:t>
            </w:r>
          </w:p>
        </w:tc>
        <w:tc>
          <w:tcPr>
            <w:tcW w:w="0" w:type="auto"/>
            <w:noWrap w:val="0"/>
            <w:vAlign w:val="center"/>
          </w:tcPr>
          <w:p w14:paraId="4445BB0A">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348</w:t>
            </w:r>
          </w:p>
        </w:tc>
        <w:tc>
          <w:tcPr>
            <w:tcW w:w="0" w:type="auto"/>
            <w:noWrap w:val="0"/>
            <w:vAlign w:val="center"/>
          </w:tcPr>
          <w:p w14:paraId="7709F33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75</w:t>
            </w:r>
          </w:p>
        </w:tc>
        <w:tc>
          <w:tcPr>
            <w:tcW w:w="0" w:type="auto"/>
            <w:noWrap w:val="0"/>
            <w:vAlign w:val="center"/>
          </w:tcPr>
          <w:p w14:paraId="79057A4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26100</w:t>
            </w:r>
          </w:p>
        </w:tc>
      </w:tr>
      <w:tr w14:paraId="0BCD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1EFDCD4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0" w:type="auto"/>
            <w:noWrap w:val="0"/>
            <w:vAlign w:val="center"/>
          </w:tcPr>
          <w:p w14:paraId="49E14AB6">
            <w:pPr>
              <w:keepNext w:val="0"/>
              <w:keepLines w:val="0"/>
              <w:widowControl/>
              <w:suppressLineNumbers w:val="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药肥/0.35%苄.丁</w:t>
            </w:r>
          </w:p>
        </w:tc>
        <w:tc>
          <w:tcPr>
            <w:tcW w:w="0" w:type="auto"/>
            <w:noWrap w:val="0"/>
            <w:vAlign w:val="center"/>
          </w:tcPr>
          <w:p w14:paraId="1418AB74">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10kg</w:t>
            </w:r>
          </w:p>
        </w:tc>
        <w:tc>
          <w:tcPr>
            <w:tcW w:w="0" w:type="auto"/>
            <w:noWrap w:val="0"/>
            <w:vAlign w:val="center"/>
          </w:tcPr>
          <w:p w14:paraId="715607E1">
            <w:pPr>
              <w:keepNext w:val="0"/>
              <w:keepLines w:val="0"/>
              <w:widowControl/>
              <w:suppressLineNumbers w:val="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2600</w:t>
            </w:r>
          </w:p>
        </w:tc>
        <w:tc>
          <w:tcPr>
            <w:tcW w:w="0" w:type="auto"/>
            <w:noWrap w:val="0"/>
            <w:vAlign w:val="center"/>
          </w:tcPr>
          <w:p w14:paraId="02920A2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0" w:type="auto"/>
            <w:noWrap w:val="0"/>
            <w:vAlign w:val="center"/>
          </w:tcPr>
          <w:p w14:paraId="777CCC4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78000</w:t>
            </w:r>
          </w:p>
        </w:tc>
      </w:tr>
      <w:tr w14:paraId="53A5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gridSpan w:val="2"/>
            <w:noWrap w:val="0"/>
            <w:vAlign w:val="center"/>
          </w:tcPr>
          <w:p w14:paraId="303F3DE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合计</w:t>
            </w:r>
          </w:p>
        </w:tc>
        <w:tc>
          <w:tcPr>
            <w:tcW w:w="0" w:type="auto"/>
            <w:gridSpan w:val="4"/>
            <w:noWrap w:val="0"/>
            <w:vAlign w:val="center"/>
          </w:tcPr>
          <w:p w14:paraId="2A6F66B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487669元</w:t>
            </w:r>
          </w:p>
        </w:tc>
      </w:tr>
    </w:tbl>
    <w:p w14:paraId="261160DA">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p w14:paraId="7819D53D">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p>
    <w:p w14:paraId="7A02B44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w:t>
      </w:r>
    </w:p>
    <w:p w14:paraId="48F58BD6">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4.质量保证：</w:t>
      </w:r>
      <w:r>
        <w:rPr>
          <w:rFonts w:hint="eastAsia" w:asciiTheme="minorEastAsia" w:hAnsiTheme="minorEastAsia" w:eastAsiaTheme="minorEastAsia" w:cstheme="minorEastAsia"/>
          <w:color w:val="auto"/>
          <w:kern w:val="2"/>
          <w:sz w:val="24"/>
          <w:szCs w:val="24"/>
          <w:highlight w:val="none"/>
          <w:u w:val="none"/>
          <w:lang w:val="en-US" w:eastAsia="zh-CN"/>
        </w:rPr>
        <w:t>本次供应的农药质量应符合现行国家标准、行业标准或企业标准（如有）。</w:t>
      </w:r>
    </w:p>
    <w:p w14:paraId="7F9C6165">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cs="宋体"/>
          <w:b/>
          <w:bCs/>
          <w:color w:val="auto"/>
          <w:kern w:val="0"/>
          <w:sz w:val="24"/>
          <w:szCs w:val="24"/>
          <w:shd w:val="clear" w:fill="FFFFFF"/>
          <w:lang w:val="en-US" w:eastAsia="zh-CN" w:bidi="ar-SA"/>
        </w:rPr>
        <w:t>5.验收：</w:t>
      </w:r>
    </w:p>
    <w:p w14:paraId="720B8432">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（1）供货时应提供相应的资料查验，如农药登记证、生产许可证或生产批准文件及产品标准号；</w:t>
      </w:r>
    </w:p>
    <w:p w14:paraId="0B5242E5">
      <w:pPr>
        <w:pStyle w:val="2"/>
        <w:keepNext w:val="0"/>
        <w:keepLines w:val="0"/>
        <w:widowControl/>
        <w:suppressLineNumbers w:val="0"/>
        <w:spacing w:before="75" w:beforeAutospacing="0" w:after="75" w:afterAutospacing="0" w:line="360" w:lineRule="auto"/>
        <w:ind w:right="0" w:firstLine="480"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000ECE6D">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6.付款方式：</w:t>
      </w:r>
      <w:r>
        <w:rPr>
          <w:rFonts w:hint="eastAsia" w:cs="宋体"/>
          <w:b w:val="0"/>
          <w:bCs w:val="0"/>
          <w:color w:val="auto"/>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7</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龙岩市禾丰农资有限公司、龙岩市诺丰农业发展有限公司、龙岩市邦侬农业发展有限公司</w:t>
      </w:r>
      <w:r>
        <w:rPr>
          <w:rFonts w:hint="eastAsia" w:asciiTheme="minorEastAsia" w:hAnsiTheme="minorEastAsia" w:eastAsiaTheme="minorEastAsia" w:cstheme="minorEastAsia"/>
          <w:b/>
          <w:bCs/>
          <w:color w:val="auto"/>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7000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2025年6月9日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2025年6月4日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bookmarkStart w:id="0" w:name="_GoBack"/>
      <w:bookmarkEnd w:id="0"/>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2025年6月10日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福建省莲景园林绿化有限公司水稻病虫防治药剂采购项目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LCCQJJ20250</w:t>
      </w:r>
      <w:r>
        <w:rPr>
          <w:rFonts w:hint="eastAsia" w:asciiTheme="minorEastAsia" w:hAnsiTheme="minorEastAsia" w:eastAsiaTheme="minorEastAsia" w:cstheme="minorEastAsia"/>
          <w:color w:val="auto"/>
          <w:sz w:val="24"/>
          <w:szCs w:val="24"/>
          <w:highlight w:val="none"/>
          <w:u w:val="single"/>
          <w:lang w:val="en-US" w:eastAsia="zh-CN"/>
        </w:rPr>
        <w:t>610</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51770AC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1FD1632"/>
    <w:rsid w:val="0AB80DB3"/>
    <w:rsid w:val="1F2A008D"/>
    <w:rsid w:val="32BA404E"/>
    <w:rsid w:val="63400ABB"/>
    <w:rsid w:val="66596705"/>
    <w:rsid w:val="6CF87AD2"/>
    <w:rsid w:val="6FBB4826"/>
    <w:rsid w:val="722F2426"/>
    <w:rsid w:val="73734595"/>
    <w:rsid w:val="750C3976"/>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qFormat/>
    <w:uiPriority w:val="0"/>
    <w:rPr>
      <w:rFonts w:hint="default" w:ascii="仿宋_GB2312" w:eastAsia="仿宋_GB2312" w:cs="仿宋_GB2312"/>
      <w:color w:val="000000"/>
      <w:sz w:val="28"/>
      <w:szCs w:val="28"/>
      <w:u w:val="none"/>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3548</Words>
  <Characters>3833</Characters>
  <Lines>0</Lines>
  <Paragraphs>0</Paragraphs>
  <TotalTime>13</TotalTime>
  <ScaleCrop>false</ScaleCrop>
  <LinksUpToDate>false</LinksUpToDate>
  <CharactersWithSpaces>3916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cp:lastPrinted>2025-06-04T08:03:58Z</cp:lastPrinted>
  <dcterms:modified xsi:type="dcterms:W3CDTF">2025-06-04T08:04:00Z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