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9C9AE1">
      <w:pPr>
        <w:widowControl/>
        <w:spacing w:line="520" w:lineRule="exact"/>
        <w:ind w:firstLine="482" w:firstLineChars="200"/>
        <w:jc w:val="center"/>
        <w:rPr>
          <w:rFonts w:ascii="宋体" w:hAnsi="宋体" w:eastAsia="宋体" w:cs="宋体"/>
          <w:b/>
          <w:bCs/>
          <w:sz w:val="24"/>
          <w:szCs w:val="24"/>
        </w:rPr>
      </w:pPr>
      <w:r>
        <w:rPr>
          <w:rFonts w:hint="eastAsia" w:ascii="宋体" w:hAnsi="宋体" w:eastAsia="宋体" w:cs="宋体"/>
          <w:b/>
          <w:bCs/>
          <w:sz w:val="24"/>
          <w:szCs w:val="24"/>
        </w:rPr>
        <w:t>网络竞价须知</w:t>
      </w:r>
    </w:p>
    <w:p w14:paraId="3EA6C032">
      <w:pPr>
        <w:widowControl/>
        <w:spacing w:line="520" w:lineRule="exact"/>
        <w:ind w:firstLine="480" w:firstLineChars="200"/>
        <w:jc w:val="center"/>
        <w:rPr>
          <w:rFonts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color w:val="0000FF"/>
          <w:sz w:val="24"/>
          <w:szCs w:val="24"/>
          <w:lang w:eastAsia="zh-CN"/>
        </w:rPr>
        <w:t>LCCQJJ20250422</w:t>
      </w:r>
      <w:r>
        <w:rPr>
          <w:rFonts w:hint="eastAsia" w:ascii="宋体" w:hAnsi="宋体" w:eastAsia="宋体" w:cs="宋体"/>
          <w:sz w:val="24"/>
          <w:szCs w:val="24"/>
        </w:rPr>
        <w:t>）</w:t>
      </w:r>
    </w:p>
    <w:p w14:paraId="56DA311D">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连城县国有资产产权交易服务有限公司（以下简称本公司）遵循“</w:t>
      </w:r>
      <w:bookmarkStart w:id="0" w:name="_GoBack"/>
      <w:bookmarkEnd w:id="0"/>
      <w:r>
        <w:rPr>
          <w:rFonts w:hint="eastAsia" w:ascii="宋体" w:hAnsi="宋体" w:eastAsia="宋体" w:cs="宋体"/>
          <w:sz w:val="24"/>
          <w:szCs w:val="24"/>
        </w:rPr>
        <w:t>公开、公平、公正、诚实信用”的原则，依照国家法律、法规、政策为本次竞价活动提供服务。现将有关竞价事项告知如下：</w:t>
      </w:r>
    </w:p>
    <w:p w14:paraId="0FC4A29F">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一、竞价、报名时间、地点</w:t>
      </w:r>
    </w:p>
    <w:p w14:paraId="25E904FF">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竞价时间：2025年</w:t>
      </w:r>
      <w:r>
        <w:rPr>
          <w:rFonts w:hint="eastAsia" w:ascii="宋体" w:hAnsi="宋体" w:eastAsia="宋体" w:cs="宋体"/>
          <w:color w:val="0000FF"/>
          <w:sz w:val="24"/>
          <w:szCs w:val="24"/>
          <w:lang w:val="en-US" w:eastAsia="zh-CN"/>
        </w:rPr>
        <w:t>4月22日</w:t>
      </w:r>
      <w:r>
        <w:rPr>
          <w:rFonts w:hint="eastAsia" w:ascii="宋体" w:hAnsi="宋体" w:eastAsia="宋体" w:cs="宋体"/>
          <w:sz w:val="24"/>
          <w:szCs w:val="24"/>
        </w:rPr>
        <w:t>9:30开始至9:50止（20分钟）。</w:t>
      </w:r>
    </w:p>
    <w:p w14:paraId="4F01C37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竞价地点：权益云交易平台或微信公众号“权益云交易平台”</w:t>
      </w:r>
    </w:p>
    <w:p w14:paraId="335768A9">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报名时间：2025年</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16</w:t>
      </w:r>
      <w:r>
        <w:rPr>
          <w:rFonts w:hint="eastAsia" w:ascii="宋体" w:hAnsi="宋体" w:eastAsia="宋体" w:cs="宋体"/>
          <w:color w:val="0000FF"/>
          <w:sz w:val="24"/>
          <w:szCs w:val="24"/>
        </w:rPr>
        <w:t>日</w:t>
      </w:r>
      <w:r>
        <w:rPr>
          <w:rFonts w:hint="eastAsia" w:ascii="宋体" w:hAnsi="宋体" w:eastAsia="宋体" w:cs="宋体"/>
          <w:sz w:val="24"/>
          <w:szCs w:val="24"/>
        </w:rPr>
        <w:t>至2025年</w:t>
      </w:r>
      <w:r>
        <w:rPr>
          <w:rFonts w:hint="eastAsia" w:ascii="宋体" w:hAnsi="宋体" w:eastAsia="宋体" w:cs="宋体"/>
          <w:color w:val="0000FF"/>
          <w:sz w:val="24"/>
          <w:szCs w:val="24"/>
          <w:lang w:val="en-US" w:eastAsia="zh-CN"/>
        </w:rPr>
        <w:t>4月21日</w:t>
      </w:r>
      <w:r>
        <w:rPr>
          <w:rFonts w:hint="eastAsia" w:ascii="宋体" w:hAnsi="宋体" w:eastAsia="宋体" w:cs="宋体"/>
          <w:color w:val="0000FF"/>
          <w:sz w:val="24"/>
          <w:szCs w:val="24"/>
        </w:rPr>
        <w:t>17时</w:t>
      </w:r>
      <w:r>
        <w:rPr>
          <w:rFonts w:hint="eastAsia" w:ascii="宋体" w:hAnsi="宋体" w:eastAsia="宋体" w:cs="宋体"/>
          <w:sz w:val="24"/>
          <w:szCs w:val="24"/>
        </w:rPr>
        <w:t>(节假日除外)</w:t>
      </w:r>
    </w:p>
    <w:p w14:paraId="068C7BE7">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报名地点：福建省龙岩市连城县莲峰镇李彭村彭坊桥路1号4层</w:t>
      </w:r>
    </w:p>
    <w:p w14:paraId="30898BAF">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联系电话：18039848961</w:t>
      </w:r>
    </w:p>
    <w:p w14:paraId="40F73368">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二、项目概况及合同要求</w:t>
      </w:r>
    </w:p>
    <w:p w14:paraId="009365D2">
      <w:pPr>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color w:val="0000FF"/>
          <w:sz w:val="24"/>
          <w:szCs w:val="24"/>
        </w:rPr>
        <w:t>连城县普惠金融协会连城智慧法院建设服务项目</w:t>
      </w:r>
      <w:r>
        <w:rPr>
          <w:rFonts w:hint="eastAsia" w:ascii="宋体" w:hAnsi="宋体" w:eastAsia="宋体" w:cs="宋体"/>
          <w:sz w:val="24"/>
          <w:szCs w:val="24"/>
        </w:rPr>
        <w:t>。</w:t>
      </w:r>
    </w:p>
    <w:p w14:paraId="77D343F2">
      <w:pPr>
        <w:widowControl w:val="0"/>
        <w:overflowPunct w:val="0"/>
        <w:autoSpaceDE w:val="0"/>
        <w:autoSpaceDN w:val="0"/>
        <w:adjustRightInd w:val="0"/>
        <w:spacing w:line="360" w:lineRule="auto"/>
        <w:ind w:firstLine="482" w:firstLineChars="200"/>
        <w:jc w:val="both"/>
        <w:textAlignment w:val="baseline"/>
        <w:rPr>
          <w:rFonts w:ascii="宋体" w:hAnsi="宋体" w:eastAsia="宋体" w:cs="宋体"/>
          <w:b/>
          <w:bCs/>
          <w:kern w:val="28"/>
          <w:sz w:val="24"/>
          <w:szCs w:val="24"/>
          <w:lang w:val="en-US" w:eastAsia="zh-CN" w:bidi="ar-SA"/>
        </w:rPr>
      </w:pPr>
      <w:r>
        <w:rPr>
          <w:rFonts w:hint="eastAsia" w:ascii="宋体" w:hAnsi="宋体" w:eastAsia="宋体" w:cs="宋体"/>
          <w:b/>
          <w:bCs/>
          <w:kern w:val="28"/>
          <w:sz w:val="24"/>
          <w:szCs w:val="24"/>
          <w:lang w:val="en-US" w:eastAsia="zh-CN" w:bidi="ar-SA"/>
        </w:rPr>
        <w:t>2.供货清单要求如下：</w:t>
      </w:r>
    </w:p>
    <w:tbl>
      <w:tblPr>
        <w:tblStyle w:val="2"/>
        <w:tblW w:w="0" w:type="auto"/>
        <w:tblInd w:w="93" w:type="dxa"/>
        <w:tblLayout w:type="autofit"/>
        <w:tblCellMar>
          <w:top w:w="0" w:type="dxa"/>
          <w:left w:w="108" w:type="dxa"/>
          <w:bottom w:w="0" w:type="dxa"/>
          <w:right w:w="108" w:type="dxa"/>
        </w:tblCellMar>
      </w:tblPr>
      <w:tblGrid>
        <w:gridCol w:w="698"/>
        <w:gridCol w:w="572"/>
        <w:gridCol w:w="605"/>
        <w:gridCol w:w="474"/>
        <w:gridCol w:w="2199"/>
        <w:gridCol w:w="698"/>
        <w:gridCol w:w="698"/>
        <w:gridCol w:w="1180"/>
        <w:gridCol w:w="1305"/>
      </w:tblGrid>
      <w:tr w14:paraId="3C7143C9">
        <w:tblPrEx>
          <w:tblCellMar>
            <w:top w:w="0" w:type="dxa"/>
            <w:left w:w="108" w:type="dxa"/>
            <w:bottom w:w="0" w:type="dxa"/>
            <w:right w:w="108" w:type="dxa"/>
          </w:tblCellMar>
        </w:tblPrEx>
        <w:trPr>
          <w:trHeight w:val="56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B67E72C">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4B92E611">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产品名称</w:t>
            </w:r>
          </w:p>
        </w:tc>
        <w:tc>
          <w:tcPr>
            <w:tcW w:w="0" w:type="auto"/>
            <w:tcBorders>
              <w:top w:val="single" w:color="auto" w:sz="4" w:space="0"/>
              <w:left w:val="nil"/>
              <w:bottom w:val="single" w:color="auto" w:sz="4" w:space="0"/>
              <w:right w:val="single" w:color="auto" w:sz="4" w:space="0"/>
            </w:tcBorders>
            <w:shd w:val="clear" w:color="auto" w:fill="auto"/>
            <w:vAlign w:val="center"/>
          </w:tcPr>
          <w:p w14:paraId="2A5E2E19">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规格明细</w:t>
            </w:r>
          </w:p>
        </w:tc>
        <w:tc>
          <w:tcPr>
            <w:tcW w:w="0" w:type="auto"/>
            <w:tcBorders>
              <w:top w:val="single" w:color="auto" w:sz="4" w:space="0"/>
              <w:left w:val="nil"/>
              <w:bottom w:val="single" w:color="auto" w:sz="4" w:space="0"/>
              <w:right w:val="single" w:color="auto" w:sz="4" w:space="0"/>
            </w:tcBorders>
            <w:shd w:val="clear" w:color="auto" w:fill="auto"/>
            <w:vAlign w:val="center"/>
          </w:tcPr>
          <w:p w14:paraId="4BCB43C8">
            <w:pPr>
              <w:widowControl/>
              <w:jc w:val="center"/>
              <w:rPr>
                <w:rFonts w:hint="default"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val="en-US" w:eastAsia="zh-CN"/>
              </w:rPr>
              <w:t>参数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D729B76">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产品内容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E0A72E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6E344D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66DCC7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单价限价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0F69B57">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含税总价</w:t>
            </w:r>
          </w:p>
        </w:tc>
      </w:tr>
      <w:tr w14:paraId="29A2723B">
        <w:tblPrEx>
          <w:tblCellMar>
            <w:top w:w="0" w:type="dxa"/>
            <w:left w:w="108" w:type="dxa"/>
            <w:bottom w:w="0" w:type="dxa"/>
            <w:right w:w="108" w:type="dxa"/>
          </w:tblCellMar>
        </w:tblPrEx>
        <w:trPr>
          <w:trHeight w:val="876"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8F0D81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B0266F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网络综合维保服务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4784059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网络机房线路整治服务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6D49D121">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6B676160">
            <w:pPr>
              <w:widowControl/>
              <w:jc w:val="left"/>
              <w:rPr>
                <w:rFonts w:ascii="宋体" w:hAnsi="宋体" w:eastAsia="宋体" w:cs="宋体"/>
                <w:kern w:val="0"/>
                <w:sz w:val="24"/>
                <w:szCs w:val="24"/>
              </w:rPr>
            </w:pPr>
            <w:r>
              <w:rPr>
                <w:rFonts w:hint="eastAsia" w:ascii="宋体" w:hAnsi="宋体" w:eastAsia="宋体" w:cs="宋体"/>
                <w:kern w:val="0"/>
                <w:sz w:val="24"/>
                <w:szCs w:val="24"/>
              </w:rPr>
              <w:t>进行办公场所线路整治，排查线路是否存在安全隐患，对杂乱线路进行分类、梳理、做好标签化管理，对网络监控、故障排查、安全管理等方面的优化</w:t>
            </w:r>
          </w:p>
        </w:tc>
        <w:tc>
          <w:tcPr>
            <w:tcW w:w="0" w:type="auto"/>
            <w:tcBorders>
              <w:top w:val="single" w:color="auto" w:sz="4" w:space="0"/>
              <w:left w:val="nil"/>
              <w:bottom w:val="single" w:color="auto" w:sz="4" w:space="0"/>
              <w:right w:val="single" w:color="auto" w:sz="4" w:space="0"/>
            </w:tcBorders>
            <w:shd w:val="clear" w:color="auto" w:fill="auto"/>
            <w:vAlign w:val="center"/>
          </w:tcPr>
          <w:p w14:paraId="0D8F2FF5">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5FAD9148">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27F4B106">
            <w:pPr>
              <w:widowControl/>
              <w:jc w:val="center"/>
              <w:rPr>
                <w:rFonts w:ascii="宋体" w:hAnsi="宋体" w:eastAsia="宋体" w:cs="宋体"/>
                <w:kern w:val="0"/>
                <w:sz w:val="24"/>
                <w:szCs w:val="24"/>
              </w:rPr>
            </w:pPr>
            <w:r>
              <w:rPr>
                <w:rFonts w:hint="eastAsia" w:ascii="宋体" w:hAnsi="宋体" w:eastAsia="宋体" w:cs="宋体"/>
                <w:kern w:val="0"/>
                <w:sz w:val="24"/>
                <w:szCs w:val="24"/>
              </w:rPr>
              <w:t>16000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2F2BF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16000.00 </w:t>
            </w:r>
          </w:p>
        </w:tc>
      </w:tr>
      <w:tr w14:paraId="259B2AA6">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676A6C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2B816A3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机房环境改造服务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7F62F7B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安全防护系统综合服务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9333665">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7143272C">
            <w:pPr>
              <w:widowControl/>
              <w:jc w:val="left"/>
              <w:rPr>
                <w:rFonts w:ascii="宋体" w:hAnsi="宋体" w:eastAsia="宋体" w:cs="宋体"/>
                <w:color w:val="000000"/>
                <w:kern w:val="0"/>
                <w:sz w:val="24"/>
                <w:szCs w:val="24"/>
              </w:rPr>
            </w:pPr>
            <w:r>
              <w:rPr>
                <w:rFonts w:ascii="Times New Roman" w:hAnsi="Times New Roman" w:eastAsia="宋体" w:cs="Times New Roman"/>
                <w:color w:val="000000"/>
                <w:kern w:val="0"/>
                <w:sz w:val="24"/>
                <w:szCs w:val="24"/>
              </w:rPr>
              <w:t>‌</w:t>
            </w:r>
            <w:r>
              <w:rPr>
                <w:rFonts w:hint="eastAsia" w:ascii="宋体" w:hAnsi="宋体" w:eastAsia="宋体" w:cs="宋体"/>
                <w:color w:val="000000"/>
                <w:kern w:val="0"/>
                <w:sz w:val="24"/>
                <w:szCs w:val="24"/>
              </w:rPr>
              <w:t>监测安全防护系统，包括视频监控、入侵检测、防火防盗等措施是否完善，确保机房设备和数据安全</w:t>
            </w:r>
          </w:p>
        </w:tc>
        <w:tc>
          <w:tcPr>
            <w:tcW w:w="0" w:type="auto"/>
            <w:tcBorders>
              <w:top w:val="single" w:color="auto" w:sz="4" w:space="0"/>
              <w:left w:val="nil"/>
              <w:bottom w:val="single" w:color="auto" w:sz="4" w:space="0"/>
              <w:right w:val="single" w:color="auto" w:sz="4" w:space="0"/>
            </w:tcBorders>
            <w:shd w:val="clear" w:color="auto" w:fill="auto"/>
            <w:vAlign w:val="center"/>
          </w:tcPr>
          <w:p w14:paraId="1433C9D7">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1CAC260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05DD94F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D0EAD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20000.00 </w:t>
            </w:r>
          </w:p>
        </w:tc>
      </w:tr>
      <w:tr w14:paraId="4968C8DC">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9B80E4C">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E6537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远程庭审服务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584A06C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视频通讯服务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05112B3B">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50FBB23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提供10路视频画面接入服务;支持审判长对庭审参与人进行禁言、禁听、移出操作</w:t>
            </w:r>
          </w:p>
        </w:tc>
        <w:tc>
          <w:tcPr>
            <w:tcW w:w="0" w:type="auto"/>
            <w:tcBorders>
              <w:top w:val="single" w:color="auto" w:sz="4" w:space="0"/>
              <w:left w:val="nil"/>
              <w:bottom w:val="single" w:color="auto" w:sz="4" w:space="0"/>
              <w:right w:val="single" w:color="auto" w:sz="4" w:space="0"/>
            </w:tcBorders>
            <w:shd w:val="clear" w:color="auto" w:fill="auto"/>
            <w:vAlign w:val="center"/>
          </w:tcPr>
          <w:p w14:paraId="5CD37969">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20A9BD3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7351CA37">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180965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11786BD8">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C52BF9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A4FD6F7">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01F35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证据上传服务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6EBFFA1C">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5821B2E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当事人通过小程序进行证据材料上传</w:t>
            </w:r>
          </w:p>
        </w:tc>
        <w:tc>
          <w:tcPr>
            <w:tcW w:w="0" w:type="auto"/>
            <w:tcBorders>
              <w:top w:val="single" w:color="auto" w:sz="4" w:space="0"/>
              <w:left w:val="nil"/>
              <w:bottom w:val="single" w:color="auto" w:sz="4" w:space="0"/>
              <w:right w:val="single" w:color="auto" w:sz="4" w:space="0"/>
            </w:tcBorders>
            <w:shd w:val="clear" w:color="auto" w:fill="auto"/>
            <w:vAlign w:val="center"/>
          </w:tcPr>
          <w:p w14:paraId="16BE21FC">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44D2079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2AF6781C">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F7B431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1A9F62E5">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5B073557">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07A5022">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CF3247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阅卷共享服务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91C9230">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5AA1747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法官通过智能终端查阅、共享证据材料</w:t>
            </w:r>
          </w:p>
        </w:tc>
        <w:tc>
          <w:tcPr>
            <w:tcW w:w="0" w:type="auto"/>
            <w:tcBorders>
              <w:top w:val="single" w:color="auto" w:sz="4" w:space="0"/>
              <w:left w:val="nil"/>
              <w:bottom w:val="single" w:color="auto" w:sz="4" w:space="0"/>
              <w:right w:val="single" w:color="auto" w:sz="4" w:space="0"/>
            </w:tcBorders>
            <w:shd w:val="clear" w:color="auto" w:fill="auto"/>
            <w:vAlign w:val="center"/>
          </w:tcPr>
          <w:p w14:paraId="514AE008">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75A264B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549EC230">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292F0F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441D33FE">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379B3C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ACB538">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0BFAF62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笔录签名服务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00AD1B23">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2DD4294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法官通过终端、当事人通过小程序对笔录核对后进行电子手写签名</w:t>
            </w:r>
          </w:p>
        </w:tc>
        <w:tc>
          <w:tcPr>
            <w:tcW w:w="0" w:type="auto"/>
            <w:tcBorders>
              <w:top w:val="single" w:color="auto" w:sz="4" w:space="0"/>
              <w:left w:val="nil"/>
              <w:bottom w:val="single" w:color="auto" w:sz="4" w:space="0"/>
              <w:right w:val="single" w:color="auto" w:sz="4" w:space="0"/>
            </w:tcBorders>
            <w:shd w:val="clear" w:color="auto" w:fill="auto"/>
            <w:vAlign w:val="center"/>
          </w:tcPr>
          <w:p w14:paraId="20431B12">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2A2664A0">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6F9D997E">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E3E3845">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699CB420">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0B4E5F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7C6BFD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庭审公开服务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73E0AF8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庭审公开服务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43B7280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02082F3D">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通过智能终端系统，控制直播信号发送至云平台</w:t>
            </w:r>
          </w:p>
        </w:tc>
        <w:tc>
          <w:tcPr>
            <w:tcW w:w="0" w:type="auto"/>
            <w:tcBorders>
              <w:top w:val="single" w:color="auto" w:sz="4" w:space="0"/>
              <w:left w:val="nil"/>
              <w:bottom w:val="single" w:color="auto" w:sz="4" w:space="0"/>
              <w:right w:val="single" w:color="auto" w:sz="4" w:space="0"/>
            </w:tcBorders>
            <w:shd w:val="clear" w:color="auto" w:fill="auto"/>
            <w:vAlign w:val="center"/>
          </w:tcPr>
          <w:p w14:paraId="28612B32">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762F75AF">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BAD4720">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F4413A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6EB415AB">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3D142D64">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204DC2D">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1776959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直播消音处理功能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73A3270D">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E22F02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根据庭审情况和当事人诉求，通过智能终端对庭审直播进行消音处理</w:t>
            </w:r>
          </w:p>
        </w:tc>
        <w:tc>
          <w:tcPr>
            <w:tcW w:w="0" w:type="auto"/>
            <w:tcBorders>
              <w:top w:val="single" w:color="auto" w:sz="4" w:space="0"/>
              <w:left w:val="nil"/>
              <w:bottom w:val="single" w:color="auto" w:sz="4" w:space="0"/>
              <w:right w:val="single" w:color="auto" w:sz="4" w:space="0"/>
            </w:tcBorders>
            <w:shd w:val="clear" w:color="auto" w:fill="auto"/>
            <w:vAlign w:val="center"/>
          </w:tcPr>
          <w:p w14:paraId="5C0503B2">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63676D2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0D5D8F8D">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F29E75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2BF6F2F2">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1408BFEA">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9</w:t>
            </w:r>
          </w:p>
        </w:tc>
        <w:tc>
          <w:tcPr>
            <w:tcW w:w="0" w:type="auto"/>
            <w:tcBorders>
              <w:top w:val="single" w:color="auto" w:sz="4" w:space="0"/>
              <w:left w:val="nil"/>
              <w:bottom w:val="single" w:color="auto" w:sz="4" w:space="0"/>
              <w:right w:val="single" w:color="auto" w:sz="4" w:space="0"/>
            </w:tcBorders>
            <w:shd w:val="clear" w:color="auto" w:fill="auto"/>
            <w:vAlign w:val="center"/>
          </w:tcPr>
          <w:p w14:paraId="03DDC25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庭审规范服务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3101632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庭审程序引导功能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19DCE9A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37D7855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针对不同案件的适用程序和实体区别，由法官选择或预设合规合理的开庭程序</w:t>
            </w:r>
          </w:p>
        </w:tc>
        <w:tc>
          <w:tcPr>
            <w:tcW w:w="0" w:type="auto"/>
            <w:tcBorders>
              <w:top w:val="single" w:color="auto" w:sz="4" w:space="0"/>
              <w:left w:val="nil"/>
              <w:bottom w:val="single" w:color="auto" w:sz="4" w:space="0"/>
              <w:right w:val="single" w:color="auto" w:sz="4" w:space="0"/>
            </w:tcBorders>
            <w:shd w:val="clear" w:color="auto" w:fill="auto"/>
            <w:vAlign w:val="center"/>
          </w:tcPr>
          <w:p w14:paraId="5355F63A">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57267C8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36A7CD0">
            <w:pPr>
              <w:widowControl/>
              <w:jc w:val="center"/>
              <w:rPr>
                <w:rFonts w:ascii="宋体" w:hAnsi="宋体" w:eastAsia="宋体" w:cs="宋体"/>
                <w:kern w:val="0"/>
                <w:sz w:val="24"/>
                <w:szCs w:val="24"/>
              </w:rPr>
            </w:pPr>
            <w:r>
              <w:rPr>
                <w:rFonts w:hint="eastAsia" w:ascii="宋体" w:hAnsi="宋体" w:eastAsia="宋体" w:cs="宋体"/>
                <w:kern w:val="0"/>
                <w:sz w:val="24"/>
                <w:szCs w:val="24"/>
              </w:rPr>
              <w:t>14000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82752D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14000.00 </w:t>
            </w:r>
          </w:p>
        </w:tc>
      </w:tr>
      <w:tr w14:paraId="79AFF86D">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4FCF63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552148">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庭审效率提升服务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3F74FCA3">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证据材料上传服务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413948C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07B80480">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扫描终端二维码进行起诉状、答辩状、证据等材料的上传</w:t>
            </w:r>
          </w:p>
        </w:tc>
        <w:tc>
          <w:tcPr>
            <w:tcW w:w="0" w:type="auto"/>
            <w:tcBorders>
              <w:top w:val="single" w:color="auto" w:sz="4" w:space="0"/>
              <w:left w:val="nil"/>
              <w:bottom w:val="single" w:color="auto" w:sz="4" w:space="0"/>
              <w:right w:val="single" w:color="auto" w:sz="4" w:space="0"/>
            </w:tcBorders>
            <w:shd w:val="clear" w:color="auto" w:fill="auto"/>
            <w:vAlign w:val="center"/>
          </w:tcPr>
          <w:p w14:paraId="5246EF59">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1526DDC3">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2D681251">
            <w:pPr>
              <w:widowControl/>
              <w:jc w:val="center"/>
              <w:rPr>
                <w:rFonts w:ascii="宋体" w:hAnsi="宋体" w:eastAsia="宋体" w:cs="宋体"/>
                <w:kern w:val="0"/>
                <w:sz w:val="24"/>
                <w:szCs w:val="24"/>
              </w:rPr>
            </w:pPr>
            <w:r>
              <w:rPr>
                <w:rFonts w:hint="eastAsia" w:ascii="宋体" w:hAnsi="宋体" w:eastAsia="宋体" w:cs="宋体"/>
                <w:kern w:val="0"/>
                <w:sz w:val="24"/>
                <w:szCs w:val="24"/>
              </w:rPr>
              <w:t>16000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FBE08F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16000.00 </w:t>
            </w:r>
          </w:p>
        </w:tc>
      </w:tr>
      <w:tr w14:paraId="4750ECC4">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7685792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11</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3435E48">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7960CE1">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电子卷宗查阅功能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46CF26C1">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6E4C5D6">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通过智能终端查阅或标注电子卷宗材料</w:t>
            </w:r>
          </w:p>
        </w:tc>
        <w:tc>
          <w:tcPr>
            <w:tcW w:w="0" w:type="auto"/>
            <w:tcBorders>
              <w:top w:val="single" w:color="auto" w:sz="4" w:space="0"/>
              <w:left w:val="nil"/>
              <w:bottom w:val="single" w:color="auto" w:sz="4" w:space="0"/>
              <w:right w:val="single" w:color="auto" w:sz="4" w:space="0"/>
            </w:tcBorders>
            <w:shd w:val="clear" w:color="auto" w:fill="auto"/>
            <w:vAlign w:val="center"/>
          </w:tcPr>
          <w:p w14:paraId="642F4AE1">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75E9E61C">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2ECCFB8">
            <w:pPr>
              <w:widowControl/>
              <w:jc w:val="center"/>
              <w:rPr>
                <w:rFonts w:ascii="宋体" w:hAnsi="宋体" w:eastAsia="宋体" w:cs="宋体"/>
                <w:kern w:val="0"/>
                <w:sz w:val="24"/>
                <w:szCs w:val="24"/>
              </w:rPr>
            </w:pPr>
            <w:r>
              <w:rPr>
                <w:rFonts w:hint="eastAsia" w:ascii="宋体" w:hAnsi="宋体" w:eastAsia="宋体" w:cs="宋体"/>
                <w:kern w:val="0"/>
                <w:sz w:val="24"/>
                <w:szCs w:val="24"/>
              </w:rPr>
              <w:t>19000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38B07E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19000.00 </w:t>
            </w:r>
          </w:p>
        </w:tc>
      </w:tr>
      <w:tr w14:paraId="0459E73A">
        <w:tblPrEx>
          <w:tblCellMar>
            <w:top w:w="0" w:type="dxa"/>
            <w:left w:w="108" w:type="dxa"/>
            <w:bottom w:w="0" w:type="dxa"/>
            <w:right w:w="108" w:type="dxa"/>
          </w:tblCellMar>
        </w:tblPrEx>
        <w:trPr>
          <w:trHeight w:val="66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4E4F691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12</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69571F8">
            <w:pPr>
              <w:widowControl/>
              <w:jc w:val="left"/>
              <w:rPr>
                <w:rFonts w:ascii="宋体" w:hAnsi="宋体" w:eastAsia="宋体" w:cs="宋体"/>
                <w:color w:val="000000"/>
                <w:kern w:val="0"/>
                <w:sz w:val="24"/>
                <w:szCs w:val="24"/>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49237A1D">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同步举证质证功能</w:t>
            </w:r>
          </w:p>
        </w:tc>
        <w:tc>
          <w:tcPr>
            <w:tcW w:w="0" w:type="auto"/>
            <w:tcBorders>
              <w:top w:val="single" w:color="auto" w:sz="4" w:space="0"/>
              <w:left w:val="nil"/>
              <w:bottom w:val="single" w:color="auto" w:sz="4" w:space="0"/>
              <w:right w:val="single" w:color="auto" w:sz="4" w:space="0"/>
            </w:tcBorders>
            <w:shd w:val="clear" w:color="auto" w:fill="auto"/>
            <w:vAlign w:val="center"/>
          </w:tcPr>
          <w:p w14:paraId="26A89A0A">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7D3DBAF">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庭前及庭内现场举证的证据可同步推送至智能终端，方便各方质证</w:t>
            </w:r>
          </w:p>
        </w:tc>
        <w:tc>
          <w:tcPr>
            <w:tcW w:w="0" w:type="auto"/>
            <w:tcBorders>
              <w:top w:val="single" w:color="auto" w:sz="4" w:space="0"/>
              <w:left w:val="nil"/>
              <w:bottom w:val="single" w:color="auto" w:sz="4" w:space="0"/>
              <w:right w:val="single" w:color="auto" w:sz="4" w:space="0"/>
            </w:tcBorders>
            <w:shd w:val="clear" w:color="auto" w:fill="auto"/>
            <w:vAlign w:val="center"/>
          </w:tcPr>
          <w:p w14:paraId="28A398A0">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6D003B3B">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45D6D541">
            <w:pPr>
              <w:widowControl/>
              <w:jc w:val="center"/>
              <w:rPr>
                <w:rFonts w:ascii="宋体" w:hAnsi="宋体" w:eastAsia="宋体" w:cs="宋体"/>
                <w:kern w:val="0"/>
                <w:sz w:val="24"/>
                <w:szCs w:val="24"/>
              </w:rPr>
            </w:pPr>
            <w:r>
              <w:rPr>
                <w:rFonts w:hint="eastAsia" w:ascii="宋体" w:hAnsi="宋体" w:eastAsia="宋体" w:cs="宋体"/>
                <w:kern w:val="0"/>
                <w:sz w:val="24"/>
                <w:szCs w:val="24"/>
              </w:rPr>
              <w:t>18000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5BBAFE0">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18000.00 </w:t>
            </w:r>
          </w:p>
        </w:tc>
      </w:tr>
      <w:tr w14:paraId="1A414B10">
        <w:tblPrEx>
          <w:tblCellMar>
            <w:top w:w="0" w:type="dxa"/>
            <w:left w:w="108" w:type="dxa"/>
            <w:bottom w:w="0" w:type="dxa"/>
            <w:right w:w="108" w:type="dxa"/>
          </w:tblCellMar>
        </w:tblPrEx>
        <w:trPr>
          <w:trHeight w:val="80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A8EFFE9">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13</w:t>
            </w:r>
          </w:p>
        </w:tc>
        <w:tc>
          <w:tcPr>
            <w:tcW w:w="0" w:type="auto"/>
            <w:tcBorders>
              <w:top w:val="single" w:color="auto" w:sz="4" w:space="0"/>
              <w:left w:val="nil"/>
              <w:bottom w:val="single" w:color="auto" w:sz="4" w:space="0"/>
              <w:right w:val="single" w:color="auto" w:sz="4" w:space="0"/>
            </w:tcBorders>
            <w:shd w:val="clear" w:color="auto" w:fill="auto"/>
            <w:vAlign w:val="center"/>
          </w:tcPr>
          <w:p w14:paraId="4712EC0C">
            <w:pPr>
              <w:widowControl/>
              <w:jc w:val="center"/>
              <w:rPr>
                <w:rFonts w:ascii="宋体" w:hAnsi="宋体" w:eastAsia="宋体" w:cs="宋体"/>
                <w:kern w:val="0"/>
                <w:sz w:val="24"/>
                <w:szCs w:val="24"/>
              </w:rPr>
            </w:pPr>
            <w:r>
              <w:rPr>
                <w:rFonts w:hint="eastAsia" w:ascii="宋体" w:hAnsi="宋体" w:eastAsia="宋体" w:cs="宋体"/>
                <w:kern w:val="0"/>
                <w:sz w:val="24"/>
                <w:szCs w:val="24"/>
              </w:rPr>
              <w:t>云平台服务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7A100B66">
            <w:pPr>
              <w:widowControl/>
              <w:jc w:val="center"/>
              <w:rPr>
                <w:rFonts w:ascii="宋体" w:hAnsi="宋体" w:eastAsia="宋体" w:cs="宋体"/>
                <w:kern w:val="0"/>
                <w:sz w:val="24"/>
                <w:szCs w:val="24"/>
              </w:rPr>
            </w:pPr>
            <w:r>
              <w:rPr>
                <w:rFonts w:hint="eastAsia" w:ascii="宋体" w:hAnsi="宋体" w:eastAsia="宋体" w:cs="宋体"/>
                <w:kern w:val="0"/>
                <w:sz w:val="24"/>
                <w:szCs w:val="24"/>
              </w:rPr>
              <w:t>云平台服务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2958873">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447D064C">
            <w:pPr>
              <w:widowControl/>
              <w:jc w:val="left"/>
              <w:rPr>
                <w:rFonts w:ascii="宋体" w:hAnsi="宋体" w:eastAsia="宋体" w:cs="宋体"/>
                <w:kern w:val="0"/>
                <w:sz w:val="24"/>
                <w:szCs w:val="24"/>
              </w:rPr>
            </w:pPr>
            <w:r>
              <w:rPr>
                <w:rFonts w:hint="eastAsia" w:ascii="宋体" w:hAnsi="宋体" w:eastAsia="宋体" w:cs="宋体"/>
                <w:kern w:val="0"/>
                <w:sz w:val="24"/>
                <w:szCs w:val="24"/>
              </w:rPr>
              <w:t>提供安全公有云云平台，用于存储云上法庭使用过程中产生的数据信息</w:t>
            </w:r>
          </w:p>
        </w:tc>
        <w:tc>
          <w:tcPr>
            <w:tcW w:w="0" w:type="auto"/>
            <w:tcBorders>
              <w:top w:val="single" w:color="auto" w:sz="4" w:space="0"/>
              <w:left w:val="nil"/>
              <w:bottom w:val="single" w:color="auto" w:sz="4" w:space="0"/>
              <w:right w:val="single" w:color="auto" w:sz="4" w:space="0"/>
            </w:tcBorders>
            <w:shd w:val="clear" w:color="auto" w:fill="auto"/>
            <w:vAlign w:val="center"/>
          </w:tcPr>
          <w:p w14:paraId="0CB3C2B5">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1554B14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6190D46C">
            <w:pPr>
              <w:widowControl/>
              <w:jc w:val="center"/>
              <w:rPr>
                <w:rFonts w:ascii="宋体" w:hAnsi="宋体" w:eastAsia="宋体" w:cs="宋体"/>
                <w:kern w:val="0"/>
                <w:sz w:val="24"/>
                <w:szCs w:val="24"/>
              </w:rPr>
            </w:pPr>
            <w:r>
              <w:rPr>
                <w:rFonts w:hint="eastAsia" w:ascii="宋体" w:hAnsi="宋体" w:eastAsia="宋体" w:cs="宋体"/>
                <w:kern w:val="0"/>
                <w:sz w:val="24"/>
                <w:szCs w:val="24"/>
              </w:rPr>
              <w:t>16500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1871E3E">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16500.00 </w:t>
            </w:r>
          </w:p>
        </w:tc>
      </w:tr>
      <w:tr w14:paraId="53459928">
        <w:tblPrEx>
          <w:tblCellMar>
            <w:top w:w="0" w:type="dxa"/>
            <w:left w:w="108" w:type="dxa"/>
            <w:bottom w:w="0" w:type="dxa"/>
            <w:right w:w="108" w:type="dxa"/>
          </w:tblCellMar>
        </w:tblPrEx>
        <w:trPr>
          <w:trHeight w:val="80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6B953A1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14</w:t>
            </w:r>
          </w:p>
        </w:tc>
        <w:tc>
          <w:tcPr>
            <w:tcW w:w="0" w:type="auto"/>
            <w:tcBorders>
              <w:top w:val="single" w:color="auto" w:sz="4" w:space="0"/>
              <w:left w:val="nil"/>
              <w:bottom w:val="single" w:color="auto" w:sz="4" w:space="0"/>
              <w:right w:val="single" w:color="auto" w:sz="4" w:space="0"/>
            </w:tcBorders>
            <w:shd w:val="clear" w:color="auto" w:fill="auto"/>
            <w:vAlign w:val="center"/>
          </w:tcPr>
          <w:p w14:paraId="4A4EE341">
            <w:pPr>
              <w:widowControl/>
              <w:jc w:val="center"/>
              <w:rPr>
                <w:rFonts w:ascii="宋体" w:hAnsi="宋体" w:eastAsia="宋体" w:cs="宋体"/>
                <w:kern w:val="0"/>
                <w:sz w:val="24"/>
                <w:szCs w:val="24"/>
              </w:rPr>
            </w:pPr>
            <w:r>
              <w:rPr>
                <w:rFonts w:hint="eastAsia" w:ascii="宋体" w:hAnsi="宋体" w:eastAsia="宋体" w:cs="宋体"/>
                <w:kern w:val="0"/>
                <w:sz w:val="24"/>
                <w:szCs w:val="24"/>
              </w:rPr>
              <w:t>能力资源提升服务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51E15DDF">
            <w:pPr>
              <w:widowControl/>
              <w:jc w:val="center"/>
              <w:rPr>
                <w:rFonts w:ascii="宋体" w:hAnsi="宋体" w:eastAsia="宋体" w:cs="宋体"/>
                <w:kern w:val="0"/>
                <w:sz w:val="24"/>
                <w:szCs w:val="24"/>
              </w:rPr>
            </w:pPr>
            <w:r>
              <w:rPr>
                <w:rFonts w:hint="eastAsia" w:ascii="宋体" w:hAnsi="宋体" w:eastAsia="宋体" w:cs="宋体"/>
                <w:kern w:val="0"/>
                <w:sz w:val="24"/>
                <w:szCs w:val="24"/>
              </w:rPr>
              <w:t>提供法信服务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231094E7">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76B8F1BE">
            <w:pPr>
              <w:widowControl/>
              <w:jc w:val="left"/>
              <w:rPr>
                <w:rFonts w:ascii="宋体" w:hAnsi="宋体" w:eastAsia="宋体" w:cs="宋体"/>
                <w:kern w:val="0"/>
                <w:sz w:val="24"/>
                <w:szCs w:val="24"/>
              </w:rPr>
            </w:pPr>
            <w:r>
              <w:rPr>
                <w:rFonts w:hint="eastAsia" w:ascii="宋体" w:hAnsi="宋体" w:eastAsia="宋体" w:cs="宋体"/>
                <w:kern w:val="0"/>
                <w:sz w:val="24"/>
                <w:szCs w:val="24"/>
              </w:rPr>
              <w:t>通过智能终端可对法信数据库进行信息检索</w:t>
            </w:r>
          </w:p>
        </w:tc>
        <w:tc>
          <w:tcPr>
            <w:tcW w:w="0" w:type="auto"/>
            <w:tcBorders>
              <w:top w:val="single" w:color="auto" w:sz="4" w:space="0"/>
              <w:left w:val="nil"/>
              <w:bottom w:val="single" w:color="auto" w:sz="4" w:space="0"/>
              <w:right w:val="single" w:color="auto" w:sz="4" w:space="0"/>
            </w:tcBorders>
            <w:shd w:val="clear" w:color="auto" w:fill="auto"/>
            <w:vAlign w:val="center"/>
          </w:tcPr>
          <w:p w14:paraId="6D035E16">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3AEE2B3D">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87FE3FE">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3977FDB">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6E341722">
        <w:tblPrEx>
          <w:tblCellMar>
            <w:top w:w="0" w:type="dxa"/>
            <w:left w:w="108" w:type="dxa"/>
            <w:bottom w:w="0" w:type="dxa"/>
            <w:right w:w="108" w:type="dxa"/>
          </w:tblCellMar>
        </w:tblPrEx>
        <w:trPr>
          <w:trHeight w:val="804"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14:paraId="21D2516F">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15</w:t>
            </w:r>
          </w:p>
        </w:tc>
        <w:tc>
          <w:tcPr>
            <w:tcW w:w="0" w:type="auto"/>
            <w:tcBorders>
              <w:top w:val="single" w:color="auto" w:sz="4" w:space="0"/>
              <w:left w:val="nil"/>
              <w:bottom w:val="single" w:color="auto" w:sz="4" w:space="0"/>
              <w:right w:val="single" w:color="auto" w:sz="4" w:space="0"/>
            </w:tcBorders>
            <w:shd w:val="clear" w:color="auto" w:fill="auto"/>
            <w:vAlign w:val="center"/>
          </w:tcPr>
          <w:p w14:paraId="6079848D">
            <w:pPr>
              <w:widowControl/>
              <w:jc w:val="center"/>
              <w:rPr>
                <w:rFonts w:ascii="宋体" w:hAnsi="宋体" w:eastAsia="宋体" w:cs="宋体"/>
                <w:kern w:val="0"/>
                <w:sz w:val="24"/>
                <w:szCs w:val="24"/>
              </w:rPr>
            </w:pPr>
            <w:r>
              <w:rPr>
                <w:rFonts w:hint="eastAsia" w:ascii="宋体" w:hAnsi="宋体" w:eastAsia="宋体" w:cs="宋体"/>
                <w:kern w:val="0"/>
                <w:sz w:val="24"/>
                <w:szCs w:val="24"/>
              </w:rPr>
              <w:t>深度应用服务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1CEBB021">
            <w:pPr>
              <w:widowControl/>
              <w:jc w:val="center"/>
              <w:rPr>
                <w:rFonts w:ascii="宋体" w:hAnsi="宋体" w:eastAsia="宋体" w:cs="宋体"/>
                <w:kern w:val="0"/>
                <w:sz w:val="24"/>
                <w:szCs w:val="24"/>
              </w:rPr>
            </w:pPr>
            <w:r>
              <w:rPr>
                <w:rFonts w:hint="eastAsia" w:ascii="宋体" w:hAnsi="宋体" w:eastAsia="宋体" w:cs="宋体"/>
                <w:kern w:val="0"/>
                <w:sz w:val="24"/>
                <w:szCs w:val="24"/>
              </w:rPr>
              <w:t>庭审电子档案服务</w:t>
            </w:r>
          </w:p>
        </w:tc>
        <w:tc>
          <w:tcPr>
            <w:tcW w:w="0" w:type="auto"/>
            <w:tcBorders>
              <w:top w:val="single" w:color="auto" w:sz="4" w:space="0"/>
              <w:left w:val="nil"/>
              <w:bottom w:val="single" w:color="auto" w:sz="4" w:space="0"/>
              <w:right w:val="single" w:color="auto" w:sz="4" w:space="0"/>
            </w:tcBorders>
            <w:shd w:val="clear" w:color="auto" w:fill="auto"/>
            <w:vAlign w:val="center"/>
          </w:tcPr>
          <w:p w14:paraId="025D9BC6">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single" w:color="auto" w:sz="4" w:space="0"/>
              <w:left w:val="nil"/>
              <w:bottom w:val="single" w:color="auto" w:sz="4" w:space="0"/>
              <w:right w:val="single" w:color="auto" w:sz="4" w:space="0"/>
            </w:tcBorders>
            <w:shd w:val="clear" w:color="auto" w:fill="auto"/>
            <w:vAlign w:val="center"/>
          </w:tcPr>
          <w:p w14:paraId="6B154B01">
            <w:pPr>
              <w:widowControl/>
              <w:jc w:val="left"/>
              <w:rPr>
                <w:rFonts w:ascii="宋体" w:hAnsi="宋体" w:eastAsia="宋体" w:cs="宋体"/>
                <w:kern w:val="0"/>
                <w:sz w:val="24"/>
                <w:szCs w:val="24"/>
              </w:rPr>
            </w:pPr>
            <w:r>
              <w:rPr>
                <w:rFonts w:hint="eastAsia" w:ascii="宋体" w:hAnsi="宋体" w:eastAsia="宋体" w:cs="宋体"/>
                <w:kern w:val="0"/>
                <w:sz w:val="24"/>
                <w:szCs w:val="24"/>
              </w:rPr>
              <w:t>庭审结束自动生成庭审过程信息的庭审电子档案</w:t>
            </w:r>
          </w:p>
        </w:tc>
        <w:tc>
          <w:tcPr>
            <w:tcW w:w="0" w:type="auto"/>
            <w:tcBorders>
              <w:top w:val="single" w:color="auto" w:sz="4" w:space="0"/>
              <w:left w:val="nil"/>
              <w:bottom w:val="single" w:color="auto" w:sz="4" w:space="0"/>
              <w:right w:val="single" w:color="auto" w:sz="4" w:space="0"/>
            </w:tcBorders>
            <w:shd w:val="clear" w:color="auto" w:fill="auto"/>
            <w:vAlign w:val="center"/>
          </w:tcPr>
          <w:p w14:paraId="3EAAC80A">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single" w:color="auto" w:sz="4" w:space="0"/>
              <w:left w:val="nil"/>
              <w:bottom w:val="single" w:color="auto" w:sz="4" w:space="0"/>
              <w:right w:val="single" w:color="auto" w:sz="4" w:space="0"/>
            </w:tcBorders>
            <w:shd w:val="clear" w:color="auto" w:fill="auto"/>
            <w:vAlign w:val="center"/>
          </w:tcPr>
          <w:p w14:paraId="058F80E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0B861099">
            <w:pPr>
              <w:widowControl/>
              <w:jc w:val="center"/>
              <w:rPr>
                <w:rFonts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000</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4D86B62">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10000.00 </w:t>
            </w:r>
          </w:p>
        </w:tc>
      </w:tr>
      <w:tr w14:paraId="188EF7F9">
        <w:tblPrEx>
          <w:tblCellMar>
            <w:top w:w="0" w:type="dxa"/>
            <w:left w:w="108" w:type="dxa"/>
            <w:bottom w:w="0" w:type="dxa"/>
            <w:right w:w="108" w:type="dxa"/>
          </w:tblCellMar>
        </w:tblPrEx>
        <w:trPr>
          <w:trHeight w:val="708"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6179B57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16</w:t>
            </w:r>
          </w:p>
        </w:tc>
        <w:tc>
          <w:tcPr>
            <w:tcW w:w="0" w:type="auto"/>
            <w:tcBorders>
              <w:top w:val="nil"/>
              <w:left w:val="nil"/>
              <w:bottom w:val="single" w:color="auto" w:sz="4" w:space="0"/>
              <w:right w:val="single" w:color="auto" w:sz="4" w:space="0"/>
            </w:tcBorders>
            <w:shd w:val="clear" w:color="auto" w:fill="auto"/>
            <w:vAlign w:val="center"/>
          </w:tcPr>
          <w:p w14:paraId="546D445E">
            <w:pPr>
              <w:widowControl/>
              <w:jc w:val="center"/>
              <w:rPr>
                <w:rFonts w:ascii="宋体" w:hAnsi="宋体" w:eastAsia="宋体" w:cs="宋体"/>
                <w:kern w:val="0"/>
                <w:sz w:val="24"/>
                <w:szCs w:val="24"/>
              </w:rPr>
            </w:pPr>
            <w:r>
              <w:rPr>
                <w:rFonts w:hint="eastAsia" w:ascii="宋体" w:hAnsi="宋体" w:eastAsia="宋体" w:cs="宋体"/>
                <w:kern w:val="0"/>
                <w:sz w:val="24"/>
                <w:szCs w:val="24"/>
              </w:rPr>
              <w:t>云电脑服务</w:t>
            </w:r>
          </w:p>
        </w:tc>
        <w:tc>
          <w:tcPr>
            <w:tcW w:w="0" w:type="auto"/>
            <w:tcBorders>
              <w:top w:val="nil"/>
              <w:left w:val="nil"/>
              <w:bottom w:val="single" w:color="auto" w:sz="4" w:space="0"/>
              <w:right w:val="single" w:color="auto" w:sz="4" w:space="0"/>
            </w:tcBorders>
            <w:shd w:val="clear" w:color="auto" w:fill="auto"/>
            <w:vAlign w:val="center"/>
          </w:tcPr>
          <w:p w14:paraId="57C23F1F">
            <w:pPr>
              <w:widowControl/>
              <w:jc w:val="center"/>
              <w:rPr>
                <w:rFonts w:ascii="宋体" w:hAnsi="宋体" w:eastAsia="宋体" w:cs="宋体"/>
                <w:kern w:val="0"/>
                <w:sz w:val="24"/>
                <w:szCs w:val="24"/>
              </w:rPr>
            </w:pPr>
            <w:r>
              <w:rPr>
                <w:rFonts w:hint="eastAsia" w:ascii="宋体" w:hAnsi="宋体" w:eastAsia="宋体" w:cs="宋体"/>
                <w:kern w:val="0"/>
                <w:sz w:val="24"/>
                <w:szCs w:val="24"/>
              </w:rPr>
              <w:t>云电脑综合服务</w:t>
            </w:r>
          </w:p>
        </w:tc>
        <w:tc>
          <w:tcPr>
            <w:tcW w:w="0" w:type="auto"/>
            <w:tcBorders>
              <w:top w:val="nil"/>
              <w:left w:val="nil"/>
              <w:bottom w:val="single" w:color="auto" w:sz="4" w:space="0"/>
              <w:right w:val="single" w:color="auto" w:sz="4" w:space="0"/>
            </w:tcBorders>
            <w:shd w:val="clear" w:color="auto" w:fill="auto"/>
            <w:vAlign w:val="center"/>
          </w:tcPr>
          <w:p w14:paraId="1BF59B0D">
            <w:pPr>
              <w:widowControl/>
              <w:jc w:val="center"/>
              <w:rPr>
                <w:rFonts w:ascii="宋体" w:hAnsi="宋体" w:eastAsia="宋体" w:cs="宋体"/>
                <w:kern w:val="0"/>
                <w:sz w:val="24"/>
                <w:szCs w:val="24"/>
              </w:rPr>
            </w:pPr>
            <w:r>
              <w:rPr>
                <w:rFonts w:hint="eastAsia" w:ascii="宋体" w:hAnsi="宋体" w:eastAsia="宋体" w:cs="宋体"/>
                <w:kern w:val="0"/>
                <w:sz w:val="24"/>
                <w:szCs w:val="24"/>
              </w:rPr>
              <w:t>定制</w:t>
            </w:r>
          </w:p>
        </w:tc>
        <w:tc>
          <w:tcPr>
            <w:tcW w:w="0" w:type="auto"/>
            <w:tcBorders>
              <w:top w:val="nil"/>
              <w:left w:val="nil"/>
              <w:bottom w:val="single" w:color="auto" w:sz="4" w:space="0"/>
              <w:right w:val="single" w:color="auto" w:sz="4" w:space="0"/>
            </w:tcBorders>
            <w:shd w:val="clear" w:color="auto" w:fill="auto"/>
            <w:vAlign w:val="center"/>
          </w:tcPr>
          <w:p w14:paraId="7A61B946">
            <w:pPr>
              <w:widowControl/>
              <w:jc w:val="left"/>
              <w:rPr>
                <w:rFonts w:ascii="宋体" w:hAnsi="宋体" w:eastAsia="宋体" w:cs="宋体"/>
                <w:kern w:val="0"/>
                <w:sz w:val="24"/>
                <w:szCs w:val="24"/>
              </w:rPr>
            </w:pPr>
            <w:r>
              <w:rPr>
                <w:rFonts w:hint="eastAsia" w:ascii="宋体" w:hAnsi="宋体" w:eastAsia="宋体" w:cs="宋体"/>
                <w:kern w:val="0"/>
                <w:sz w:val="24"/>
                <w:szCs w:val="24"/>
              </w:rPr>
              <w:t>提供云电脑服务</w:t>
            </w:r>
          </w:p>
        </w:tc>
        <w:tc>
          <w:tcPr>
            <w:tcW w:w="0" w:type="auto"/>
            <w:tcBorders>
              <w:top w:val="nil"/>
              <w:left w:val="nil"/>
              <w:bottom w:val="single" w:color="auto" w:sz="4" w:space="0"/>
              <w:right w:val="single" w:color="auto" w:sz="4" w:space="0"/>
            </w:tcBorders>
            <w:shd w:val="clear" w:color="auto" w:fill="auto"/>
            <w:vAlign w:val="center"/>
          </w:tcPr>
          <w:p w14:paraId="7BB60E5F">
            <w:pPr>
              <w:widowControl/>
              <w:jc w:val="center"/>
              <w:rPr>
                <w:rFonts w:ascii="宋体" w:hAnsi="宋体" w:eastAsia="宋体" w:cs="宋体"/>
                <w:kern w:val="0"/>
                <w:sz w:val="24"/>
                <w:szCs w:val="24"/>
              </w:rPr>
            </w:pPr>
            <w:r>
              <w:rPr>
                <w:rFonts w:hint="eastAsia" w:ascii="宋体" w:hAnsi="宋体" w:eastAsia="宋体" w:cs="宋体"/>
                <w:kern w:val="0"/>
                <w:sz w:val="24"/>
                <w:szCs w:val="24"/>
              </w:rPr>
              <w:t>项</w:t>
            </w:r>
          </w:p>
        </w:tc>
        <w:tc>
          <w:tcPr>
            <w:tcW w:w="0" w:type="auto"/>
            <w:tcBorders>
              <w:top w:val="nil"/>
              <w:left w:val="nil"/>
              <w:bottom w:val="single" w:color="auto" w:sz="4" w:space="0"/>
              <w:right w:val="single" w:color="auto" w:sz="4" w:space="0"/>
            </w:tcBorders>
            <w:shd w:val="clear" w:color="auto" w:fill="auto"/>
            <w:vAlign w:val="center"/>
          </w:tcPr>
          <w:p w14:paraId="3DC297B6">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0" w:type="auto"/>
            <w:tcBorders>
              <w:top w:val="nil"/>
              <w:left w:val="nil"/>
              <w:bottom w:val="single" w:color="auto" w:sz="4" w:space="0"/>
              <w:right w:val="single" w:color="auto" w:sz="4" w:space="0"/>
            </w:tcBorders>
            <w:shd w:val="clear" w:color="auto" w:fill="auto"/>
            <w:vAlign w:val="center"/>
          </w:tcPr>
          <w:p w14:paraId="7CE44E51">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0" w:type="auto"/>
            <w:tcBorders>
              <w:top w:val="nil"/>
              <w:left w:val="nil"/>
              <w:bottom w:val="single" w:color="auto" w:sz="4" w:space="0"/>
              <w:right w:val="single" w:color="auto" w:sz="4" w:space="0"/>
            </w:tcBorders>
            <w:shd w:val="clear" w:color="auto" w:fill="auto"/>
            <w:noWrap/>
            <w:vAlign w:val="center"/>
          </w:tcPr>
          <w:p w14:paraId="0AAC9426">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500.00 </w:t>
            </w:r>
          </w:p>
        </w:tc>
      </w:tr>
      <w:tr w14:paraId="0A43F735">
        <w:tblPrEx>
          <w:tblCellMar>
            <w:top w:w="0" w:type="dxa"/>
            <w:left w:w="108" w:type="dxa"/>
            <w:bottom w:w="0" w:type="dxa"/>
            <w:right w:w="108" w:type="dxa"/>
          </w:tblCellMar>
        </w:tblPrEx>
        <w:trPr>
          <w:trHeight w:val="708" w:hRule="atLeast"/>
        </w:trPr>
        <w:tc>
          <w:tcPr>
            <w:tcW w:w="0" w:type="auto"/>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2EEE71C3">
            <w:pPr>
              <w:widowControl/>
              <w:jc w:val="center"/>
              <w:rPr>
                <w:rFonts w:hint="eastAsia" w:ascii="宋体" w:hAnsi="宋体" w:eastAsia="宋体" w:cs="宋体"/>
                <w:b/>
                <w:kern w:val="0"/>
                <w:sz w:val="24"/>
                <w:szCs w:val="24"/>
              </w:rPr>
            </w:pPr>
            <w:r>
              <w:rPr>
                <w:rFonts w:hint="eastAsia" w:ascii="宋体" w:hAnsi="宋体" w:eastAsia="宋体" w:cs="宋体"/>
                <w:b/>
                <w:kern w:val="0"/>
                <w:sz w:val="24"/>
                <w:szCs w:val="24"/>
              </w:rPr>
              <w:t>总价</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FDFA6D2">
            <w:pPr>
              <w:widowControl/>
              <w:jc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200000.00</w:t>
            </w:r>
          </w:p>
        </w:tc>
      </w:tr>
    </w:tbl>
    <w:p w14:paraId="28D5285A">
      <w:pPr>
        <w:widowControl/>
        <w:spacing w:line="360" w:lineRule="auto"/>
        <w:jc w:val="left"/>
        <w:rPr>
          <w:rFonts w:ascii="宋体" w:hAnsi="宋体" w:eastAsia="宋体" w:cs="宋体"/>
          <w:b/>
          <w:bCs/>
          <w:color w:val="404040"/>
          <w:kern w:val="0"/>
          <w:sz w:val="24"/>
          <w:szCs w:val="24"/>
        </w:rPr>
      </w:pPr>
    </w:p>
    <w:p w14:paraId="36FD2281">
      <w:pPr>
        <w:widowControl/>
        <w:spacing w:line="360" w:lineRule="auto"/>
        <w:ind w:firstLine="480"/>
        <w:jc w:val="left"/>
        <w:rPr>
          <w:rFonts w:ascii="宋体" w:hAnsi="宋体" w:eastAsia="宋体" w:cs="宋体"/>
          <w:b/>
          <w:bCs/>
          <w:color w:val="404040"/>
          <w:kern w:val="0"/>
          <w:sz w:val="24"/>
          <w:szCs w:val="24"/>
        </w:rPr>
      </w:pPr>
      <w:r>
        <w:rPr>
          <w:rFonts w:hint="eastAsia" w:ascii="宋体" w:hAnsi="宋体" w:eastAsia="宋体" w:cs="宋体"/>
          <w:b/>
          <w:bCs/>
          <w:color w:val="404040"/>
          <w:kern w:val="0"/>
          <w:sz w:val="24"/>
          <w:szCs w:val="24"/>
        </w:rPr>
        <w:t>特别提示：</w:t>
      </w:r>
    </w:p>
    <w:p w14:paraId="378A3EAC">
      <w:pPr>
        <w:numPr>
          <w:ilvl w:val="0"/>
          <w:numId w:val="1"/>
        </w:num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5F7A417E">
      <w:p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2.交付地址：委托方指定地点。</w:t>
      </w:r>
    </w:p>
    <w:p w14:paraId="0374A3A7">
      <w:p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3.交付时间：成交人应在成交通知书发放后</w:t>
      </w:r>
      <w:r>
        <w:rPr>
          <w:rFonts w:hint="eastAsia" w:ascii="宋体" w:hAnsi="宋体" w:eastAsia="宋体" w:cs="宋体"/>
          <w:color w:val="0000FF"/>
          <w:kern w:val="0"/>
          <w:sz w:val="24"/>
          <w:szCs w:val="24"/>
          <w:u w:val="single"/>
        </w:rPr>
        <w:t>3</w:t>
      </w:r>
      <w:r>
        <w:rPr>
          <w:rFonts w:hint="eastAsia" w:ascii="宋体" w:hAnsi="宋体" w:eastAsia="宋体" w:cs="宋体"/>
          <w:color w:val="0000FF"/>
          <w:kern w:val="0"/>
          <w:sz w:val="24"/>
          <w:szCs w:val="24"/>
        </w:rPr>
        <w:t>天内签订《供货合同》，在《供货合同》签订之日起</w:t>
      </w:r>
      <w:r>
        <w:rPr>
          <w:rFonts w:hint="eastAsia" w:ascii="宋体" w:hAnsi="宋体" w:eastAsia="宋体" w:cs="宋体"/>
          <w:color w:val="0000FF"/>
          <w:kern w:val="0"/>
          <w:sz w:val="24"/>
          <w:szCs w:val="24"/>
          <w:u w:val="single"/>
        </w:rPr>
        <w:t>15</w:t>
      </w:r>
      <w:r>
        <w:rPr>
          <w:rFonts w:hint="eastAsia" w:ascii="宋体" w:hAnsi="宋体" w:eastAsia="宋体" w:cs="宋体"/>
          <w:color w:val="0000FF"/>
          <w:kern w:val="0"/>
          <w:sz w:val="24"/>
          <w:szCs w:val="24"/>
        </w:rPr>
        <w:t>个工作日内将符合要求的货物送达指定地点并交付正常使用。</w:t>
      </w:r>
    </w:p>
    <w:p w14:paraId="2A74D281">
      <w:pPr>
        <w:spacing w:line="360" w:lineRule="auto"/>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4.供货要求：成交人根据《供货合同》供货安装调试使之正常使用。（详见附件《供货合同》）。</w:t>
      </w:r>
    </w:p>
    <w:p w14:paraId="5564AD4D">
      <w:pPr>
        <w:widowControl/>
        <w:spacing w:line="520" w:lineRule="exact"/>
        <w:ind w:firstLine="480" w:firstLineChars="200"/>
        <w:rPr>
          <w:rFonts w:ascii="宋体" w:hAnsi="宋体" w:eastAsia="宋体" w:cs="宋体"/>
          <w:color w:val="0000FF"/>
          <w:kern w:val="0"/>
          <w:sz w:val="24"/>
          <w:szCs w:val="24"/>
        </w:rPr>
      </w:pPr>
      <w:r>
        <w:rPr>
          <w:rFonts w:hint="eastAsia" w:ascii="宋体" w:hAnsi="宋体" w:eastAsia="宋体" w:cs="宋体"/>
          <w:color w:val="0000FF"/>
          <w:kern w:val="0"/>
          <w:sz w:val="24"/>
          <w:szCs w:val="24"/>
        </w:rPr>
        <w:t>5.服务承诺及结算方式：具体根据双方签订的《供货合同》约定履行。</w:t>
      </w:r>
    </w:p>
    <w:p w14:paraId="6940683D">
      <w:pPr>
        <w:spacing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三、竞价资格</w:t>
      </w:r>
    </w:p>
    <w:p w14:paraId="71F84288">
      <w:pPr>
        <w:widowControl/>
        <w:snapToGrid w:val="0"/>
        <w:spacing w:line="360" w:lineRule="auto"/>
        <w:ind w:left="14" w:firstLine="480" w:firstLineChars="200"/>
        <w:rPr>
          <w:rFonts w:ascii="宋体" w:hAnsi="宋体" w:eastAsia="宋体" w:cs="宋体"/>
          <w:sz w:val="24"/>
          <w:szCs w:val="24"/>
        </w:rPr>
      </w:pPr>
      <w:r>
        <w:rPr>
          <w:rFonts w:hint="eastAsia" w:ascii="宋体" w:hAnsi="宋体" w:eastAsia="宋体" w:cs="宋体"/>
          <w:sz w:val="24"/>
          <w:szCs w:val="24"/>
        </w:rPr>
        <w:t>1.竞价者必须遵守中华人民共和国法律、法规，具有独立法人资格的国内企业（失信被执行人除外）。</w:t>
      </w:r>
    </w:p>
    <w:p w14:paraId="5730B94D">
      <w:pPr>
        <w:widowControl/>
        <w:snapToGrid w:val="0"/>
        <w:spacing w:line="360" w:lineRule="auto"/>
        <w:ind w:left="14" w:firstLine="480" w:firstLineChars="200"/>
        <w:rPr>
          <w:rFonts w:ascii="宋体" w:hAnsi="宋体" w:eastAsia="宋体" w:cs="宋体"/>
          <w:sz w:val="24"/>
          <w:szCs w:val="24"/>
        </w:rPr>
      </w:pPr>
      <w:r>
        <w:rPr>
          <w:rFonts w:hint="eastAsia" w:ascii="宋体" w:hAnsi="宋体" w:eastAsia="宋体" w:cs="宋体"/>
          <w:sz w:val="24"/>
          <w:szCs w:val="24"/>
        </w:rPr>
        <w:t>2.具有履行合同所必需的能力。</w:t>
      </w:r>
    </w:p>
    <w:p w14:paraId="765FD84A">
      <w:pPr>
        <w:widowControl w:val="0"/>
        <w:spacing w:line="380" w:lineRule="exact"/>
        <w:jc w:val="both"/>
        <w:rPr>
          <w:rFonts w:ascii="Calibri" w:hAnsi="Calibri" w:eastAsia="宋体" w:cs="Arial"/>
          <w:kern w:val="2"/>
          <w:sz w:val="24"/>
          <w:szCs w:val="22"/>
          <w:lang w:val="en-US" w:eastAsia="zh-CN" w:bidi="ar-SA"/>
        </w:rPr>
      </w:pPr>
      <w:r>
        <w:rPr>
          <w:rFonts w:hint="eastAsia" w:ascii="宋体" w:hAnsi="宋体" w:eastAsia="宋体" w:cs="宋体"/>
          <w:kern w:val="2"/>
          <w:sz w:val="24"/>
          <w:szCs w:val="24"/>
          <w:lang w:val="en-US" w:eastAsia="zh-CN" w:bidi="ar-SA"/>
        </w:rPr>
        <w:t xml:space="preserve">    3.</w:t>
      </w:r>
      <w:r>
        <w:rPr>
          <w:rFonts w:hint="eastAsia" w:ascii="宋体" w:hAnsi="宋体" w:eastAsia="宋体" w:cs="宋体"/>
          <w:b/>
          <w:bCs/>
          <w:color w:val="FF0000"/>
          <w:kern w:val="2"/>
          <w:sz w:val="24"/>
          <w:szCs w:val="24"/>
          <w:lang w:val="en-US" w:eastAsia="zh-CN" w:bidi="ar-SA"/>
        </w:rPr>
        <w:t>竞价人必须是委托人邀请的供应商：中国电信股份有限公司龙岩分公司、龙岩市科端智能科技有限公司、长汀县秋华电脑有限公司。</w:t>
      </w:r>
    </w:p>
    <w:p w14:paraId="5BF684AD">
      <w:pPr>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四、竞价保证金</w:t>
      </w:r>
    </w:p>
    <w:p w14:paraId="76EE237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1.保证金</w:t>
      </w:r>
      <w:r>
        <w:rPr>
          <w:rFonts w:hint="eastAsia" w:ascii="宋体" w:hAnsi="宋体" w:eastAsia="宋体" w:cs="宋体"/>
          <w:color w:val="0000FF"/>
          <w:sz w:val="24"/>
          <w:szCs w:val="24"/>
        </w:rPr>
        <w:t>4000</w:t>
      </w:r>
      <w:r>
        <w:rPr>
          <w:rFonts w:hint="eastAsia" w:ascii="宋体" w:hAnsi="宋体" w:eastAsia="宋体" w:cs="宋体"/>
          <w:sz w:val="24"/>
          <w:szCs w:val="24"/>
        </w:rPr>
        <w:t>元，必须于</w:t>
      </w:r>
      <w:r>
        <w:rPr>
          <w:rFonts w:hint="eastAsia" w:ascii="宋体" w:hAnsi="宋体" w:eastAsia="宋体" w:cs="宋体"/>
          <w:color w:val="0000FF"/>
          <w:sz w:val="24"/>
          <w:szCs w:val="24"/>
        </w:rPr>
        <w:t>2025年</w:t>
      </w:r>
      <w:r>
        <w:rPr>
          <w:rFonts w:hint="eastAsia" w:ascii="宋体" w:hAnsi="宋体" w:eastAsia="宋体" w:cs="宋体"/>
          <w:color w:val="0000FF"/>
          <w:sz w:val="24"/>
          <w:szCs w:val="24"/>
          <w:lang w:val="en-US" w:eastAsia="zh-CN"/>
        </w:rPr>
        <w:t>4</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21</w:t>
      </w:r>
      <w:r>
        <w:rPr>
          <w:rFonts w:hint="eastAsia" w:ascii="宋体" w:hAnsi="宋体" w:eastAsia="宋体" w:cs="宋体"/>
          <w:color w:val="0000FF"/>
          <w:sz w:val="24"/>
          <w:szCs w:val="24"/>
        </w:rPr>
        <w:t>日</w:t>
      </w:r>
      <w:r>
        <w:rPr>
          <w:rFonts w:hint="eastAsia" w:ascii="宋体" w:hAnsi="宋体" w:eastAsia="宋体" w:cs="宋体"/>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51DB342B">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竞价成交后，成交人必须在成交之日起3个工作日内与本公司签订《竞价结果通知书》并提交《分项报价表》，在签订《竞价结果通知书》之日起3个工作日内向委托人提供《供货合同》，由委托人经过相应审批程序后签订。</w:t>
      </w:r>
    </w:p>
    <w:p w14:paraId="4CC1E33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3.成交人的竞价保证金可以直接抵作交易服务费，如有剩余，在成交人与委托人签订《供货合同》后10个工作日内一次性无息退回。</w:t>
      </w:r>
    </w:p>
    <w:p w14:paraId="43E255A5">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4.未成交人的保证金，在竞价结束后10个工作日内（遇法定节假日顺延）无息退回。</w:t>
      </w:r>
    </w:p>
    <w:p w14:paraId="45BBA52A">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五、竞价手续</w:t>
      </w:r>
    </w:p>
    <w:p w14:paraId="5BE5EE30">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1.有意参加竞价人应提供如下有效证照复印件：</w:t>
      </w:r>
    </w:p>
    <w:p w14:paraId="57226EC7">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（1）营业执照副本、法定代表人身份证复印件；</w:t>
      </w:r>
    </w:p>
    <w:p w14:paraId="7416DC1B">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（2）签订完整的承诺书。</w:t>
      </w:r>
    </w:p>
    <w:p w14:paraId="55FA04EF">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如法定代表人无法亲自到现场办理竞价手续的，应提供《授权委托书》原件和委托代理人身份证复印件。</w:t>
      </w:r>
    </w:p>
    <w:p w14:paraId="028F6C82">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以上材料复印件须注明与原件相符并加盖公章。</w:t>
      </w:r>
    </w:p>
    <w:p w14:paraId="4BEF53B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2.报名方式</w:t>
      </w:r>
    </w:p>
    <w:p w14:paraId="6FCD52F2">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参加本次竞价会的竞价人需在规定的时间前交纳竞价保证金并登录权益云交易平台办理竞价登记手续，同时将报名资料递交给我司，材料可以采用现场或邮件方式递交。</w:t>
      </w:r>
    </w:p>
    <w:p w14:paraId="3C3989D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5C64D9C9">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EC23726">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六、竞价程序</w:t>
      </w:r>
    </w:p>
    <w:p w14:paraId="20FCC52F">
      <w:pPr>
        <w:widowControl/>
        <w:spacing w:line="360" w:lineRule="auto"/>
        <w:ind w:firstLine="480" w:firstLineChars="200"/>
        <w:jc w:val="left"/>
        <w:textAlignment w:val="top"/>
        <w:rPr>
          <w:rFonts w:ascii="宋体" w:hAnsi="宋体" w:eastAsia="宋体" w:cs="宋体"/>
          <w:color w:val="000000"/>
          <w:sz w:val="24"/>
          <w:szCs w:val="24"/>
        </w:rPr>
      </w:pPr>
      <w:r>
        <w:rPr>
          <w:rFonts w:hint="eastAsia" w:ascii="宋体" w:hAnsi="宋体" w:eastAsia="宋体" w:cs="宋体"/>
          <w:sz w:val="24"/>
          <w:szCs w:val="24"/>
        </w:rPr>
        <w:t>1.</w:t>
      </w:r>
      <w:r>
        <w:rPr>
          <w:rFonts w:hint="eastAsia" w:ascii="宋体" w:hAnsi="宋体" w:eastAsia="宋体" w:cs="宋体"/>
          <w:color w:val="000000"/>
          <w:sz w:val="24"/>
          <w:szCs w:val="24"/>
        </w:rPr>
        <w:t>本场竞价须三家及以上竞价人在规定时间内参与竞价，如果在规定时间内参与竞价的竞价人不足三家，则按流标处理，竞价人不得有异议。</w:t>
      </w:r>
    </w:p>
    <w:p w14:paraId="193A863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2.意向竞价人应至权益云网站或微信公众号“权益云交易平台”注册用户名，并于报名截止时间前至本公司办理报名竞价手续，登录到权益云报价大厅申请参与本场竞价。</w:t>
      </w:r>
    </w:p>
    <w:p w14:paraId="6230362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3.采用网络</w:t>
      </w:r>
      <w:r>
        <w:rPr>
          <w:rFonts w:hint="eastAsia" w:ascii="宋体" w:hAnsi="宋体" w:eastAsia="宋体" w:cs="宋体"/>
          <w:b/>
          <w:bCs/>
          <w:sz w:val="24"/>
          <w:szCs w:val="24"/>
        </w:rPr>
        <w:t>反向一次性</w:t>
      </w:r>
      <w:r>
        <w:rPr>
          <w:rFonts w:hint="eastAsia" w:ascii="宋体" w:hAnsi="宋体" w:eastAsia="宋体" w:cs="宋体"/>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32FD0EF1">
      <w:pPr>
        <w:widowControl/>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3.竞价人应以服务费总价进行报价，竞价系统设置的价格</w:t>
      </w:r>
      <w:r>
        <w:rPr>
          <w:rFonts w:hint="eastAsia" w:ascii="宋体" w:hAnsi="宋体" w:eastAsia="宋体" w:cs="宋体"/>
          <w:b/>
          <w:bCs/>
          <w:color w:val="0000FF"/>
          <w:sz w:val="24"/>
          <w:szCs w:val="24"/>
        </w:rPr>
        <w:t>200000元</w:t>
      </w:r>
      <w:r>
        <w:rPr>
          <w:rFonts w:hint="eastAsia" w:ascii="宋体" w:hAnsi="宋体" w:eastAsia="宋体" w:cs="宋体"/>
          <w:b/>
          <w:bCs/>
          <w:sz w:val="24"/>
          <w:szCs w:val="24"/>
        </w:rPr>
        <w:t>表示最高限价为人民币</w:t>
      </w:r>
      <w:r>
        <w:rPr>
          <w:rFonts w:hint="eastAsia" w:ascii="宋体" w:hAnsi="宋体" w:eastAsia="宋体" w:cs="宋体"/>
          <w:b/>
          <w:bCs/>
          <w:color w:val="0000FF"/>
          <w:sz w:val="24"/>
          <w:szCs w:val="24"/>
        </w:rPr>
        <w:t>200000元</w:t>
      </w:r>
      <w:r>
        <w:rPr>
          <w:rFonts w:hint="eastAsia" w:ascii="宋体" w:hAnsi="宋体" w:eastAsia="宋体" w:cs="宋体"/>
          <w:b/>
          <w:bCs/>
          <w:sz w:val="24"/>
          <w:szCs w:val="24"/>
        </w:rPr>
        <w:t>，竞价人在竞价系统填报价格高于</w:t>
      </w:r>
      <w:r>
        <w:rPr>
          <w:rFonts w:hint="eastAsia" w:ascii="宋体" w:hAnsi="宋体" w:eastAsia="宋体" w:cs="宋体"/>
          <w:b/>
          <w:bCs/>
          <w:color w:val="0000FF"/>
          <w:sz w:val="24"/>
          <w:szCs w:val="24"/>
        </w:rPr>
        <w:t>200000元</w:t>
      </w:r>
      <w:r>
        <w:rPr>
          <w:rFonts w:hint="eastAsia" w:ascii="宋体" w:hAnsi="宋体" w:eastAsia="宋体" w:cs="宋体"/>
          <w:b/>
          <w:bCs/>
          <w:sz w:val="24"/>
          <w:szCs w:val="24"/>
        </w:rPr>
        <w:t>为无效报价，填报总价最低的竞价人作为本项目成交人。</w:t>
      </w:r>
    </w:p>
    <w:p w14:paraId="1E73977C">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4.特别提示：标的经征集到合格竞价人,则竞价人应以不高于最高限价进行报价，成交人应签署《竞价结果通知书》等相关文件，否则视同为违约。</w:t>
      </w:r>
    </w:p>
    <w:p w14:paraId="31BE45C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5.本公司有权就竞价时间做出调整，如有调整将在本公司网站进行公告。</w:t>
      </w:r>
    </w:p>
    <w:p w14:paraId="1416644E">
      <w:pPr>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七、交易服务费</w:t>
      </w:r>
    </w:p>
    <w:p w14:paraId="542A2615">
      <w:pPr>
        <w:spacing w:line="360" w:lineRule="auto"/>
        <w:ind w:firstLine="480" w:firstLineChars="200"/>
        <w:rPr>
          <w:rFonts w:ascii="宋体" w:hAnsi="宋体" w:eastAsia="宋体" w:cs="宋体"/>
          <w:b/>
          <w:bCs/>
          <w:color w:val="000000"/>
          <w:sz w:val="24"/>
          <w:szCs w:val="24"/>
        </w:rPr>
      </w:pPr>
      <w:r>
        <w:rPr>
          <w:rFonts w:hint="eastAsia" w:ascii="宋体" w:hAnsi="宋体" w:eastAsia="宋体" w:cs="宋体"/>
          <w:color w:val="000000"/>
          <w:sz w:val="24"/>
          <w:szCs w:val="24"/>
        </w:rPr>
        <w:t>竞价成交后，</w:t>
      </w:r>
      <w:r>
        <w:rPr>
          <w:rFonts w:hint="eastAsia" w:ascii="宋体" w:hAnsi="宋体" w:eastAsia="宋体" w:cs="宋体"/>
          <w:b/>
          <w:bCs/>
          <w:color w:val="000000"/>
          <w:sz w:val="24"/>
          <w:szCs w:val="24"/>
        </w:rPr>
        <w:t>本项目的交易服务费按成交价×1.5%计费向成交人收取，不足3000元的，按3000元计费</w:t>
      </w:r>
      <w:r>
        <w:rPr>
          <w:rFonts w:hint="eastAsia" w:ascii="宋体" w:hAnsi="宋体" w:eastAsia="宋体" w:cs="宋体"/>
          <w:color w:val="000000"/>
          <w:sz w:val="24"/>
          <w:szCs w:val="24"/>
        </w:rPr>
        <w:t>。交易服务费直接由本公司从成交人缴纳的竞价保证金中扣收，不足的，成交人</w:t>
      </w:r>
      <w:r>
        <w:rPr>
          <w:rFonts w:hint="eastAsia" w:ascii="宋体" w:hAnsi="宋体" w:eastAsia="宋体" w:cs="宋体"/>
          <w:b/>
          <w:bCs/>
          <w:color w:val="000000"/>
          <w:sz w:val="24"/>
          <w:szCs w:val="24"/>
          <w:shd w:val="clear" w:color="auto" w:fill="FFFFFF"/>
        </w:rPr>
        <w:t>必须在成交之日起2个工作日</w:t>
      </w:r>
      <w:r>
        <w:rPr>
          <w:rFonts w:hint="eastAsia" w:ascii="宋体" w:hAnsi="宋体" w:eastAsia="宋体" w:cs="宋体"/>
          <w:color w:val="000000"/>
          <w:sz w:val="24"/>
          <w:szCs w:val="24"/>
        </w:rPr>
        <w:t>内补齐。交易服务费未按期付清的，视成交人根本违约，竞价保证金不予退回。</w:t>
      </w:r>
    </w:p>
    <w:p w14:paraId="0FF9F40C">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八、结算方式</w:t>
      </w:r>
    </w:p>
    <w:p w14:paraId="1B0ACE2A">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1.竞价人自行承担参加竞价会有关的全部费用（包括但不限于差旅费、邮寄费、资料费等）。</w:t>
      </w:r>
    </w:p>
    <w:p w14:paraId="60A3BD93">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55075FBD">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九、税费承担</w:t>
      </w:r>
    </w:p>
    <w:p w14:paraId="6A768773">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竞价人自行承担参加竞价会有关的全部费用（包括但不限于差旅费、邮寄费、资料费等）。</w:t>
      </w:r>
    </w:p>
    <w:p w14:paraId="71C62FBA">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十、违约责任</w:t>
      </w:r>
    </w:p>
    <w:p w14:paraId="3395C258">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成交人应价后反悔的，或不即时签订《竞价结果通知书》，或逾期未缴纳交易服务费，本公司按违约处理，保证金不予退回，同时《竞价结果通知书》自动失效，并视情对竞价标的再次竞价或处理，本公司将保留向该成交人提起赔偿诉讼的权利。</w:t>
      </w:r>
    </w:p>
    <w:p w14:paraId="78971367">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十一、注意事项</w:t>
      </w:r>
    </w:p>
    <w:p w14:paraId="5E4D99C5">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1.因不可预见的原因导致上述竞价交易方式不能正常进行的，本公司有权中止交易或临时决定采用其它竞价方式和竞价交易规则，竞价人对此不得有异议。</w:t>
      </w:r>
    </w:p>
    <w:p w14:paraId="51A7BC91">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6E60B0BA">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3.成交后，成交人应当与委托人签订《</w:t>
      </w:r>
      <w:r>
        <w:rPr>
          <w:rFonts w:hint="eastAsia" w:ascii="宋体" w:hAnsi="宋体" w:eastAsia="宋体" w:cs="宋体"/>
          <w:b/>
          <w:bCs/>
          <w:kern w:val="28"/>
          <w:sz w:val="24"/>
          <w:szCs w:val="24"/>
        </w:rPr>
        <w:t>供货合同</w:t>
      </w:r>
      <w:r>
        <w:rPr>
          <w:rFonts w:hint="eastAsia" w:ascii="宋体" w:hAnsi="宋体" w:eastAsia="宋体" w:cs="宋体"/>
          <w:sz w:val="24"/>
          <w:szCs w:val="24"/>
        </w:rPr>
        <w:t>》，并严格履行，双方的权利、义务以《</w:t>
      </w:r>
      <w:r>
        <w:rPr>
          <w:rFonts w:hint="eastAsia" w:ascii="宋体" w:hAnsi="宋体" w:eastAsia="宋体" w:cs="宋体"/>
          <w:b/>
          <w:bCs/>
          <w:kern w:val="28"/>
          <w:sz w:val="24"/>
          <w:szCs w:val="24"/>
        </w:rPr>
        <w:t>供货合同</w:t>
      </w:r>
      <w:r>
        <w:rPr>
          <w:rFonts w:hint="eastAsia" w:ascii="宋体" w:hAnsi="宋体" w:eastAsia="宋体" w:cs="宋体"/>
          <w:sz w:val="24"/>
          <w:szCs w:val="24"/>
        </w:rPr>
        <w:t>》约定为准。</w:t>
      </w:r>
    </w:p>
    <w:p w14:paraId="43B2C403">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4.因委托人、成交人的原因造成不能签订相应的合同或解除合同、合同无效的，我司不承担任何责任。签订《竞价结果通知书》视为我司对成交人的合同义务履行完毕。</w:t>
      </w:r>
    </w:p>
    <w:p w14:paraId="47EDFF99">
      <w:pPr>
        <w:widowControl/>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十二、特别提示</w:t>
      </w:r>
    </w:p>
    <w:tbl>
      <w:tblPr>
        <w:tblStyle w:val="2"/>
        <w:tblW w:w="9071" w:type="dxa"/>
        <w:jc w:val="center"/>
        <w:shd w:val="clear" w:color="auto" w:fill="FFFFFF"/>
        <w:tblLayout w:type="fixed"/>
        <w:tblCellMar>
          <w:top w:w="0" w:type="dxa"/>
          <w:left w:w="0" w:type="dxa"/>
          <w:bottom w:w="0" w:type="dxa"/>
          <w:right w:w="0" w:type="dxa"/>
        </w:tblCellMar>
      </w:tblPr>
      <w:tblGrid>
        <w:gridCol w:w="9071"/>
      </w:tblGrid>
      <w:tr w14:paraId="06A31130">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533C9DE">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1.申请人必须对本项目情况及竞价流程进行充分的咨询和了解，一旦参与竞价，视为无异议，并对项目存在或可能存在的瑕疵表示认可，自行承担由此造成的风险。</w:t>
            </w:r>
          </w:p>
          <w:p w14:paraId="32754D8D">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2.竞价文件如有更正修改，公告将在连城产权交易网（网址：</w:t>
            </w:r>
            <w:r>
              <w:rPr>
                <w:rFonts w:hint="eastAsia" w:ascii="宋体" w:hAnsi="宋体" w:eastAsia="宋体" w:cs="宋体"/>
                <w:b/>
                <w:bCs/>
                <w:sz w:val="24"/>
                <w:szCs w:val="24"/>
              </w:rPr>
              <w:t>http://www.lcxcqjy.com/</w:t>
            </w:r>
            <w:r>
              <w:rPr>
                <w:rFonts w:hint="eastAsia" w:ascii="宋体" w:hAnsi="宋体" w:eastAsia="宋体" w:cs="宋体"/>
                <w:sz w:val="24"/>
                <w:szCs w:val="24"/>
              </w:rPr>
              <w:t>）上发布，请潜在竞价人随时密切关注上述网站并下载相关信息，本公司不再另行通知（相同内容如有多次修改，以最后一次修改为准）。潜在竞价人未查看、下载修改内容的，后果自行承担。</w:t>
            </w:r>
          </w:p>
          <w:p w14:paraId="00DFBA7D">
            <w:pPr>
              <w:widowControl/>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3B75905D">
      <w:pPr>
        <w:widowControl/>
        <w:jc w:val="center"/>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0" distR="0">
            <wp:extent cx="934085" cy="934085"/>
            <wp:effectExtent l="0" t="0" r="18415" b="18415"/>
            <wp:docPr id="1026" name="图片 2" descr="公司微信公众号"/>
            <wp:cNvGraphicFramePr/>
            <a:graphic xmlns:a="http://schemas.openxmlformats.org/drawingml/2006/main">
              <a:graphicData uri="http://schemas.openxmlformats.org/drawingml/2006/picture">
                <pic:pic xmlns:pic="http://schemas.openxmlformats.org/drawingml/2006/picture">
                  <pic:nvPicPr>
                    <pic:cNvPr id="1026" name="图片 2" descr="公司微信公众号"/>
                    <pic:cNvPicPr/>
                  </pic:nvPicPr>
                  <pic:blipFill>
                    <a:blip r:embed="rId5" cstate="print"/>
                    <a:srcRect/>
                    <a:stretch>
                      <a:fillRect/>
                    </a:stretch>
                  </pic:blipFill>
                  <pic:spPr>
                    <a:xfrm>
                      <a:off x="0" y="0"/>
                      <a:ext cx="934085" cy="934085"/>
                    </a:xfrm>
                    <a:prstGeom prst="rect">
                      <a:avLst/>
                    </a:prstGeom>
                  </pic:spPr>
                </pic:pic>
              </a:graphicData>
            </a:graphic>
          </wp:inline>
        </w:drawing>
      </w:r>
      <w:r>
        <w:rPr>
          <w:rFonts w:hint="eastAsia" w:ascii="宋体" w:hAnsi="宋体" w:eastAsia="宋体" w:cs="宋体"/>
          <w:sz w:val="24"/>
          <w:szCs w:val="24"/>
        </w:rPr>
        <w:t xml:space="preserve">               连城县国有资产产权交易服务有限公司</w:t>
      </w:r>
    </w:p>
    <w:p w14:paraId="0FFB39B7">
      <w:pPr>
        <w:widowControl/>
        <w:ind w:firstLine="480" w:firstLineChars="200"/>
        <w:jc w:val="right"/>
        <w:rPr>
          <w:rFonts w:ascii="宋体" w:hAnsi="宋体" w:eastAsia="宋体" w:cs="宋体"/>
          <w:color w:val="0000FF"/>
          <w:sz w:val="24"/>
          <w:szCs w:val="24"/>
        </w:rPr>
      </w:pPr>
      <w:r>
        <w:rPr>
          <w:rFonts w:hint="eastAsia" w:ascii="宋体" w:hAnsi="宋体" w:eastAsia="宋体" w:cs="宋体"/>
          <w:color w:val="0000FF"/>
          <w:sz w:val="24"/>
          <w:szCs w:val="24"/>
        </w:rPr>
        <w:t>2025年</w:t>
      </w:r>
      <w:r>
        <w:rPr>
          <w:rFonts w:hint="eastAsia" w:ascii="宋体" w:hAnsi="宋体" w:eastAsia="宋体" w:cs="宋体"/>
          <w:color w:val="0000FF"/>
          <w:sz w:val="24"/>
          <w:szCs w:val="24"/>
          <w:lang w:val="en-US" w:eastAsia="zh-CN"/>
        </w:rPr>
        <w:t>4月15</w:t>
      </w:r>
      <w:r>
        <w:rPr>
          <w:rFonts w:hint="eastAsia" w:ascii="宋体" w:hAnsi="宋体" w:eastAsia="宋体" w:cs="宋体"/>
          <w:color w:val="0000FF"/>
          <w:sz w:val="24"/>
          <w:szCs w:val="24"/>
        </w:rPr>
        <w:t>日</w:t>
      </w:r>
    </w:p>
    <w:p w14:paraId="2A5D2A2B">
      <w:pPr>
        <w:rPr>
          <w:rFonts w:ascii="宋体" w:hAnsi="宋体" w:eastAsia="宋体" w:cs="宋体"/>
          <w:b/>
          <w:sz w:val="24"/>
          <w:szCs w:val="24"/>
        </w:rPr>
      </w:pPr>
      <w:r>
        <w:rPr>
          <w:rFonts w:hint="eastAsia" w:ascii="宋体" w:hAnsi="宋体" w:eastAsia="宋体" w:cs="宋体"/>
          <w:b/>
          <w:sz w:val="24"/>
          <w:szCs w:val="24"/>
        </w:rPr>
        <w:br w:type="page"/>
      </w:r>
    </w:p>
    <w:p w14:paraId="6D06FE13">
      <w:pPr>
        <w:spacing w:line="360" w:lineRule="auto"/>
        <w:ind w:firstLine="883"/>
        <w:jc w:val="center"/>
        <w:rPr>
          <w:rFonts w:ascii="宋体" w:hAnsi="宋体" w:eastAsia="宋体" w:cs="宋体"/>
          <w:b/>
          <w:sz w:val="24"/>
          <w:szCs w:val="24"/>
        </w:rPr>
      </w:pPr>
      <w:r>
        <w:rPr>
          <w:rFonts w:hint="eastAsia" w:ascii="宋体" w:hAnsi="宋体" w:eastAsia="宋体" w:cs="宋体"/>
          <w:b/>
          <w:sz w:val="24"/>
          <w:szCs w:val="24"/>
        </w:rPr>
        <w:t>承 诺 书</w:t>
      </w:r>
    </w:p>
    <w:p w14:paraId="5D08DBEC">
      <w:pPr>
        <w:spacing w:line="360" w:lineRule="auto"/>
        <w:ind w:firstLine="5040" w:firstLineChars="2100"/>
        <w:jc w:val="left"/>
        <w:rPr>
          <w:rFonts w:ascii="宋体" w:hAnsi="宋体" w:eastAsia="宋体" w:cs="宋体"/>
          <w:sz w:val="24"/>
          <w:szCs w:val="24"/>
        </w:rPr>
      </w:pPr>
    </w:p>
    <w:p w14:paraId="71B12C17">
      <w:pPr>
        <w:spacing w:before="156" w:beforeLines="50" w:line="360" w:lineRule="auto"/>
        <w:rPr>
          <w:rFonts w:ascii="宋体" w:hAnsi="宋体" w:eastAsia="宋体" w:cs="宋体"/>
          <w:sz w:val="24"/>
          <w:szCs w:val="24"/>
          <w:u w:val="single"/>
        </w:rPr>
      </w:pPr>
      <w:r>
        <w:rPr>
          <w:rFonts w:hint="eastAsia" w:ascii="宋体" w:hAnsi="宋体" w:eastAsia="宋体" w:cs="宋体"/>
          <w:b/>
          <w:bCs/>
          <w:sz w:val="24"/>
          <w:szCs w:val="24"/>
        </w:rPr>
        <w:t>连城县国有资产产权交易服务有限公司</w:t>
      </w:r>
      <w:r>
        <w:rPr>
          <w:rFonts w:hint="eastAsia" w:ascii="宋体" w:hAnsi="宋体" w:eastAsia="宋体" w:cs="宋体"/>
          <w:sz w:val="24"/>
          <w:szCs w:val="24"/>
        </w:rPr>
        <w:t>：</w:t>
      </w:r>
    </w:p>
    <w:p w14:paraId="39CA5480">
      <w:pPr>
        <w:spacing w:line="360" w:lineRule="auto"/>
        <w:rPr>
          <w:rFonts w:ascii="宋体" w:hAnsi="宋体" w:eastAsia="宋体" w:cs="宋体"/>
          <w:sz w:val="24"/>
          <w:szCs w:val="24"/>
        </w:rPr>
      </w:pPr>
      <w:r>
        <w:rPr>
          <w:rFonts w:hint="eastAsia" w:ascii="宋体" w:hAnsi="宋体" w:eastAsia="宋体" w:cs="宋体"/>
          <w:sz w:val="24"/>
          <w:szCs w:val="24"/>
        </w:rPr>
        <w:t xml:space="preserve">    本人（公司）承诺提供的报名材料真实、合法、有效，自愿报名参加贵司于</w:t>
      </w:r>
      <w:r>
        <w:rPr>
          <w:rFonts w:hint="eastAsia" w:ascii="宋体" w:hAnsi="宋体" w:eastAsia="宋体" w:cs="宋体"/>
          <w:color w:val="0000FF"/>
          <w:sz w:val="24"/>
          <w:szCs w:val="24"/>
          <w:u w:val="single"/>
        </w:rPr>
        <w:t xml:space="preserve"> 2025年</w:t>
      </w:r>
      <w:r>
        <w:rPr>
          <w:rFonts w:hint="eastAsia" w:ascii="宋体" w:hAnsi="宋体" w:eastAsia="宋体" w:cs="宋体"/>
          <w:color w:val="0000FF"/>
          <w:sz w:val="24"/>
          <w:szCs w:val="24"/>
          <w:u w:val="single"/>
          <w:lang w:val="en-US" w:eastAsia="zh-CN"/>
        </w:rPr>
        <w:t>4</w:t>
      </w:r>
      <w:r>
        <w:rPr>
          <w:rFonts w:hint="eastAsia" w:ascii="宋体" w:hAnsi="宋体" w:eastAsia="宋体" w:cs="宋体"/>
          <w:color w:val="0000FF"/>
          <w:sz w:val="24"/>
          <w:szCs w:val="24"/>
          <w:u w:val="single"/>
        </w:rPr>
        <w:t>月</w:t>
      </w:r>
      <w:r>
        <w:rPr>
          <w:rFonts w:hint="eastAsia" w:ascii="宋体" w:hAnsi="宋体" w:eastAsia="宋体" w:cs="宋体"/>
          <w:color w:val="0000FF"/>
          <w:sz w:val="24"/>
          <w:szCs w:val="24"/>
          <w:u w:val="single"/>
          <w:lang w:val="en-US" w:eastAsia="zh-CN"/>
        </w:rPr>
        <w:t>22</w:t>
      </w:r>
      <w:r>
        <w:rPr>
          <w:rFonts w:hint="eastAsia" w:ascii="宋体" w:hAnsi="宋体" w:eastAsia="宋体" w:cs="宋体"/>
          <w:color w:val="0000FF"/>
          <w:sz w:val="24"/>
          <w:szCs w:val="24"/>
          <w:u w:val="single"/>
        </w:rPr>
        <w:t>日</w:t>
      </w:r>
      <w:r>
        <w:rPr>
          <w:rFonts w:hint="eastAsia" w:ascii="宋体" w:hAnsi="宋体" w:eastAsia="宋体" w:cs="宋体"/>
          <w:sz w:val="24"/>
          <w:szCs w:val="24"/>
        </w:rPr>
        <w:t>上午举行的 “权益云反向一次报价”</w:t>
      </w:r>
      <w:r>
        <w:rPr>
          <w:rFonts w:hint="eastAsia" w:ascii="宋体" w:hAnsi="宋体" w:eastAsia="宋体" w:cs="宋体"/>
          <w:sz w:val="24"/>
          <w:szCs w:val="24"/>
          <w:u w:val="single"/>
        </w:rPr>
        <w:t>连城县普惠金融协会连城智慧法院建设服务项目</w:t>
      </w:r>
      <w:r>
        <w:rPr>
          <w:rFonts w:hint="eastAsia" w:ascii="宋体" w:hAnsi="宋体" w:eastAsia="宋体" w:cs="宋体"/>
          <w:sz w:val="24"/>
          <w:szCs w:val="24"/>
        </w:rPr>
        <w:t>竞价。收悉项目编号为</w:t>
      </w:r>
      <w:r>
        <w:rPr>
          <w:rFonts w:hint="eastAsia" w:ascii="宋体" w:hAnsi="宋体" w:eastAsia="宋体" w:cs="宋体"/>
          <w:color w:val="0000FF"/>
          <w:sz w:val="24"/>
          <w:szCs w:val="24"/>
          <w:u w:val="single"/>
          <w:lang w:eastAsia="zh-CN"/>
        </w:rPr>
        <w:t>LCCQJJ20250422</w:t>
      </w:r>
      <w:r>
        <w:rPr>
          <w:rFonts w:hint="eastAsia" w:ascii="宋体" w:hAnsi="宋体" w:eastAsia="宋体" w:cs="宋体"/>
          <w:color w:val="0000FF"/>
          <w:sz w:val="24"/>
          <w:szCs w:val="24"/>
          <w:u w:val="single"/>
        </w:rPr>
        <w:t xml:space="preserve"> </w:t>
      </w:r>
      <w:r>
        <w:rPr>
          <w:rFonts w:hint="eastAsia" w:ascii="宋体" w:hAnsi="宋体" w:eastAsia="宋体" w:cs="宋体"/>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1A3CFA03">
      <w:pPr>
        <w:spacing w:line="440" w:lineRule="exact"/>
        <w:rPr>
          <w:rFonts w:ascii="宋体" w:hAnsi="宋体" w:eastAsia="宋体" w:cs="宋体"/>
          <w:sz w:val="24"/>
          <w:szCs w:val="24"/>
        </w:rPr>
      </w:pPr>
    </w:p>
    <w:p w14:paraId="13E8346E">
      <w:pPr>
        <w:spacing w:line="440" w:lineRule="exact"/>
        <w:rPr>
          <w:rFonts w:ascii="宋体" w:hAnsi="宋体" w:eastAsia="宋体" w:cs="宋体"/>
          <w:sz w:val="24"/>
          <w:szCs w:val="24"/>
        </w:rPr>
      </w:pPr>
    </w:p>
    <w:p w14:paraId="268ECBB5">
      <w:pPr>
        <w:spacing w:line="440" w:lineRule="exact"/>
        <w:rPr>
          <w:rFonts w:ascii="宋体" w:hAnsi="宋体" w:eastAsia="宋体" w:cs="宋体"/>
          <w:sz w:val="24"/>
          <w:szCs w:val="24"/>
        </w:rPr>
      </w:pPr>
    </w:p>
    <w:p w14:paraId="2A4BA913">
      <w:pPr>
        <w:spacing w:line="440" w:lineRule="exact"/>
        <w:rPr>
          <w:rFonts w:ascii="宋体" w:hAnsi="宋体" w:eastAsia="宋体" w:cs="宋体"/>
          <w:sz w:val="24"/>
          <w:szCs w:val="24"/>
        </w:rPr>
      </w:pPr>
    </w:p>
    <w:p w14:paraId="471A5616">
      <w:pPr>
        <w:spacing w:line="440" w:lineRule="exact"/>
        <w:ind w:firstLine="3840" w:firstLineChars="1600"/>
        <w:rPr>
          <w:rFonts w:ascii="宋体" w:hAnsi="宋体" w:eastAsia="宋体" w:cs="宋体"/>
          <w:sz w:val="24"/>
          <w:szCs w:val="24"/>
        </w:rPr>
      </w:pPr>
      <w:r>
        <w:rPr>
          <w:rFonts w:hint="eastAsia" w:ascii="宋体" w:hAnsi="宋体" w:eastAsia="宋体" w:cs="宋体"/>
          <w:sz w:val="24"/>
          <w:szCs w:val="24"/>
        </w:rPr>
        <w:t>承诺人（申请人签章）：</w:t>
      </w:r>
    </w:p>
    <w:p w14:paraId="12AFC591">
      <w:pPr>
        <w:spacing w:line="440" w:lineRule="exact"/>
        <w:rPr>
          <w:rFonts w:ascii="宋体" w:hAnsi="宋体" w:eastAsia="宋体" w:cs="宋体"/>
          <w:sz w:val="24"/>
          <w:szCs w:val="24"/>
        </w:rPr>
      </w:pPr>
    </w:p>
    <w:p w14:paraId="7A156DA9">
      <w:pPr>
        <w:spacing w:line="440" w:lineRule="exact"/>
        <w:ind w:firstLine="3840" w:firstLineChars="1600"/>
        <w:rPr>
          <w:rFonts w:ascii="宋体" w:hAnsi="宋体" w:eastAsia="宋体" w:cs="宋体"/>
          <w:sz w:val="24"/>
          <w:szCs w:val="24"/>
        </w:rPr>
      </w:pPr>
      <w:r>
        <w:rPr>
          <w:rFonts w:hint="eastAsia" w:ascii="宋体" w:hAnsi="宋体" w:eastAsia="宋体" w:cs="宋体"/>
          <w:sz w:val="24"/>
          <w:szCs w:val="24"/>
        </w:rPr>
        <w:t xml:space="preserve">法定代表人或授权代理人（签章）： </w:t>
      </w:r>
    </w:p>
    <w:p w14:paraId="5D8EF36B">
      <w:pPr>
        <w:spacing w:line="440" w:lineRule="exact"/>
        <w:rPr>
          <w:rFonts w:ascii="宋体" w:hAnsi="宋体" w:eastAsia="宋体" w:cs="宋体"/>
          <w:sz w:val="24"/>
          <w:szCs w:val="24"/>
        </w:rPr>
      </w:pPr>
    </w:p>
    <w:p w14:paraId="6F32D481">
      <w:pPr>
        <w:spacing w:line="440" w:lineRule="exact"/>
        <w:ind w:firstLine="3840" w:firstLineChars="1600"/>
        <w:rPr>
          <w:rFonts w:ascii="宋体" w:hAnsi="宋体" w:eastAsia="宋体" w:cs="宋体"/>
          <w:sz w:val="24"/>
          <w:szCs w:val="24"/>
        </w:rPr>
      </w:pPr>
      <w:r>
        <w:rPr>
          <w:rFonts w:hint="eastAsia" w:ascii="宋体" w:hAnsi="宋体" w:eastAsia="宋体" w:cs="宋体"/>
          <w:sz w:val="24"/>
          <w:szCs w:val="24"/>
        </w:rPr>
        <w:t>联系电话：</w:t>
      </w:r>
    </w:p>
    <w:p w14:paraId="69F79210">
      <w:pPr>
        <w:spacing w:line="440" w:lineRule="exact"/>
        <w:rPr>
          <w:rFonts w:ascii="宋体" w:hAnsi="宋体" w:eastAsia="宋体" w:cs="宋体"/>
          <w:sz w:val="24"/>
          <w:szCs w:val="24"/>
        </w:rPr>
      </w:pPr>
    </w:p>
    <w:p w14:paraId="6ED2DF34">
      <w:pPr>
        <w:spacing w:line="440" w:lineRule="exact"/>
        <w:jc w:val="right"/>
        <w:rPr>
          <w:rFonts w:ascii="宋体" w:hAnsi="宋体" w:eastAsia="宋体" w:cs="宋体"/>
          <w:b/>
          <w:bCs/>
          <w:sz w:val="28"/>
          <w:szCs w:val="28"/>
        </w:rPr>
      </w:pPr>
      <w:r>
        <w:rPr>
          <w:rFonts w:hint="eastAsia" w:ascii="宋体" w:hAnsi="宋体" w:eastAsia="宋体" w:cs="宋体"/>
          <w:sz w:val="24"/>
          <w:szCs w:val="24"/>
        </w:rPr>
        <w:t>年    月    日</w:t>
      </w:r>
    </w:p>
    <w:p w14:paraId="33AF49D3">
      <w:pPr>
        <w:rPr>
          <w:rFonts w:ascii="Calibri" w:hAnsi="Calibri" w:eastAsia="宋体" w:cs="Arial"/>
          <w:b/>
          <w:bCs/>
          <w:sz w:val="32"/>
          <w:szCs w:val="36"/>
        </w:rPr>
      </w:pPr>
    </w:p>
    <w:p w14:paraId="1F47A804">
      <w:pPr>
        <w:rPr>
          <w:rFonts w:ascii="Calibri" w:hAnsi="Calibri" w:eastAsia="宋体" w:cs="Arial"/>
          <w:szCs w:val="22"/>
        </w:rPr>
      </w:pPr>
    </w:p>
    <w:p w14:paraId="19EFDE1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A33DB">
    <w:pPr>
      <w:widowControl/>
      <w:shd w:val="clear" w:color="auto" w:fill="FFFFFF"/>
      <w:snapToGrid w:val="0"/>
      <w:spacing w:line="580" w:lineRule="exact"/>
      <w:rPr>
        <w:rFonts w:ascii="Calibri" w:hAnsi="Calibri" w:eastAsia="宋体" w:cs="Arial"/>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2746B"/>
    <w:multiLevelType w:val="singleLevel"/>
    <w:tmpl w:val="6E62746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61028"/>
    <w:rsid w:val="30EE5313"/>
    <w:rsid w:val="4AF61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4161</Words>
  <Characters>4519</Characters>
  <Lines>0</Lines>
  <Paragraphs>0</Paragraphs>
  <TotalTime>0</TotalTime>
  <ScaleCrop>false</ScaleCrop>
  <LinksUpToDate>false</LinksUpToDate>
  <CharactersWithSpaces>4582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2025-04-15T01:13:00Z</dcterms:created>
  <dc:creator>土豆排骨的滋味</dc:creator>
  <cp:lastModifiedBy>土豆排骨的滋味</cp:lastModifiedBy>
  <dcterms:modified xsi:type="dcterms:W3CDTF">2025-04-15T02:17:01Z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F3E95B4A37C14E369BD910017EA58375_11</vt:lpwstr>
  </property>
  <property fmtid="{D5CDD505-2E9C-101B-9397-08002B2CF9AE}" pid="4" name="KSOTemplateDocerSaveRecord">
    <vt:lpwstr>eyJoZGlkIjoiOGM1MWM1MGQ5NzM2ZmQyZjM0M2FkMTA1ZTQzZTljNTAiLCJ1c2VySWQiOiIxMTA2MzUwMTgxIn0=</vt:lpwstr>
  </property>
</Properties>
</file>