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75FE">
      <w:pPr>
        <w:jc w:val="center"/>
        <w:rPr>
          <w:rFonts w:hint="default" w:ascii="Times New Roman" w:hAnsi="Times New Roman" w:eastAsia="宋体" w:cs="Times New Roman"/>
          <w:b/>
          <w:color w:val="auto"/>
          <w:sz w:val="32"/>
          <w:szCs w:val="32"/>
        </w:rPr>
      </w:pPr>
      <w:bookmarkStart w:id="0" w:name="_GoBack"/>
      <w:r>
        <w:rPr>
          <w:rFonts w:hint="default" w:ascii="Times New Roman" w:hAnsi="Times New Roman" w:eastAsia="宋体" w:cs="Times New Roman"/>
          <w:b/>
          <w:color w:val="auto"/>
          <w:sz w:val="32"/>
          <w:szCs w:val="32"/>
          <w:lang w:val="en-US" w:eastAsia="zh-CN"/>
        </w:rPr>
        <w:t>水稻</w:t>
      </w:r>
      <w:r>
        <w:rPr>
          <w:rFonts w:hint="default" w:ascii="Times New Roman" w:hAnsi="Times New Roman" w:eastAsia="宋体" w:cs="Times New Roman"/>
          <w:b/>
          <w:color w:val="auto"/>
          <w:sz w:val="32"/>
          <w:szCs w:val="32"/>
        </w:rPr>
        <w:t>种植技术服务协议</w:t>
      </w:r>
    </w:p>
    <w:p w14:paraId="25830F37">
      <w:pPr>
        <w:jc w:val="center"/>
        <w:rPr>
          <w:rFonts w:hint="default" w:ascii="Times New Roman" w:hAnsi="Times New Roman" w:eastAsia="宋体" w:cs="Times New Roman"/>
          <w:b/>
          <w:color w:val="auto"/>
          <w:sz w:val="32"/>
          <w:szCs w:val="32"/>
        </w:rPr>
      </w:pPr>
    </w:p>
    <w:p w14:paraId="0888F344">
      <w:pPr>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lang w:val="en-US" w:eastAsia="zh-CN"/>
        </w:rPr>
        <w:t>甲方（服务提供方）：</w:t>
      </w:r>
      <w:r>
        <w:rPr>
          <w:rFonts w:hint="eastAsia" w:ascii="Times New Roman" w:hAnsi="Times New Roman" w:eastAsia="仿宋" w:cs="Times New Roman"/>
          <w:color w:val="auto"/>
          <w:sz w:val="32"/>
          <w:szCs w:val="32"/>
          <w:u w:val="single"/>
          <w:lang w:val="en-US" w:eastAsia="zh-CN"/>
        </w:rPr>
        <w:t xml:space="preserve">                  </w:t>
      </w:r>
    </w:p>
    <w:p w14:paraId="7043F5E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统一社会信用代码：__________________</w:t>
      </w:r>
    </w:p>
    <w:p w14:paraId="3D2361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法定代表人：__________________</w:t>
      </w:r>
    </w:p>
    <w:p w14:paraId="401345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地址：__________________</w:t>
      </w:r>
    </w:p>
    <w:p w14:paraId="653B497F">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联系电话：__________________</w:t>
      </w:r>
    </w:p>
    <w:p w14:paraId="67E7E9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乙方（服务接受方）：</w:t>
      </w:r>
      <w:r>
        <w:rPr>
          <w:rFonts w:hint="default" w:ascii="Times New Roman" w:hAnsi="Times New Roman" w:eastAsia="仿宋" w:cs="Times New Roman"/>
          <w:color w:val="auto"/>
          <w:sz w:val="32"/>
          <w:szCs w:val="32"/>
          <w:u w:val="single"/>
          <w:lang w:val="en-US" w:eastAsia="zh-CN"/>
        </w:rPr>
        <w:t>福建省莲景园林绿化有限公司</w:t>
      </w:r>
    </w:p>
    <w:p w14:paraId="2DD646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统一社会信用代码：__________________</w:t>
      </w:r>
    </w:p>
    <w:p w14:paraId="1FBEFF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法定代表人：__________________</w:t>
      </w:r>
    </w:p>
    <w:p w14:paraId="4463633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地址：__________________</w:t>
      </w:r>
    </w:p>
    <w:p w14:paraId="62A301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联系电话：__________________</w:t>
      </w:r>
    </w:p>
    <w:p w14:paraId="3D13757E">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lang w:val="en-US" w:eastAsia="zh-CN"/>
        </w:rPr>
        <w:t>鉴于甲方具备专业的水稻生产技术服务能力，乙方在姑田、</w:t>
      </w:r>
      <w:r>
        <w:rPr>
          <w:rFonts w:hint="eastAsia" w:ascii="Times New Roman" w:hAnsi="Times New Roman" w:eastAsia="仿宋" w:cs="Times New Roman"/>
          <w:color w:val="auto"/>
          <w:sz w:val="32"/>
          <w:szCs w:val="32"/>
          <w:lang w:val="en-US" w:eastAsia="zh-CN"/>
        </w:rPr>
        <w:t>曲</w:t>
      </w:r>
      <w:r>
        <w:rPr>
          <w:rFonts w:hint="default" w:ascii="Times New Roman" w:hAnsi="Times New Roman" w:eastAsia="仿宋" w:cs="Times New Roman"/>
          <w:color w:val="auto"/>
          <w:sz w:val="32"/>
          <w:szCs w:val="32"/>
          <w:lang w:val="en-US" w:eastAsia="zh-CN"/>
        </w:rPr>
        <w:t>溪、揭乐等</w:t>
      </w:r>
      <w:r>
        <w:rPr>
          <w:rFonts w:hint="default" w:ascii="Times New Roman" w:hAnsi="Times New Roman" w:eastAsia="仿宋" w:cs="Times New Roman"/>
          <w:color w:val="auto"/>
          <w:sz w:val="32"/>
          <w:szCs w:val="32"/>
          <w:highlight w:val="none"/>
          <w:lang w:val="en-US" w:eastAsia="zh-CN"/>
        </w:rPr>
        <w:t>片区从事优质稻生产，为更好地服务</w:t>
      </w:r>
      <w:r>
        <w:rPr>
          <w:rFonts w:hint="eastAsia" w:ascii="Times New Roman" w:hAnsi="Times New Roman" w:eastAsia="仿宋" w:cs="Times New Roman"/>
          <w:color w:val="auto"/>
          <w:sz w:val="32"/>
          <w:szCs w:val="32"/>
          <w:highlight w:val="none"/>
          <w:lang w:val="en-US" w:eastAsia="zh-CN"/>
        </w:rPr>
        <w:t>各</w:t>
      </w:r>
      <w:r>
        <w:rPr>
          <w:rFonts w:hint="default" w:ascii="Times New Roman" w:hAnsi="Times New Roman" w:eastAsia="仿宋" w:cs="Times New Roman"/>
          <w:color w:val="auto"/>
          <w:sz w:val="32"/>
          <w:szCs w:val="32"/>
          <w:highlight w:val="none"/>
          <w:lang w:val="en-US" w:eastAsia="zh-CN"/>
        </w:rPr>
        <w:t>片区优质稻生产的发展，促进水稻生产提质增效，经双方友好协商，依据《中华人民共和国民法典》等相关法律法</w:t>
      </w:r>
      <w:r>
        <w:rPr>
          <w:rFonts w:hint="eastAsia" w:ascii="Times New Roman" w:hAnsi="Times New Roman" w:eastAsia="仿宋" w:cs="Times New Roman"/>
          <w:color w:val="auto"/>
          <w:sz w:val="32"/>
          <w:szCs w:val="32"/>
          <w:highlight w:val="none"/>
          <w:lang w:val="en-US" w:eastAsia="zh-CN"/>
        </w:rPr>
        <w:tab/>
      </w:r>
      <w:r>
        <w:rPr>
          <w:rFonts w:hint="default" w:ascii="Times New Roman" w:hAnsi="Times New Roman" w:eastAsia="仿宋" w:cs="Times New Roman"/>
          <w:color w:val="auto"/>
          <w:sz w:val="32"/>
          <w:szCs w:val="32"/>
          <w:highlight w:val="none"/>
          <w:lang w:val="en-US" w:eastAsia="zh-CN"/>
        </w:rPr>
        <w:t>规的规定，达成如下技术服务协议：</w:t>
      </w:r>
    </w:p>
    <w:p w14:paraId="06E09E10">
      <w:pPr>
        <w:ind w:firstLine="640"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一、服务内容：</w:t>
      </w:r>
    </w:p>
    <w:p w14:paraId="22656E02">
      <w:pPr>
        <w:ind w:firstLine="640" w:firstLineChars="200"/>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highlight w:val="none"/>
        </w:rPr>
        <w:t>甲方为乙方提供全程技术指导与服务，具体涵盖协助乙方管理</w:t>
      </w:r>
      <w:r>
        <w:rPr>
          <w:rFonts w:hint="eastAsia" w:ascii="Times New Roman" w:hAnsi="Times New Roman" w:eastAsia="仿宋" w:cs="Times New Roman"/>
          <w:color w:val="auto"/>
          <w:sz w:val="32"/>
          <w:szCs w:val="32"/>
          <w:highlight w:val="none"/>
          <w:lang w:val="en-US" w:eastAsia="zh-CN"/>
        </w:rPr>
        <w:t>水稻</w:t>
      </w:r>
      <w:r>
        <w:rPr>
          <w:rFonts w:hint="default" w:ascii="Times New Roman" w:hAnsi="Times New Roman" w:eastAsia="仿宋" w:cs="Times New Roman"/>
          <w:color w:val="auto"/>
          <w:sz w:val="32"/>
          <w:szCs w:val="32"/>
          <w:highlight w:val="none"/>
        </w:rPr>
        <w:t>生产过程中的各个环节</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乙方</w:t>
      </w:r>
      <w:r>
        <w:rPr>
          <w:rFonts w:hint="eastAsia" w:ascii="Times New Roman" w:hAnsi="Times New Roman" w:eastAsia="仿宋" w:cs="Times New Roman"/>
          <w:color w:val="auto"/>
          <w:sz w:val="32"/>
          <w:szCs w:val="32"/>
          <w:highlight w:val="none"/>
          <w:lang w:eastAsia="zh-CN"/>
        </w:rPr>
        <w:t>种植的连城县各片区水</w:t>
      </w:r>
      <w:r>
        <w:rPr>
          <w:rFonts w:hint="eastAsia" w:ascii="Times New Roman" w:hAnsi="Times New Roman" w:eastAsia="仿宋" w:cs="Times New Roman"/>
          <w:color w:val="auto"/>
          <w:sz w:val="32"/>
          <w:szCs w:val="32"/>
          <w:lang w:eastAsia="zh-CN"/>
        </w:rPr>
        <w:t>稻生产技术由成交人提供全面技术指导，</w:t>
      </w:r>
      <w:r>
        <w:rPr>
          <w:rFonts w:hint="default" w:ascii="Times New Roman" w:hAnsi="Times New Roman" w:eastAsia="仿宋" w:cs="Times New Roman"/>
          <w:color w:val="auto"/>
          <w:sz w:val="32"/>
          <w:szCs w:val="32"/>
        </w:rPr>
        <w:t>包括但不限于</w:t>
      </w:r>
      <w:r>
        <w:rPr>
          <w:rFonts w:hint="eastAsia" w:ascii="Times New Roman" w:hAnsi="Times New Roman" w:eastAsia="仿宋" w:cs="Times New Roman"/>
          <w:color w:val="auto"/>
          <w:sz w:val="32"/>
          <w:szCs w:val="32"/>
          <w:lang w:val="en-US" w:eastAsia="zh-CN"/>
        </w:rPr>
        <w:t>:</w:t>
      </w:r>
    </w:p>
    <w:p w14:paraId="2323C3F4">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农机设备使用及保管维修</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依种植规模等，提供设备选型建议。培训操作人员，制定使用规章并调度设备。指导设备存放、保养，定期检查维护，及时维修故障设备。</w:t>
      </w:r>
    </w:p>
    <w:p w14:paraId="03F525F6">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化肥农药使用管理</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据土壤肥力、水稻品种与阶段，制定施肥方案。依病虫害情况选农药并推荐新技术。指导工人正确使用，控制剂量，监测农药残留，保障安全。</w:t>
      </w:r>
    </w:p>
    <w:p w14:paraId="02B1374B">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育秧设施使用管理</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定期检查维护育秧设施，调控设施内温、湿、光环境。传授育秧技术，做好设施卫生与消毒。</w:t>
      </w:r>
    </w:p>
    <w:p w14:paraId="35AA58BA">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二、责任与赔偿</w:t>
      </w:r>
    </w:p>
    <w:p w14:paraId="303B224C">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若甲方因技术指导出现错误而导致乙方遭受损失，甲方应承担相应的损失赔偿责任。赔偿范围包括但不限于因错误指导造成的直接经济损失，如农作物减产、农资浪费等。</w:t>
      </w:r>
    </w:p>
    <w:p w14:paraId="1A3A1898">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若乙方未按照甲方技术指导要求操作而产生的一切损失，均由乙方自行承担。乙方应遵循甲方在种植时间、种植密度、施肥用药量等方面的指导，若因乙方擅自更改操作方式导致损失，甲方不承担任何责任。</w:t>
      </w:r>
    </w:p>
    <w:p w14:paraId="2B24FE86">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三、产量保证与验收</w:t>
      </w:r>
    </w:p>
    <w:p w14:paraId="07CC1CAE">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甲方确保本片区稻谷平均亩产量</w:t>
      </w:r>
      <w:r>
        <w:rPr>
          <w:rFonts w:hint="default" w:ascii="Times New Roman" w:hAnsi="Times New Roman" w:eastAsia="仿宋" w:cs="Times New Roman"/>
          <w:color w:val="auto"/>
          <w:sz w:val="32"/>
          <w:szCs w:val="32"/>
          <w:lang w:eastAsia="zh-CN"/>
        </w:rPr>
        <w:t>要求：</w:t>
      </w:r>
    </w:p>
    <w:p w14:paraId="1CF8B3FC">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早稻：</w:t>
      </w:r>
      <w:r>
        <w:rPr>
          <w:rFonts w:hint="default" w:ascii="Times New Roman" w:hAnsi="Times New Roman" w:eastAsia="仿宋" w:cs="Times New Roman"/>
          <w:color w:val="auto"/>
          <w:sz w:val="32"/>
          <w:szCs w:val="32"/>
        </w:rPr>
        <w:t>不低于800斤。</w:t>
      </w:r>
    </w:p>
    <w:p w14:paraId="3C04CB3A">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中稻：不低于</w:t>
      </w:r>
      <w:r>
        <w:rPr>
          <w:rFonts w:hint="eastAsia" w:ascii="Times New Roman" w:hAnsi="Times New Roman" w:eastAsia="仿宋" w:cs="Times New Roman"/>
          <w:color w:val="auto"/>
          <w:sz w:val="32"/>
          <w:szCs w:val="32"/>
          <w:lang w:val="en-US" w:eastAsia="zh-CN"/>
        </w:rPr>
        <w:t>1000斤。</w:t>
      </w:r>
    </w:p>
    <w:p w14:paraId="6A570E41">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晚稻：不低于</w:t>
      </w:r>
      <w:r>
        <w:rPr>
          <w:rFonts w:hint="eastAsia" w:ascii="Times New Roman" w:hAnsi="Times New Roman" w:eastAsia="仿宋" w:cs="Times New Roman"/>
          <w:color w:val="auto"/>
          <w:sz w:val="32"/>
          <w:szCs w:val="32"/>
          <w:lang w:val="en-US" w:eastAsia="zh-CN"/>
        </w:rPr>
        <w:t>850斤。</w:t>
      </w:r>
    </w:p>
    <w:p w14:paraId="03ABED95">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稻谷产量在收获时，双方共同邀请连城县农业专家进行现场测产验收。测产验收的具体流程和标准应按照连城县农业主管部门认可的常规方法执行。测产结果需经双方及专家签字确认。</w:t>
      </w:r>
    </w:p>
    <w:p w14:paraId="5E1DB84A">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若最终测产的稻谷平均亩产量低于上述对应要求产量的 10%，则乙方所收取的技术服务费需按相应比例扣除</w:t>
      </w:r>
      <w:r>
        <w:rPr>
          <w:rFonts w:hint="default" w:ascii="Times New Roman" w:hAnsi="Times New Roman" w:eastAsia="仿宋" w:cs="Times New Roman"/>
          <w:color w:val="auto"/>
          <w:sz w:val="32"/>
          <w:szCs w:val="32"/>
        </w:rPr>
        <w:t>。扣除比例计算方式为：（要求产量 - 实际产量）÷ 要求产量 ×100%。</w:t>
      </w:r>
    </w:p>
    <w:p w14:paraId="49D01D50">
      <w:pPr>
        <w:ind w:firstLine="640" w:firstLineChars="20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val="en-US" w:eastAsia="zh-CN"/>
        </w:rPr>
        <w:t>联络</w:t>
      </w:r>
    </w:p>
    <w:p w14:paraId="71192918">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甲乙</w:t>
      </w:r>
      <w:r>
        <w:rPr>
          <w:rFonts w:hint="eastAsia" w:ascii="Times New Roman" w:hAnsi="Times New Roman" w:eastAsia="仿宋" w:cs="Times New Roman"/>
          <w:color w:val="auto"/>
          <w:sz w:val="32"/>
          <w:szCs w:val="32"/>
        </w:rPr>
        <w:t>双方应就合同履行中有关的事项及时进行联络，重要事项应通过书面形式进行联络。</w:t>
      </w:r>
    </w:p>
    <w:p w14:paraId="27491F7F">
      <w:pPr>
        <w:ind w:firstLine="640" w:firstLineChars="200"/>
        <w:rPr>
          <w:rFonts w:hint="default" w:ascii="Times New Roman" w:hAnsi="Times New Roman" w:eastAsia="仿宋" w:cs="Times New Roman"/>
          <w:color w:val="auto"/>
          <w:sz w:val="32"/>
          <w:szCs w:val="32"/>
          <w:u w:val="none"/>
        </w:rPr>
      </w:pPr>
      <w:r>
        <w:rPr>
          <w:rFonts w:hint="eastAsia" w:ascii="Times New Roman" w:hAnsi="Times New Roman" w:eastAsia="仿宋" w:cs="Times New Roman"/>
          <w:color w:val="auto"/>
          <w:sz w:val="32"/>
          <w:szCs w:val="32"/>
          <w:u w:val="none"/>
        </w:rPr>
        <w:t>联系人（</w:t>
      </w:r>
      <w:r>
        <w:rPr>
          <w:rFonts w:hint="eastAsia" w:ascii="Times New Roman" w:hAnsi="Times New Roman" w:eastAsia="仿宋" w:cs="Times New Roman"/>
          <w:color w:val="auto"/>
          <w:sz w:val="32"/>
          <w:szCs w:val="32"/>
          <w:u w:val="none"/>
          <w:lang w:val="en-US" w:eastAsia="zh-CN"/>
        </w:rPr>
        <w:t>甲</w:t>
      </w:r>
      <w:r>
        <w:rPr>
          <w:rFonts w:hint="eastAsia" w:ascii="Times New Roman" w:hAnsi="Times New Roman" w:eastAsia="仿宋" w:cs="Times New Roman"/>
          <w:color w:val="auto"/>
          <w:sz w:val="32"/>
          <w:szCs w:val="32"/>
          <w:u w:val="none"/>
        </w:rPr>
        <w:t>方）：</w:t>
      </w:r>
      <w:r>
        <w:rPr>
          <w:rFonts w:hint="eastAsia"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none"/>
        </w:rPr>
        <w:t>联系方式</w:t>
      </w:r>
      <w:r>
        <w:rPr>
          <w:rFonts w:hint="eastAsia" w:ascii="Times New Roman" w:hAnsi="Times New Roman" w:eastAsia="仿宋" w:cs="Times New Roman"/>
          <w:color w:val="auto"/>
          <w:sz w:val="32"/>
          <w:szCs w:val="32"/>
          <w:u w:val="none"/>
          <w:lang w:eastAsia="zh-CN"/>
        </w:rPr>
        <w:t>：</w:t>
      </w:r>
      <w:r>
        <w:rPr>
          <w:rFonts w:hint="eastAsia"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none"/>
        </w:rPr>
        <w:t>；</w:t>
      </w:r>
    </w:p>
    <w:p w14:paraId="2B6AC91B">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u w:val="none"/>
        </w:rPr>
        <w:t>联系人（</w:t>
      </w:r>
      <w:r>
        <w:rPr>
          <w:rFonts w:hint="eastAsia" w:ascii="Times New Roman" w:hAnsi="Times New Roman" w:eastAsia="仿宋" w:cs="Times New Roman"/>
          <w:color w:val="auto"/>
          <w:sz w:val="32"/>
          <w:szCs w:val="32"/>
          <w:u w:val="none"/>
          <w:lang w:val="en-US" w:eastAsia="zh-CN"/>
        </w:rPr>
        <w:t>乙</w:t>
      </w:r>
      <w:r>
        <w:rPr>
          <w:rFonts w:hint="eastAsia" w:ascii="Times New Roman" w:hAnsi="Times New Roman" w:eastAsia="仿宋" w:cs="Times New Roman"/>
          <w:color w:val="auto"/>
          <w:sz w:val="32"/>
          <w:szCs w:val="32"/>
          <w:u w:val="none"/>
        </w:rPr>
        <w:t>方）：</w:t>
      </w:r>
      <w:r>
        <w:rPr>
          <w:rFonts w:hint="eastAsia"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none"/>
        </w:rPr>
        <w:t>联系方式：</w:t>
      </w:r>
      <w:r>
        <w:rPr>
          <w:rFonts w:hint="eastAsia"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none"/>
        </w:rPr>
        <w:t>。</w:t>
      </w:r>
    </w:p>
    <w:p w14:paraId="29F08807">
      <w:pPr>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甲方</w:t>
      </w:r>
      <w:r>
        <w:rPr>
          <w:rFonts w:hint="eastAsia" w:ascii="Times New Roman" w:hAnsi="Times New Roman" w:eastAsia="仿宋" w:cs="Times New Roman"/>
          <w:color w:val="auto"/>
          <w:sz w:val="32"/>
          <w:szCs w:val="32"/>
        </w:rPr>
        <w:t>可以安排相关人员参加</w:t>
      </w:r>
      <w:r>
        <w:rPr>
          <w:rFonts w:hint="eastAsia" w:ascii="Times New Roman" w:hAnsi="Times New Roman" w:eastAsia="仿宋" w:cs="Times New Roman"/>
          <w:color w:val="auto"/>
          <w:sz w:val="32"/>
          <w:szCs w:val="32"/>
          <w:lang w:val="en-US" w:eastAsia="zh-CN"/>
        </w:rPr>
        <w:t>设备设施化肥农药</w:t>
      </w:r>
      <w:r>
        <w:rPr>
          <w:rFonts w:hint="eastAsia" w:ascii="Times New Roman" w:hAnsi="Times New Roman" w:eastAsia="仿宋" w:cs="Times New Roman"/>
          <w:color w:val="auto"/>
          <w:sz w:val="32"/>
          <w:szCs w:val="32"/>
        </w:rPr>
        <w:t>的检验和验收等。</w:t>
      </w:r>
    </w:p>
    <w:p w14:paraId="1A42351E">
      <w:pPr>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五、服务费用及支付方式</w:t>
      </w:r>
    </w:p>
    <w:p w14:paraId="5266D166">
      <w:pPr>
        <w:ind w:firstLine="640" w:firstLineChars="200"/>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1.服务费用</w:t>
      </w:r>
      <w:r>
        <w:rPr>
          <w:rFonts w:hint="eastAsia" w:ascii="Times New Roman" w:hAnsi="Times New Roman" w:eastAsia="仿宋" w:cs="Times New Roman"/>
          <w:color w:val="auto"/>
          <w:sz w:val="32"/>
          <w:szCs w:val="32"/>
          <w:lang w:val="en-US" w:eastAsia="zh-CN"/>
        </w:rPr>
        <w:t>：</w:t>
      </w:r>
    </w:p>
    <w:p w14:paraId="5B77980A">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每季水</w:t>
      </w:r>
      <w:r>
        <w:rPr>
          <w:rFonts w:hint="default" w:ascii="Times New Roman" w:hAnsi="Times New Roman" w:eastAsia="仿宋" w:cs="Times New Roman"/>
          <w:color w:val="auto"/>
          <w:sz w:val="32"/>
          <w:szCs w:val="32"/>
          <w:lang w:val="en-US" w:eastAsia="zh-CN"/>
        </w:rPr>
        <w:t xml:space="preserve">稻的服务费用为 </w:t>
      </w:r>
      <w:r>
        <w:rPr>
          <w:rFonts w:hint="eastAsia"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lang w:val="en-US" w:eastAsia="zh-CN"/>
        </w:rPr>
        <w:t>元</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亩</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种植面积约2000亩，</w:t>
      </w:r>
      <w:r>
        <w:rPr>
          <w:rFonts w:hint="default" w:ascii="Times New Roman" w:hAnsi="Times New Roman" w:eastAsia="仿宋" w:cs="Times New Roman"/>
          <w:color w:val="auto"/>
          <w:sz w:val="32"/>
          <w:szCs w:val="32"/>
          <w:lang w:val="en-US" w:eastAsia="zh-CN"/>
        </w:rPr>
        <w:t>以当年各片区实际种植面积为准。</w:t>
      </w:r>
    </w:p>
    <w:p w14:paraId="0AF525A8">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2.付款方式如下：</w:t>
      </w:r>
    </w:p>
    <w:p w14:paraId="37CCA783">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（1）第一期付款：在早稻种植开始后，乙方需按照早稻种植面积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元/亩×50%支付技术服务费。</w:t>
      </w:r>
    </w:p>
    <w:p w14:paraId="1505B48D">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（2）第二期付款：在中稻种植开始后，乙方需按照中稻种植面积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元/亩×50%支付技术服务费。</w:t>
      </w:r>
    </w:p>
    <w:p w14:paraId="735AEBC4">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（3）第三期付款：在早稻收成后，乙方应支付早稻种植剩余技术服务费（早稻种植面积×</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w:t>
      </w:r>
    </w:p>
    <w:p w14:paraId="14DCB59E">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（4）第四期付款：在晚稻种植开始后，乙方需按照晚稻种植面积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元/亩×50%支付技术服务费。</w:t>
      </w:r>
    </w:p>
    <w:p w14:paraId="60F49913">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（5）第五期付款：在中稻、晚稻收成后，乙方应支付中稻、晚稻种植剩余技术服务费（中稻种植面积 ×</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元/亩×50%+晚稻种植面积×</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元/亩×50%）。</w:t>
      </w:r>
    </w:p>
    <w:p w14:paraId="7CDF12FF">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注：如最终测产的稻谷平均亩产量低于对应要求产量的10%时，第三期、第五期付款应根据扣除比例扣除相应技术服务费。</w:t>
      </w:r>
    </w:p>
    <w:p w14:paraId="6A3C0E82">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甲方账户信息：</w:t>
      </w:r>
    </w:p>
    <w:p w14:paraId="4D6C050D">
      <w:pPr>
        <w:ind w:firstLine="640" w:firstLineChars="200"/>
        <w:rPr>
          <w:rFonts w:hint="default" w:ascii="Times New Roman" w:hAnsi="Times New Roman" w:eastAsia="仿宋" w:cs="Times New Roman"/>
          <w:color w:val="auto"/>
          <w:sz w:val="32"/>
          <w:szCs w:val="32"/>
          <w:u w:val="single"/>
          <w:lang w:val="en-US" w:eastAsia="zh-CN"/>
        </w:rPr>
      </w:pPr>
      <w:r>
        <w:rPr>
          <w:rFonts w:hint="eastAsia" w:ascii="Times New Roman" w:hAnsi="Times New Roman" w:eastAsia="仿宋" w:cs="Times New Roman"/>
          <w:color w:val="auto"/>
          <w:sz w:val="32"/>
          <w:szCs w:val="32"/>
          <w:u w:val="single"/>
          <w:lang w:val="en-US" w:eastAsia="zh-CN"/>
        </w:rPr>
        <w:t xml:space="preserve">账户名称：            开户行：       账号：           </w:t>
      </w:r>
    </w:p>
    <w:p w14:paraId="5A607FE7">
      <w:pPr>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六、免责条款</w:t>
      </w:r>
    </w:p>
    <w:p w14:paraId="677D2249">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因灌溉用水缺乏或其他不可抗拒因素（如自然灾害、政府政策重大调整等）造成的损失，双方互不承担损失赔偿责任。但受不可抗力影响的一方应在不可抗力事件发生后及时通知对方，并提供相关证明文件。</w:t>
      </w:r>
    </w:p>
    <w:p w14:paraId="46D717A6">
      <w:pPr>
        <w:ind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协议期限</w:t>
      </w:r>
    </w:p>
    <w:p w14:paraId="38928BC2">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本协议的有效期限自</w:t>
      </w:r>
      <w:r>
        <w:rPr>
          <w:rFonts w:hint="default" w:ascii="Times New Roman" w:hAnsi="Times New Roman" w:eastAsia="仿宋" w:cs="Times New Roman"/>
          <w:color w:val="auto"/>
          <w:sz w:val="32"/>
          <w:szCs w:val="32"/>
          <w:u w:val="single"/>
          <w:lang w:val="en-US" w:eastAsia="zh-CN"/>
        </w:rPr>
        <w:t>2025年</w:t>
      </w:r>
      <w:r>
        <w:rPr>
          <w:rFonts w:hint="eastAsia"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lang w:val="en-US" w:eastAsia="zh-CN"/>
        </w:rPr>
        <w:t>月</w:t>
      </w:r>
      <w:r>
        <w:rPr>
          <w:rFonts w:hint="eastAsia"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lang w:val="en-US" w:eastAsia="zh-CN"/>
        </w:rPr>
        <w:t>日起至</w:t>
      </w:r>
      <w:r>
        <w:rPr>
          <w:rFonts w:hint="eastAsia" w:ascii="Times New Roman" w:hAnsi="Times New Roman" w:eastAsia="仿宋" w:cs="Times New Roman"/>
          <w:color w:val="auto"/>
          <w:sz w:val="32"/>
          <w:szCs w:val="32"/>
          <w:u w:val="single"/>
          <w:lang w:val="en-US" w:eastAsia="zh-CN"/>
        </w:rPr>
        <w:t>2026年12月31日</w:t>
      </w:r>
      <w:r>
        <w:rPr>
          <w:rFonts w:hint="default" w:ascii="Times New Roman" w:hAnsi="Times New Roman" w:eastAsia="仿宋" w:cs="Times New Roman"/>
          <w:color w:val="auto"/>
          <w:sz w:val="32"/>
          <w:szCs w:val="32"/>
          <w:u w:val="single"/>
          <w:lang w:val="en-US" w:eastAsia="zh-CN"/>
        </w:rPr>
        <w:t>止</w:t>
      </w:r>
      <w:r>
        <w:rPr>
          <w:rFonts w:hint="default" w:ascii="Times New Roman" w:hAnsi="Times New Roman" w:eastAsia="仿宋" w:cs="Times New Roman"/>
          <w:color w:val="auto"/>
          <w:sz w:val="32"/>
          <w:szCs w:val="32"/>
          <w:lang w:val="en-US" w:eastAsia="zh-CN"/>
        </w:rPr>
        <w:t>。</w:t>
      </w:r>
    </w:p>
    <w:p w14:paraId="6AA5F823">
      <w:pPr>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七、协议变更与解除</w:t>
      </w:r>
    </w:p>
    <w:p w14:paraId="168F56BA">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协议签订后，甲乙双方在协议期限内原则上不得中途中断本协议</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highlight w:val="none"/>
          <w:lang w:val="en-US" w:eastAsia="zh-CN"/>
        </w:rPr>
        <w:t>但如遇连续两季</w:t>
      </w:r>
      <w:r>
        <w:rPr>
          <w:rFonts w:hint="default" w:ascii="Times New Roman" w:hAnsi="Times New Roman" w:eastAsia="仿宋" w:cs="Times New Roman"/>
          <w:color w:val="auto"/>
          <w:sz w:val="32"/>
          <w:szCs w:val="32"/>
          <w:highlight w:val="none"/>
        </w:rPr>
        <w:t>稻谷平均亩产量</w:t>
      </w:r>
      <w:r>
        <w:rPr>
          <w:rFonts w:hint="eastAsia" w:ascii="Times New Roman" w:hAnsi="Times New Roman" w:eastAsia="仿宋" w:cs="Times New Roman"/>
          <w:color w:val="auto"/>
          <w:sz w:val="32"/>
          <w:szCs w:val="32"/>
          <w:highlight w:val="none"/>
          <w:lang w:val="en-US" w:eastAsia="zh-CN"/>
        </w:rPr>
        <w:t>低于</w:t>
      </w:r>
      <w:r>
        <w:rPr>
          <w:rFonts w:hint="default" w:ascii="Times New Roman" w:hAnsi="Times New Roman" w:eastAsia="仿宋" w:cs="Times New Roman"/>
          <w:color w:val="auto"/>
          <w:sz w:val="32"/>
          <w:szCs w:val="32"/>
          <w:highlight w:val="none"/>
        </w:rPr>
        <w:t>对应要求产量的 10%</w:t>
      </w:r>
      <w:r>
        <w:rPr>
          <w:rFonts w:hint="eastAsia" w:ascii="Times New Roman" w:hAnsi="Times New Roman" w:eastAsia="仿宋" w:cs="Times New Roman"/>
          <w:color w:val="auto"/>
          <w:sz w:val="32"/>
          <w:szCs w:val="32"/>
          <w:highlight w:val="none"/>
          <w:lang w:val="en-US" w:eastAsia="zh-CN"/>
        </w:rPr>
        <w:t>的，视为甲方考核不通过，乙方有权解除合同</w:t>
      </w:r>
      <w:r>
        <w:rPr>
          <w:rFonts w:hint="default" w:ascii="Times New Roman" w:hAnsi="Times New Roman" w:eastAsia="仿宋" w:cs="Times New Roman"/>
          <w:color w:val="auto"/>
          <w:sz w:val="32"/>
          <w:szCs w:val="32"/>
          <w:highlight w:val="none"/>
          <w:lang w:val="en-US" w:eastAsia="zh-CN"/>
        </w:rPr>
        <w:t>。</w:t>
      </w:r>
    </w:p>
    <w:p w14:paraId="52150374">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若一方违反本协议的约定，另一方有权根据违约情况的严重程度，要求违约方承担违约责任或解除本协议。违约责任的承担方式包括但不限于支付违约金、赔偿损失等。</w:t>
      </w:r>
    </w:p>
    <w:p w14:paraId="29140073">
      <w:pPr>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八、争议解决</w:t>
      </w:r>
    </w:p>
    <w:p w14:paraId="28CC33C9">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如双方在本协议履行过程中发生争议，应首先通过友好协商解决；协商不成的，任何一方均有权向有管辖权的人民法院提起诉讼。</w:t>
      </w:r>
    </w:p>
    <w:p w14:paraId="08E289B5">
      <w:pPr>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九、其他条款</w:t>
      </w:r>
    </w:p>
    <w:p w14:paraId="340EEA52">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协议未尽事宜由双方协商解决，并作为本协议的补充条款。补充条款与本协议具有同等法律效力。</w:t>
      </w:r>
    </w:p>
    <w:p w14:paraId="68C7E44B">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本协议自签订之日起生效，涉及协议变更，必须由甲、乙双方共同协商并签订书面变更协议。</w:t>
      </w:r>
    </w:p>
    <w:p w14:paraId="745AD830">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本协议一式</w:t>
      </w:r>
      <w:r>
        <w:rPr>
          <w:rFonts w:hint="eastAsia" w:ascii="Times New Roman" w:hAnsi="Times New Roman" w:eastAsia="仿宋" w:cs="Times New Roman"/>
          <w:color w:val="auto"/>
          <w:sz w:val="32"/>
          <w:szCs w:val="32"/>
          <w:lang w:val="en-US" w:eastAsia="zh-CN"/>
        </w:rPr>
        <w:t>肆</w:t>
      </w:r>
      <w:r>
        <w:rPr>
          <w:rFonts w:hint="default" w:ascii="Times New Roman" w:hAnsi="Times New Roman" w:eastAsia="仿宋" w:cs="Times New Roman"/>
          <w:color w:val="auto"/>
          <w:sz w:val="32"/>
          <w:szCs w:val="32"/>
          <w:lang w:val="en-US" w:eastAsia="zh-CN"/>
        </w:rPr>
        <w:t>份，甲方、乙方各执</w:t>
      </w:r>
      <w:r>
        <w:rPr>
          <w:rFonts w:hint="eastAsia" w:ascii="Times New Roman" w:hAnsi="Times New Roman" w:eastAsia="仿宋" w:cs="Times New Roman"/>
          <w:color w:val="auto"/>
          <w:sz w:val="32"/>
          <w:szCs w:val="32"/>
          <w:lang w:val="en-US" w:eastAsia="zh-CN"/>
        </w:rPr>
        <w:t>贰</w:t>
      </w:r>
      <w:r>
        <w:rPr>
          <w:rFonts w:hint="default" w:ascii="Times New Roman" w:hAnsi="Times New Roman" w:eastAsia="仿宋" w:cs="Times New Roman"/>
          <w:color w:val="auto"/>
          <w:sz w:val="32"/>
          <w:szCs w:val="32"/>
          <w:lang w:val="en-US" w:eastAsia="zh-CN"/>
        </w:rPr>
        <w:t>份，具有同等法律效力。</w:t>
      </w:r>
    </w:p>
    <w:p w14:paraId="2556AA24">
      <w:pPr>
        <w:ind w:firstLine="640" w:firstLineChars="200"/>
        <w:rPr>
          <w:rFonts w:hint="default" w:ascii="Times New Roman" w:hAnsi="Times New Roman" w:eastAsia="仿宋" w:cs="Times New Roman"/>
          <w:color w:val="auto"/>
          <w:sz w:val="32"/>
          <w:szCs w:val="32"/>
          <w:lang w:val="en-US" w:eastAsia="zh-CN"/>
        </w:rPr>
      </w:pPr>
    </w:p>
    <w:p w14:paraId="5514E1D1">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甲方（盖章）：__________________</w:t>
      </w:r>
    </w:p>
    <w:p w14:paraId="52C7FF1D">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法定代表人或授权代表（签字）：__________________</w:t>
      </w:r>
    </w:p>
    <w:p w14:paraId="2F879035">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签订日期：______年____月____日</w:t>
      </w:r>
    </w:p>
    <w:p w14:paraId="72F7BC33">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乙方（盖章）：__________________</w:t>
      </w:r>
    </w:p>
    <w:p w14:paraId="2D1E381C">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法定代表人或授权代表（签字）：__________________</w:t>
      </w:r>
    </w:p>
    <w:p w14:paraId="2BC1BD31">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签订日期：______年____月____日</w:t>
      </w:r>
    </w:p>
    <w:p w14:paraId="096F64CC">
      <w:pPr>
        <w:ind w:firstLine="640" w:firstLineChars="200"/>
        <w:rPr>
          <w:rFonts w:hint="default" w:ascii="Times New Roman" w:hAnsi="Times New Roman" w:eastAsia="仿宋" w:cs="Times New Roman"/>
          <w:color w:val="auto"/>
          <w:sz w:val="32"/>
          <w:szCs w:val="32"/>
          <w:lang w:val="en-US" w:eastAsia="zh-CN"/>
        </w:rPr>
      </w:pPr>
    </w:p>
    <w:p w14:paraId="533A7930">
      <w:pPr>
        <w:rPr>
          <w:rFonts w:ascii="Times New Roman" w:hAnsi="Times New Roman" w:eastAsia="宋体" w:cs="Times New Roman"/>
          <w:color w:val="auto"/>
          <w:szCs w:val="24"/>
        </w:rPr>
      </w:pPr>
    </w:p>
    <w:p w14:paraId="7CD29D0D">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50CE0"/>
    <w:rsid w:val="3105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2025-03-21T06:31:00Z</dcterms:created>
  <dc:creator>土豆排骨的滋味</dc:creator>
  <cp:lastModifiedBy>土豆排骨的滋味</cp:lastModifiedBy>
  <dcterms:modified xsi:type="dcterms:W3CDTF">2025-03-21T06:32:06Z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724C38975E9143F5B58745CB048A6743_11</vt:lpwstr>
  </property>
  <property fmtid="{D5CDD505-2E9C-101B-9397-08002B2CF9AE}" pid="4" name="KSOTemplateDocerSaveRecord">
    <vt:lpwstr>eyJoZGlkIjoiOGM1MWM1MGQ5NzM2ZmQyZjM0M2FkMTA1ZTQzZTljNTAiLCJ1c2VySWQiOiIxMTA2MzUwMTgxIn0=</vt:lpwstr>
  </property>
</Properties>
</file>