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 xml:space="preserve">LCCQJJ20250327 </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w:t>
      </w:r>
      <w:r>
        <w:rPr>
          <w:rFonts w:hint="eastAsia" w:asciiTheme="minorEastAsia" w:hAnsiTheme="minorEastAsia" w:eastAsiaTheme="minorEastAsia" w:cstheme="minorEastAsia"/>
          <w:color w:val="0000FF"/>
          <w:kern w:val="2"/>
          <w:sz w:val="24"/>
          <w:szCs w:val="24"/>
          <w:highlight w:val="none"/>
          <w:shd w:val="clear"/>
          <w:lang w:eastAsia="zh-CN"/>
        </w:rPr>
        <w:t>月</w:t>
      </w:r>
      <w:r>
        <w:rPr>
          <w:rFonts w:hint="eastAsia" w:asciiTheme="minorEastAsia" w:hAnsiTheme="minorEastAsia" w:eastAsiaTheme="minorEastAsia" w:cstheme="minorEastAsia"/>
          <w:color w:val="0000FF"/>
          <w:kern w:val="2"/>
          <w:sz w:val="24"/>
          <w:szCs w:val="24"/>
          <w:highlight w:val="none"/>
          <w:shd w:val="clear"/>
          <w:lang w:val="en-US" w:eastAsia="zh-CN"/>
        </w:rPr>
        <w:t>27</w:t>
      </w:r>
      <w:r>
        <w:rPr>
          <w:rFonts w:hint="eastAsia" w:asciiTheme="minorEastAsia" w:hAnsiTheme="minorEastAsia" w:eastAsiaTheme="minorEastAsia" w:cstheme="minorEastAsia"/>
          <w:color w:val="0000FF"/>
          <w:kern w:val="2"/>
          <w:sz w:val="24"/>
          <w:szCs w:val="24"/>
          <w:highlight w:val="none"/>
          <w:shd w:val="clear"/>
          <w:lang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3月22日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3月26日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66418E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福建省莲景园林绿化有限公司水稻生产技术服务采购项目</w:t>
      </w:r>
      <w:r>
        <w:rPr>
          <w:rFonts w:hint="eastAsia" w:asciiTheme="minorEastAsia" w:hAnsiTheme="minorEastAsia" w:eastAsiaTheme="minorEastAsia" w:cstheme="minorEastAsia"/>
          <w:color w:val="0000FF"/>
          <w:sz w:val="24"/>
          <w:szCs w:val="24"/>
          <w:highlight w:val="none"/>
        </w:rPr>
        <w:t>。</w:t>
      </w:r>
    </w:p>
    <w:p w14:paraId="4AA69459">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2.水稻种植区域：</w:t>
      </w:r>
      <w:r>
        <w:rPr>
          <w:rFonts w:hint="eastAsia" w:asciiTheme="minorEastAsia" w:hAnsiTheme="minorEastAsia" w:eastAsiaTheme="minorEastAsia" w:cstheme="minorEastAsia"/>
          <w:color w:val="0000FF"/>
          <w:kern w:val="2"/>
          <w:sz w:val="24"/>
          <w:szCs w:val="24"/>
          <w:highlight w:val="none"/>
          <w:u w:val="none"/>
          <w:lang w:val="en-US" w:eastAsia="zh-CN"/>
        </w:rPr>
        <w:t>连城县姑田、曲溪、揭乐等片区，种植面积约2000亩。</w:t>
      </w:r>
    </w:p>
    <w:p w14:paraId="0951957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sz w:val="24"/>
          <w:szCs w:val="24"/>
          <w:highlight w:val="none"/>
          <w:lang w:val="en-US" w:eastAsia="zh-CN"/>
        </w:rPr>
        <w:t>采购内容及要求：</w:t>
      </w:r>
      <w:r>
        <w:rPr>
          <w:rFonts w:hint="eastAsia" w:asciiTheme="minorEastAsia" w:hAnsiTheme="minorEastAsia" w:eastAsiaTheme="minorEastAsia" w:cstheme="minorEastAsia"/>
          <w:color w:val="0000FF"/>
          <w:kern w:val="2"/>
          <w:sz w:val="24"/>
          <w:szCs w:val="24"/>
          <w:highlight w:val="none"/>
          <w:u w:val="none"/>
          <w:lang w:val="en-US" w:eastAsia="zh-CN"/>
        </w:rPr>
        <w:t>成交人须提供水稻种植全程技术指导与服务，具体涵盖协助委托人管理生产过程中的各个环节。委托人种植的连城县各片区水稻生产技术由成交人提供全面技术指导，包括但不限于:</w:t>
      </w:r>
    </w:p>
    <w:p w14:paraId="7BEEB113">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（1）农机设备使用及保管维修：依种植规模等，提供设备选型建议。培训操作人员，制定使用规章并调度设备。指导设备存放、保养，定期检查维护，及时维修故障设备。</w:t>
      </w:r>
    </w:p>
    <w:p w14:paraId="576330D0">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（2）化肥农药使用管理：据土壤肥力、水稻品种与阶段，制定施肥方案。依病虫害情况选农药并推荐新技术。指导工人正确使用，控制剂量，监测农药残留，保障安全。</w:t>
      </w:r>
    </w:p>
    <w:p w14:paraId="3068F287">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（3）育秧设施使用管理：定期检查维护育秧设施，调控设施内温、湿、光环境。传授育秧技术，做好设施卫生与消毒。</w:t>
      </w:r>
    </w:p>
    <w:p w14:paraId="087C31E6">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3.技术服务费：</w:t>
      </w:r>
      <w:r>
        <w:rPr>
          <w:rFonts w:hint="eastAsia" w:asciiTheme="minorEastAsia" w:hAnsiTheme="minorEastAsia" w:eastAsiaTheme="minorEastAsia" w:cstheme="minorEastAsia"/>
          <w:b/>
          <w:bCs/>
          <w:color w:val="0000FF"/>
          <w:kern w:val="2"/>
          <w:sz w:val="24"/>
          <w:szCs w:val="24"/>
          <w:highlight w:val="none"/>
          <w:lang w:val="en-US" w:eastAsia="zh-CN" w:bidi="ar-SA"/>
        </w:rPr>
        <w:t>最高限价120元/亩，合同结算以成交技术服务费</w:t>
      </w:r>
      <w:r>
        <w:rPr>
          <w:rFonts w:hint="eastAsia" w:ascii="微软雅黑" w:hAnsi="微软雅黑" w:eastAsia="微软雅黑" w:cs="微软雅黑"/>
          <w:b/>
          <w:bCs/>
          <w:color w:val="0000FF"/>
          <w:kern w:val="2"/>
          <w:sz w:val="24"/>
          <w:szCs w:val="24"/>
          <w:highlight w:val="none"/>
          <w:lang w:val="en-US" w:eastAsia="zh-CN" w:bidi="ar-SA"/>
        </w:rPr>
        <w:t>×</w:t>
      </w:r>
      <w:r>
        <w:rPr>
          <w:rFonts w:hint="eastAsia" w:asciiTheme="minorEastAsia" w:hAnsiTheme="minorEastAsia" w:eastAsiaTheme="minorEastAsia" w:cstheme="minorEastAsia"/>
          <w:b/>
          <w:bCs/>
          <w:color w:val="0000FF"/>
          <w:kern w:val="2"/>
          <w:sz w:val="24"/>
          <w:szCs w:val="24"/>
          <w:highlight w:val="none"/>
          <w:lang w:val="en-US" w:eastAsia="zh-CN" w:bidi="ar-SA"/>
        </w:rPr>
        <w:t>当年各片区实际种植面积按实结算。</w:t>
      </w:r>
    </w:p>
    <w:p w14:paraId="31D0C030">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default" w:asciiTheme="minorEastAsia" w:hAnsiTheme="minorEastAsia" w:eastAsiaTheme="minorEastAsia" w:cstheme="minorEastAsia"/>
          <w:b/>
          <w:bCs/>
          <w:color w:val="auto"/>
          <w:kern w:val="2"/>
          <w:sz w:val="24"/>
          <w:szCs w:val="24"/>
          <w:highlight w:val="none"/>
          <w:lang w:val="en-US" w:eastAsia="zh-CN" w:bidi="ar-SA"/>
        </w:rPr>
        <w:t>产量保证与验收</w:t>
      </w:r>
    </w:p>
    <w:p w14:paraId="72FF437E">
      <w:pPr>
        <w:widowControl/>
        <w:shd w:val="clear"/>
        <w:snapToGrid/>
        <w:spacing w:before="0" w:beforeAutospacing="0" w:after="0" w:afterAutospacing="0" w:line="360" w:lineRule="auto"/>
        <w:ind w:firstLine="480"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（1）成交人</w:t>
      </w:r>
      <w:r>
        <w:rPr>
          <w:rFonts w:hint="default" w:asciiTheme="minorEastAsia" w:hAnsiTheme="minorEastAsia" w:eastAsiaTheme="minorEastAsia" w:cstheme="minorEastAsia"/>
          <w:color w:val="0000FF"/>
          <w:kern w:val="2"/>
          <w:sz w:val="24"/>
          <w:szCs w:val="24"/>
          <w:highlight w:val="none"/>
          <w:u w:val="none"/>
          <w:lang w:val="en-US" w:eastAsia="zh-CN"/>
        </w:rPr>
        <w:t>确保</w:t>
      </w:r>
      <w:r>
        <w:rPr>
          <w:rFonts w:hint="eastAsia" w:asciiTheme="minorEastAsia" w:hAnsiTheme="minorEastAsia" w:eastAsiaTheme="minorEastAsia" w:cstheme="minorEastAsia"/>
          <w:color w:val="0000FF"/>
          <w:kern w:val="2"/>
          <w:sz w:val="24"/>
          <w:szCs w:val="24"/>
          <w:highlight w:val="none"/>
          <w:u w:val="none"/>
          <w:lang w:val="en-US" w:eastAsia="zh-CN"/>
        </w:rPr>
        <w:t>各</w:t>
      </w:r>
      <w:r>
        <w:rPr>
          <w:rFonts w:hint="default" w:asciiTheme="minorEastAsia" w:hAnsiTheme="minorEastAsia" w:eastAsiaTheme="minorEastAsia" w:cstheme="minorEastAsia"/>
          <w:color w:val="0000FF"/>
          <w:kern w:val="2"/>
          <w:sz w:val="24"/>
          <w:szCs w:val="24"/>
          <w:highlight w:val="none"/>
          <w:u w:val="none"/>
          <w:lang w:val="en-US" w:eastAsia="zh-CN"/>
        </w:rPr>
        <w:t>片区稻谷平均亩产量要求：</w:t>
      </w:r>
    </w:p>
    <w:p w14:paraId="7CB6E828">
      <w:pPr>
        <w:widowControl/>
        <w:shd w:val="clear"/>
        <w:snapToGrid/>
        <w:spacing w:before="0" w:beforeAutospacing="0" w:after="0" w:afterAutospacing="0" w:line="360" w:lineRule="auto"/>
        <w:ind w:firstLine="720" w:firstLineChars="300"/>
        <w:rPr>
          <w:rFonts w:hint="default" w:asciiTheme="minorEastAsia" w:hAnsiTheme="minorEastAsia" w:eastAsiaTheme="minorEastAsia" w:cstheme="minorEastAsia"/>
          <w:color w:val="0000FF"/>
          <w:kern w:val="2"/>
          <w:sz w:val="24"/>
          <w:szCs w:val="24"/>
          <w:highlight w:val="none"/>
          <w:u w:val="none"/>
          <w:lang w:val="en-US" w:eastAsia="zh-CN"/>
        </w:rPr>
      </w:pPr>
      <w:r>
        <w:rPr>
          <w:rFonts w:hint="default" w:asciiTheme="minorEastAsia" w:hAnsiTheme="minorEastAsia" w:eastAsiaTheme="minorEastAsia" w:cstheme="minorEastAsia"/>
          <w:color w:val="0000FF"/>
          <w:kern w:val="2"/>
          <w:sz w:val="24"/>
          <w:szCs w:val="24"/>
          <w:highlight w:val="none"/>
          <w:u w:val="none"/>
          <w:lang w:val="en-US" w:eastAsia="zh-CN"/>
        </w:rPr>
        <w:t>早稻：不低于800斤。</w:t>
      </w:r>
    </w:p>
    <w:p w14:paraId="538B176E">
      <w:pPr>
        <w:widowControl/>
        <w:shd w:val="clear"/>
        <w:snapToGrid/>
        <w:spacing w:before="0" w:beforeAutospacing="0" w:after="0" w:afterAutospacing="0" w:line="360" w:lineRule="auto"/>
        <w:ind w:firstLine="720" w:firstLineChars="300"/>
        <w:rPr>
          <w:rFonts w:hint="default" w:asciiTheme="minorEastAsia" w:hAnsiTheme="minorEastAsia" w:eastAsiaTheme="minorEastAsia" w:cstheme="minorEastAsia"/>
          <w:color w:val="0000FF"/>
          <w:kern w:val="2"/>
          <w:sz w:val="24"/>
          <w:szCs w:val="24"/>
          <w:highlight w:val="none"/>
          <w:u w:val="none"/>
          <w:lang w:val="en-US" w:eastAsia="zh-CN"/>
        </w:rPr>
      </w:pPr>
      <w:r>
        <w:rPr>
          <w:rFonts w:hint="default" w:asciiTheme="minorEastAsia" w:hAnsiTheme="minorEastAsia" w:eastAsiaTheme="minorEastAsia" w:cstheme="minorEastAsia"/>
          <w:color w:val="0000FF"/>
          <w:kern w:val="2"/>
          <w:sz w:val="24"/>
          <w:szCs w:val="24"/>
          <w:highlight w:val="none"/>
          <w:u w:val="none"/>
          <w:lang w:val="en-US" w:eastAsia="zh-CN"/>
        </w:rPr>
        <w:t>中稻：不低于</w:t>
      </w:r>
      <w:r>
        <w:rPr>
          <w:rFonts w:hint="eastAsia" w:asciiTheme="minorEastAsia" w:hAnsiTheme="minorEastAsia" w:eastAsiaTheme="minorEastAsia" w:cstheme="minorEastAsia"/>
          <w:color w:val="0000FF"/>
          <w:kern w:val="2"/>
          <w:sz w:val="24"/>
          <w:szCs w:val="24"/>
          <w:highlight w:val="none"/>
          <w:u w:val="none"/>
          <w:lang w:val="en-US" w:eastAsia="zh-CN"/>
        </w:rPr>
        <w:t>1000斤。</w:t>
      </w:r>
    </w:p>
    <w:p w14:paraId="1660BD4D">
      <w:pPr>
        <w:widowControl/>
        <w:shd w:val="clear"/>
        <w:snapToGrid/>
        <w:spacing w:before="0" w:beforeAutospacing="0" w:after="0" w:afterAutospacing="0" w:line="360" w:lineRule="auto"/>
        <w:ind w:firstLine="720" w:firstLineChars="300"/>
        <w:rPr>
          <w:rFonts w:hint="default" w:asciiTheme="minorEastAsia" w:hAnsiTheme="minorEastAsia" w:eastAsiaTheme="minorEastAsia" w:cstheme="minorEastAsia"/>
          <w:color w:val="0000FF"/>
          <w:kern w:val="2"/>
          <w:sz w:val="24"/>
          <w:szCs w:val="24"/>
          <w:highlight w:val="none"/>
          <w:u w:val="none"/>
          <w:lang w:val="en-US" w:eastAsia="zh-CN"/>
        </w:rPr>
      </w:pPr>
      <w:r>
        <w:rPr>
          <w:rFonts w:hint="default" w:asciiTheme="minorEastAsia" w:hAnsiTheme="minorEastAsia" w:eastAsiaTheme="minorEastAsia" w:cstheme="minorEastAsia"/>
          <w:color w:val="0000FF"/>
          <w:kern w:val="2"/>
          <w:sz w:val="24"/>
          <w:szCs w:val="24"/>
          <w:highlight w:val="none"/>
          <w:u w:val="none"/>
          <w:lang w:val="en-US" w:eastAsia="zh-CN"/>
        </w:rPr>
        <w:t>晚稻：不低于</w:t>
      </w:r>
      <w:r>
        <w:rPr>
          <w:rFonts w:hint="eastAsia" w:asciiTheme="minorEastAsia" w:hAnsiTheme="minorEastAsia" w:eastAsiaTheme="minorEastAsia" w:cstheme="minorEastAsia"/>
          <w:color w:val="0000FF"/>
          <w:kern w:val="2"/>
          <w:sz w:val="24"/>
          <w:szCs w:val="24"/>
          <w:highlight w:val="none"/>
          <w:u w:val="none"/>
          <w:lang w:val="en-US" w:eastAsia="zh-CN"/>
        </w:rPr>
        <w:t>850斤。</w:t>
      </w:r>
    </w:p>
    <w:p w14:paraId="50B59AA0">
      <w:pPr>
        <w:widowControl/>
        <w:shd w:val="clear"/>
        <w:snapToGrid/>
        <w:spacing w:before="0" w:beforeAutospacing="0" w:after="0" w:afterAutospacing="0" w:line="360" w:lineRule="auto"/>
        <w:ind w:firstLine="480"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w:t>
      </w:r>
      <w:r>
        <w:rPr>
          <w:rFonts w:hint="default" w:asciiTheme="minorEastAsia" w:hAnsiTheme="minorEastAsia" w:eastAsiaTheme="minorEastAsia" w:cstheme="minorEastAsia"/>
          <w:color w:val="0000FF"/>
          <w:kern w:val="2"/>
          <w:sz w:val="24"/>
          <w:szCs w:val="24"/>
          <w:highlight w:val="none"/>
          <w:u w:val="none"/>
          <w:lang w:val="en-US" w:eastAsia="zh-CN"/>
        </w:rPr>
        <w:t>稻谷产量在收获时，双方共同邀请连城县农业专家进行现场测产验收。测产验收的具体流程和标准应按照连城县农业主管部门认可的常规方法执行。测产结果需经双方及专家签字确认。</w:t>
      </w:r>
    </w:p>
    <w:p w14:paraId="3A8A9D72">
      <w:pPr>
        <w:widowControl/>
        <w:shd w:val="clear"/>
        <w:snapToGrid/>
        <w:spacing w:before="0" w:beforeAutospacing="0" w:after="0" w:afterAutospacing="0" w:line="360" w:lineRule="auto"/>
        <w:ind w:firstLine="480"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w:t>
      </w:r>
      <w:r>
        <w:rPr>
          <w:rFonts w:hint="default" w:asciiTheme="minorEastAsia" w:hAnsiTheme="minorEastAsia" w:eastAsiaTheme="minorEastAsia" w:cstheme="minorEastAsia"/>
          <w:color w:val="0000FF"/>
          <w:kern w:val="2"/>
          <w:sz w:val="24"/>
          <w:szCs w:val="24"/>
          <w:highlight w:val="none"/>
          <w:u w:val="none"/>
          <w:lang w:val="en-US" w:eastAsia="zh-CN"/>
        </w:rPr>
        <w:t>若最终测产的稻谷平均亩产量低于上述对应要求产量的10%，则</w:t>
      </w:r>
      <w:r>
        <w:rPr>
          <w:rFonts w:hint="eastAsia" w:asciiTheme="minorEastAsia" w:hAnsiTheme="minorEastAsia" w:eastAsiaTheme="minorEastAsia" w:cstheme="minorEastAsia"/>
          <w:color w:val="0000FF"/>
          <w:kern w:val="2"/>
          <w:sz w:val="24"/>
          <w:szCs w:val="24"/>
          <w:highlight w:val="none"/>
          <w:u w:val="none"/>
          <w:lang w:val="en-US" w:eastAsia="zh-CN"/>
        </w:rPr>
        <w:t>成交人</w:t>
      </w:r>
      <w:r>
        <w:rPr>
          <w:rFonts w:hint="default" w:asciiTheme="minorEastAsia" w:hAnsiTheme="minorEastAsia" w:eastAsiaTheme="minorEastAsia" w:cstheme="minorEastAsia"/>
          <w:color w:val="0000FF"/>
          <w:kern w:val="2"/>
          <w:sz w:val="24"/>
          <w:szCs w:val="24"/>
          <w:highlight w:val="none"/>
          <w:u w:val="none"/>
          <w:lang w:val="en-US" w:eastAsia="zh-CN"/>
        </w:rPr>
        <w:t>所收取的技术服务费需按相应比例扣除。扣除比例计算方式为：（要求产量- 实际产量）÷要求产量×100%。</w:t>
      </w:r>
    </w:p>
    <w:p w14:paraId="2A88AAD9">
      <w:pPr>
        <w:pStyle w:val="2"/>
        <w:keepNext w:val="0"/>
        <w:keepLines w:val="0"/>
        <w:widowControl/>
        <w:suppressLineNumbers w:val="0"/>
        <w:spacing w:before="75" w:beforeAutospacing="0" w:after="75" w:afterAutospacing="0" w:line="255" w:lineRule="atLeast"/>
        <w:ind w:right="0" w:firstLine="482" w:firstLineChars="200"/>
        <w:rPr>
          <w:rFonts w:hint="default" w:cs="宋体"/>
          <w:b/>
          <w:bCs/>
          <w:color w:val="333333"/>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5.服务期限：</w:t>
      </w:r>
      <w:r>
        <w:rPr>
          <w:rFonts w:hint="eastAsia" w:cs="宋体"/>
          <w:b/>
          <w:bCs/>
          <w:color w:val="0000FF"/>
          <w:kern w:val="0"/>
          <w:sz w:val="24"/>
          <w:szCs w:val="24"/>
          <w:shd w:val="clear" w:fill="FFFFFF"/>
          <w:lang w:val="en-US" w:eastAsia="zh-CN" w:bidi="ar-SA"/>
        </w:rPr>
        <w:t>自合同签订之日起至2026年12月31日</w:t>
      </w:r>
      <w:r>
        <w:rPr>
          <w:rFonts w:hint="eastAsia" w:cs="宋体"/>
          <w:b/>
          <w:bCs/>
          <w:color w:val="333333"/>
          <w:kern w:val="0"/>
          <w:sz w:val="24"/>
          <w:szCs w:val="24"/>
          <w:shd w:val="clear" w:fill="FFFFFF"/>
          <w:lang w:val="en-US" w:eastAsia="zh-CN" w:bidi="ar-SA"/>
        </w:rPr>
        <w:t>。</w:t>
      </w:r>
    </w:p>
    <w:p w14:paraId="7AA90977">
      <w:pPr>
        <w:pStyle w:val="2"/>
        <w:keepNext w:val="0"/>
        <w:keepLines w:val="0"/>
        <w:widowControl/>
        <w:suppressLineNumbers w:val="0"/>
        <w:spacing w:before="75" w:beforeAutospacing="0" w:after="75" w:afterAutospacing="0" w:line="255" w:lineRule="atLeast"/>
        <w:ind w:right="0" w:firstLine="482" w:firstLineChars="200"/>
        <w:rPr>
          <w:rFonts w:hint="eastAsia" w:cs="宋体"/>
          <w:b/>
          <w:bCs/>
          <w:color w:val="333333"/>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6.付款方式：</w:t>
      </w:r>
    </w:p>
    <w:p w14:paraId="4F9550A7">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（1）第一期付款：在早稻种植开始后按照早稻种植面积×成交技术服务费单价×50%支付技术服务费。</w:t>
      </w:r>
    </w:p>
    <w:p w14:paraId="5A6D238C">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（2）第二期付款：在中稻种植开始后按照中稻种植面积×成交技术服务费单价×50%支付技术服务费。</w:t>
      </w:r>
    </w:p>
    <w:p w14:paraId="3FEFD956">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（3）第三期付款：在早稻收成后支付早稻种植剩余技术服务费（早稻种植面积×成交技术服务费单价×50%）。</w:t>
      </w:r>
    </w:p>
    <w:p w14:paraId="49424B51">
      <w:pPr>
        <w:widowControl/>
        <w:shd w:val="clear"/>
        <w:snapToGrid/>
        <w:spacing w:before="0" w:beforeAutospacing="0" w:after="0" w:afterAutospacing="0" w:line="360" w:lineRule="auto"/>
        <w:ind w:firstLine="480" w:firstLineChars="20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（4）第四期付款：在晚稻种植开始后按照晚稻种植面积×成交技术服务费单价×50%支付技术服务费。</w:t>
      </w:r>
    </w:p>
    <w:p w14:paraId="3C10FBF0">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（5）第五期付款：在中稻、晚稻收成后支付中稻、晚稻种植剩余技术服务费（中稻种植面积×成交技术服务费单价×50%+晚稻种植面积×成交技术服务费单价×50%）。</w:t>
      </w:r>
    </w:p>
    <w:p w14:paraId="5B9884CA">
      <w:pPr>
        <w:pStyle w:val="2"/>
        <w:keepNext w:val="0"/>
        <w:keepLines w:val="0"/>
        <w:widowControl/>
        <w:suppressLineNumbers w:val="0"/>
        <w:spacing w:before="75" w:beforeAutospacing="0" w:after="75" w:afterAutospacing="0" w:line="360" w:lineRule="auto"/>
        <w:ind w:right="0" w:firstLine="482" w:firstLineChars="200"/>
        <w:rPr>
          <w:rFonts w:hint="default" w:asciiTheme="minorEastAsia" w:hAnsiTheme="minorEastAsia" w:eastAsiaTheme="minorEastAsia" w:cstheme="minorEastAsia"/>
          <w:b/>
          <w:bCs/>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0000FF"/>
          <w:kern w:val="2"/>
          <w:sz w:val="24"/>
          <w:szCs w:val="24"/>
          <w:highlight w:val="none"/>
          <w:u w:val="none"/>
          <w:lang w:val="en-US" w:eastAsia="zh-CN" w:bidi="ar-SA"/>
        </w:rPr>
        <w:t>备注：1.如最终测产的稻谷平均亩产量低于对应要求产量的10%时，第三期、第五期付款应根据扣除比例扣除相应技术服务费。</w:t>
      </w:r>
    </w:p>
    <w:p w14:paraId="66270070">
      <w:pPr>
        <w:pStyle w:val="2"/>
        <w:keepNext w:val="0"/>
        <w:keepLines w:val="0"/>
        <w:widowControl/>
        <w:suppressLineNumbers w:val="0"/>
        <w:spacing w:before="75" w:beforeAutospacing="0" w:after="75" w:afterAutospacing="0" w:line="360" w:lineRule="auto"/>
        <w:ind w:right="0" w:firstLine="482" w:firstLineChars="200"/>
        <w:rPr>
          <w:rFonts w:hint="default" w:asciiTheme="minorEastAsia" w:hAnsiTheme="minorEastAsia" w:eastAsiaTheme="minorEastAsia" w:cstheme="minorEastAsia"/>
          <w:b/>
          <w:bCs/>
          <w:color w:val="0000FF"/>
          <w:kern w:val="2"/>
          <w:sz w:val="24"/>
          <w:szCs w:val="24"/>
          <w:highlight w:val="none"/>
          <w:u w:val="none"/>
          <w:lang w:val="en-US" w:eastAsia="zh-CN" w:bidi="ar-SA"/>
        </w:rPr>
      </w:pPr>
      <w:r>
        <w:rPr>
          <w:rFonts w:hint="eastAsia" w:asciiTheme="minorEastAsia" w:hAnsiTheme="minorEastAsia" w:eastAsiaTheme="minorEastAsia" w:cstheme="minorEastAsia"/>
          <w:b/>
          <w:bCs/>
          <w:color w:val="0000FF"/>
          <w:kern w:val="2"/>
          <w:sz w:val="24"/>
          <w:szCs w:val="24"/>
          <w:highlight w:val="none"/>
          <w:u w:val="none"/>
          <w:lang w:val="en-US" w:eastAsia="zh-CN" w:bidi="ar-SA"/>
        </w:rPr>
        <w:t>2.如遇连续两季稻谷平均亩产量低于对应要求产量的 10%的，视为考核不通过，委托人有权解除合同。</w:t>
      </w:r>
    </w:p>
    <w:p w14:paraId="02AC1C06">
      <w:pPr>
        <w:pStyle w:val="2"/>
        <w:keepNext w:val="0"/>
        <w:keepLines w:val="0"/>
        <w:widowControl/>
        <w:suppressLineNumbers w:val="0"/>
        <w:spacing w:before="75" w:beforeAutospacing="0" w:after="75" w:afterAutospacing="0" w:line="255" w:lineRule="atLeast"/>
        <w:ind w:right="0" w:firstLine="482" w:firstLineChars="200"/>
        <w:rPr>
          <w:rFonts w:hint="eastAsia" w:ascii="宋体" w:hAnsi="宋体" w:cs="宋体"/>
          <w:b/>
          <w:bCs/>
          <w:color w:val="333333"/>
          <w:kern w:val="0"/>
          <w:sz w:val="24"/>
          <w:szCs w:val="24"/>
          <w:shd w:val="clear" w:fill="FFFFFF"/>
          <w:lang w:val="en-US" w:eastAsia="zh-CN" w:bidi="ar-SA"/>
        </w:rPr>
      </w:pPr>
      <w:r>
        <w:rPr>
          <w:rFonts w:hint="eastAsia" w:cs="宋体"/>
          <w:b/>
          <w:bCs/>
          <w:color w:val="333333"/>
          <w:kern w:val="0"/>
          <w:sz w:val="24"/>
          <w:szCs w:val="24"/>
          <w:shd w:val="clear" w:fill="FFFFFF"/>
          <w:lang w:val="en-US" w:eastAsia="zh-CN" w:bidi="ar-SA"/>
        </w:rPr>
        <w:t>7.</w:t>
      </w:r>
      <w:r>
        <w:rPr>
          <w:rFonts w:hint="eastAsia" w:ascii="宋体" w:hAnsi="宋体" w:cs="宋体"/>
          <w:b/>
          <w:bCs/>
          <w:color w:val="333333"/>
          <w:kern w:val="0"/>
          <w:sz w:val="24"/>
          <w:szCs w:val="24"/>
          <w:shd w:val="clear" w:fill="FFFFFF"/>
          <w:lang w:val="en-US" w:eastAsia="zh-CN" w:bidi="ar-SA"/>
        </w:rPr>
        <w:t>责任与赔偿</w:t>
      </w:r>
      <w:r>
        <w:rPr>
          <w:rFonts w:hint="eastAsia" w:cs="宋体"/>
          <w:b/>
          <w:bCs/>
          <w:color w:val="333333"/>
          <w:kern w:val="0"/>
          <w:sz w:val="24"/>
          <w:szCs w:val="24"/>
          <w:shd w:val="clear" w:fill="FFFFFF"/>
          <w:lang w:val="en-US" w:eastAsia="zh-CN" w:bidi="ar-SA"/>
        </w:rPr>
        <w:t>：</w:t>
      </w:r>
    </w:p>
    <w:p w14:paraId="63DFB5C0">
      <w:pPr>
        <w:pStyle w:val="2"/>
        <w:keepNext w:val="0"/>
        <w:keepLines w:val="0"/>
        <w:widowControl/>
        <w:suppressLineNumbers w:val="0"/>
        <w:spacing w:before="75" w:beforeAutospacing="0" w:after="75" w:afterAutospacing="0" w:line="360" w:lineRule="auto"/>
        <w:ind w:left="0" w:right="0" w:firstLine="375"/>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Theme="minorEastAsia" w:hAnsiTheme="minorEastAsia" w:eastAsiaTheme="minorEastAsia" w:cstheme="minorEastAsia"/>
          <w:color w:val="0000FF"/>
          <w:kern w:val="2"/>
          <w:sz w:val="24"/>
          <w:szCs w:val="24"/>
          <w:highlight w:val="none"/>
          <w:u w:val="none"/>
          <w:lang w:val="en-US" w:eastAsia="zh-CN" w:bidi="ar-SA"/>
        </w:rPr>
        <w:t>（1）若因成交人技术指导出现错误而导致委托人遭受损失，成交人应承担相应的损失赔偿责任。赔偿范围包括但不限于因错误指导造成的直接经济损失，如农作物减产、农资浪费等。</w:t>
      </w:r>
    </w:p>
    <w:p w14:paraId="24B9CB63">
      <w:pPr>
        <w:pStyle w:val="2"/>
        <w:keepNext w:val="0"/>
        <w:keepLines w:val="0"/>
        <w:widowControl/>
        <w:suppressLineNumbers w:val="0"/>
        <w:spacing w:before="75" w:beforeAutospacing="0" w:after="75" w:afterAutospacing="0" w:line="360" w:lineRule="auto"/>
        <w:ind w:left="0" w:right="0" w:firstLine="375"/>
        <w:rPr>
          <w:rFonts w:hint="eastAsia" w:ascii="微软雅黑" w:hAnsi="微软雅黑" w:eastAsia="微软雅黑" w:cs="微软雅黑"/>
          <w:i w:val="0"/>
          <w:iCs w:val="0"/>
          <w:caps w:val="0"/>
          <w:color w:val="000000" w:themeColor="text1"/>
          <w:spacing w:val="0"/>
          <w:sz w:val="27"/>
          <w:szCs w:val="27"/>
          <w:highlight w:val="none"/>
          <w14:textFill>
            <w14:solidFill>
              <w14:schemeClr w14:val="tx1"/>
            </w14:solidFill>
          </w14:textFill>
        </w:rPr>
      </w:pPr>
      <w:r>
        <w:rPr>
          <w:rFonts w:hint="eastAsia" w:asciiTheme="minorEastAsia" w:hAnsiTheme="minorEastAsia" w:eastAsiaTheme="minorEastAsia" w:cstheme="minorEastAsia"/>
          <w:color w:val="0000FF"/>
          <w:kern w:val="2"/>
          <w:sz w:val="24"/>
          <w:szCs w:val="24"/>
          <w:highlight w:val="none"/>
          <w:u w:val="none"/>
          <w:lang w:val="en-US" w:eastAsia="zh-CN" w:bidi="ar-SA"/>
        </w:rPr>
        <w:t>（2）若委托人未按照相应技术指导要求操作而产生的一切损失，均由委托人自行承担。委托人应遵循成交人在种植时间、种植密度、施肥用药量等方面的指导，若因委托人擅自更改操作方式导致损失的，成交人不承担任何责任。</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8</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连城县远致现代农业科技服务有限公司、连城县隔川宗明生态家庭农场、连城县北团八垅田家庭农场</w:t>
      </w:r>
      <w:r>
        <w:rPr>
          <w:rFonts w:hint="eastAsia" w:asciiTheme="minorEastAsia" w:hAnsiTheme="minorEastAsia" w:eastAsiaTheme="minorEastAsia" w:cstheme="minorEastAsia"/>
          <w:b/>
          <w:bCs/>
          <w:color w:val="FF0000"/>
          <w:sz w:val="24"/>
          <w:szCs w:val="24"/>
          <w:highlight w:val="none"/>
          <w:lang w:val="en-US" w:eastAsia="zh-CN"/>
        </w:rPr>
        <w:t>。</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2025年3月26日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法定代表人或单位负责人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5"/>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在系统填报技术服务费单价，报价不得超出最高控制单价否则报价无效，填报最低的竞价人作为本项目成交人。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竞价成交后，本项目按</w:t>
      </w:r>
      <w:r>
        <w:rPr>
          <w:rFonts w:hint="eastAsia" w:asciiTheme="minorEastAsia" w:hAnsiTheme="minorEastAsia" w:eastAsiaTheme="minorEastAsia" w:cstheme="minorEastAsia"/>
          <w:b/>
          <w:bCs/>
          <w:color w:val="FF0000"/>
          <w:sz w:val="24"/>
          <w:szCs w:val="24"/>
          <w:highlight w:val="none"/>
          <w:lang w:val="en-US" w:eastAsia="zh-CN"/>
        </w:rPr>
        <w:t>[成交技术服务费单价</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2000亩]为基数</w:t>
      </w:r>
      <w:r>
        <w:rPr>
          <w:rFonts w:hint="default" w:ascii="Arial" w:hAnsi="Arial" w:cs="Arial" w:eastAsia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2025年3月21日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2025年3月27日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福建省莲景园林绿化有限公司水稻生产技术服务采购项目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 xml:space="preserve">LCCQJJ20250327 </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法定代表人或单位负责人</w:t>
      </w:r>
      <w:r>
        <w:rPr>
          <w:rFonts w:hint="eastAsia" w:asciiTheme="minorEastAsia" w:hAnsiTheme="minorEastAsia" w:eastAsiaTheme="minorEastAsia" w:cstheme="minorEastAsia"/>
          <w:color w:val="auto"/>
          <w:sz w:val="24"/>
          <w:szCs w:val="24"/>
          <w:highlight w:val="none"/>
        </w:rPr>
        <w:t xml:space="preserve">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年    月    日</w:t>
      </w:r>
    </w:p>
    <w:bookmarkEnd w:id="0"/>
    <w:p w14:paraId="17E385AB">
      <w:pPr>
        <w:rPr>
          <w:rFonts w:hint="default" w:ascii="Times New Roman" w:hAnsi="Times New Roman" w:eastAsia="宋体" w:cs="Times New Roman"/>
          <w:b/>
          <w:sz w:val="32"/>
          <w:szCs w:val="32"/>
          <w:lang w:val="en-US" w:eastAsia="zh-CN"/>
        </w:rPr>
      </w:pPr>
      <w:r>
        <w:rPr>
          <w:rFonts w:hint="default" w:ascii="Times New Roman" w:hAnsi="Times New Roman" w:eastAsia="宋体" w:cs="Times New Roman"/>
          <w:b/>
          <w:sz w:val="32"/>
          <w:szCs w:val="32"/>
          <w:lang w:val="en-US" w:eastAsia="zh-CN"/>
        </w:rPr>
        <w:br w:type="page"/>
      </w:r>
    </w:p>
    <w:p w14:paraId="1AB8F13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36B46"/>
    <w:rsid w:val="23E3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5">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2025-03-21T06:30:00Z</dcterms:created>
  <dc:creator>土豆排骨的滋味</dc:creator>
  <cp:lastModifiedBy>土豆排骨的滋味</cp:lastModifiedBy>
  <dcterms:modified xsi:type="dcterms:W3CDTF">2025-03-21T06:31:58Z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4DFE2B2D280240E2A7D295D9DCE120B1_11</vt:lpwstr>
  </property>
  <property fmtid="{D5CDD505-2E9C-101B-9397-08002B2CF9AE}" pid="4" name="KSOTemplateDocerSaveRecord">
    <vt:lpwstr>eyJoZGlkIjoiOGM1MWM1MGQ5NzM2ZmQyZjM0M2FkMTA1ZTQzZTljNTAiLCJ1c2VySWQiOiIxMTA2MzUwMTgxIn0=</vt:lpwstr>
  </property>
</Properties>
</file>