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LCCQJJ20250324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3月24日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3月21日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（工作日上班时间：08:00-12:00,14:30-17:30）</w:t>
      </w:r>
      <w:bookmarkStart w:id="3" w:name="_GoBack"/>
      <w:bookmarkEnd w:id="3"/>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连城县天泉湾酒店保安队设备及园林绿化物品采购项目</w:t>
      </w:r>
      <w:r>
        <w:rPr>
          <w:rFonts w:hint="eastAsia" w:asciiTheme="minorEastAsia" w:hAnsiTheme="minorEastAsia" w:eastAsiaTheme="minorEastAsia" w:cstheme="minorEastAsia"/>
          <w:color w:val="auto"/>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.供货</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3.采购清单：</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详见附件2《连城县天泉湾酒店保安队设备及园林绿化物品采购项目采购清单》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4.最高控制价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本项目最高控制价为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78915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元（含税包干），其中保安队设备7180元，园林绿化物品71735元。</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5.供货期限：合同签订后15日历日内完成供货并安装完毕。</w:t>
      </w:r>
    </w:p>
    <w:p>
      <w:pPr>
        <w:spacing w:line="360" w:lineRule="auto"/>
        <w:ind w:firstLine="480" w:firstLineChars="200"/>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shd w:val="clear"/>
          <w:lang w:val="en-US" w:eastAsia="zh-CN"/>
          <w14:textFill>
            <w14:solidFill>
              <w14:schemeClr w14:val="tx1"/>
            </w14:solidFill>
          </w14:textFill>
        </w:rPr>
        <w:t>6.供货要求：成交人根据与委托人签订的《供货合同》完成供货。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w:t>
      </w:r>
      <w:r>
        <w:rPr>
          <w:rFonts w:hint="eastAsia" w:ascii="宋体" w:hAnsi="宋体" w:eastAsia="宋体" w:cs="宋体"/>
          <w:b/>
          <w:bCs/>
          <w:color w:val="000000"/>
          <w:sz w:val="24"/>
          <w:szCs w:val="24"/>
          <w:highlight w:val="none"/>
          <w:lang w:val="en-US" w:eastAsia="zh-CN"/>
        </w:rPr>
        <w:t>1年</w:t>
      </w:r>
      <w:r>
        <w:rPr>
          <w:rFonts w:hint="eastAsia" w:ascii="宋体" w:hAnsi="宋体" w:eastAsia="宋体" w:cs="宋体"/>
          <w:b/>
          <w:bCs/>
          <w:color w:val="0000FF"/>
          <w:highlight w:val="none"/>
          <w:lang w:val="en-US" w:eastAsia="zh-CN"/>
        </w:rPr>
        <w:t>(易耗品除外）</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p>
    <w:tbl>
      <w:tblPr>
        <w:tblStyle w:val="14"/>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highlight w:val="none"/>
                <w:lang w:eastAsia="zh-CN"/>
              </w:rPr>
            </w:pPr>
            <w:r>
              <w:rPr>
                <w:rFonts w:hint="eastAsia" w:ascii="宋体" w:hAnsi="宋体" w:cs="宋体"/>
                <w:sz w:val="24"/>
                <w:szCs w:val="24"/>
                <w:highlight w:val="none"/>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default" w:ascii="宋体" w:hAnsi="宋体" w:eastAsia="宋体" w:cs="宋体"/>
                <w:sz w:val="24"/>
                <w:highlight w:val="none"/>
                <w:lang w:val="en-US"/>
              </w:rPr>
            </w:pPr>
            <w:r>
              <w:rPr>
                <w:rFonts w:hint="eastAsia" w:cs="宋体"/>
                <w:sz w:val="24"/>
                <w:highlight w:val="none"/>
                <w:lang w:val="en-US" w:eastAsia="zh-CN"/>
              </w:rPr>
              <w:t>95</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highlight w:val="none"/>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所有货物供货完成并经委托人最终验收合格后，且</w:t>
            </w:r>
            <w:r>
              <w:rPr>
                <w:rFonts w:hint="eastAsia" w:ascii="宋体" w:hAnsi="宋体" w:cs="宋体"/>
                <w:sz w:val="24"/>
                <w:highlight w:val="none"/>
                <w:u w:val="none"/>
                <w:lang w:val="en-US" w:eastAsia="zh-CN"/>
              </w:rPr>
              <w:t>成交人</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提供相关票据的，7个工作日内支付至合同价款的</w:t>
            </w:r>
            <w:r>
              <w:rPr>
                <w:rFonts w:hint="eastAsia" w:cs="宋体"/>
                <w:sz w:val="24"/>
                <w:highlight w:val="none"/>
                <w:lang w:val="en-US" w:eastAsia="zh-CN"/>
              </w:rPr>
              <w:t>95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eastAsia" w:ascii="宋体" w:hAnsi="宋体" w:cs="宋体"/>
                <w:sz w:val="24"/>
                <w:szCs w:val="24"/>
                <w:highlight w:val="none"/>
                <w:lang w:val="en-US" w:eastAsia="zh-CN"/>
              </w:rPr>
            </w:pPr>
            <w:r>
              <w:rPr>
                <w:rFonts w:hint="eastAsia" w:cs="宋体"/>
                <w:sz w:val="24"/>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highlight w:val="none"/>
                <w:lang w:val="en-US" w:eastAsia="zh-CN"/>
              </w:rPr>
            </w:pPr>
            <w:r>
              <w:rPr>
                <w:rFonts w:hint="eastAsia" w:ascii="宋体" w:hAnsi="宋体" w:cs="宋体"/>
                <w:sz w:val="24"/>
                <w:highlight w:val="none"/>
              </w:rPr>
              <w:t>设备质保期</w:t>
            </w:r>
            <w:r>
              <w:rPr>
                <w:rFonts w:hint="eastAsia" w:ascii="宋体" w:hAnsi="宋体" w:cs="宋体"/>
                <w:sz w:val="24"/>
                <w:highlight w:val="none"/>
                <w:lang w:val="en-US" w:eastAsia="zh-CN"/>
              </w:rPr>
              <w:t>满</w:t>
            </w:r>
            <w:r>
              <w:rPr>
                <w:rFonts w:hint="eastAsia" w:ascii="宋体" w:hAnsi="宋体" w:cs="宋体"/>
                <w:sz w:val="24"/>
                <w:highlight w:val="none"/>
              </w:rPr>
              <w:t>后且</w:t>
            </w:r>
            <w:r>
              <w:rPr>
                <w:rFonts w:hint="eastAsia" w:ascii="宋体" w:hAnsi="宋体" w:cs="宋体"/>
                <w:color w:val="000000"/>
                <w:kern w:val="0"/>
                <w:sz w:val="24"/>
                <w:highlight w:val="none"/>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highlight w:val="none"/>
              </w:rPr>
              <w:t>支付</w:t>
            </w:r>
            <w:r>
              <w:rPr>
                <w:rFonts w:hint="eastAsia" w:ascii="宋体" w:hAnsi="宋体" w:cs="宋体"/>
                <w:sz w:val="24"/>
                <w:highlight w:val="none"/>
                <w:lang w:val="en-US" w:eastAsia="zh-CN"/>
              </w:rPr>
              <w:t>剩余合同价款（</w:t>
            </w:r>
            <w:r>
              <w:rPr>
                <w:rFonts w:hint="eastAsia" w:ascii="宋体" w:hAnsi="宋体" w:cs="宋体"/>
                <w:sz w:val="24"/>
                <w:highlight w:val="none"/>
                <w:u w:val="none"/>
                <w:lang w:val="en-US" w:eastAsia="zh-CN"/>
              </w:rPr>
              <w:t>如成交人</w:t>
            </w:r>
            <w:r>
              <w:rPr>
                <w:rFonts w:hint="eastAsia" w:ascii="宋体" w:hAnsi="宋体" w:eastAsia="宋体" w:cs="宋体"/>
                <w:color w:val="000000"/>
                <w:kern w:val="0"/>
                <w:sz w:val="24"/>
                <w:szCs w:val="24"/>
                <w:highlight w:val="none"/>
                <w:u w:val="none"/>
              </w:rPr>
              <w:t>未能按</w:t>
            </w:r>
            <w:r>
              <w:rPr>
                <w:rFonts w:hint="eastAsia" w:ascii="宋体" w:hAnsi="宋体" w:eastAsia="宋体" w:cs="宋体"/>
                <w:color w:val="000000"/>
                <w:kern w:val="0"/>
                <w:sz w:val="24"/>
                <w:szCs w:val="24"/>
                <w:highlight w:val="none"/>
                <w:u w:val="none"/>
                <w:lang w:val="en-US" w:eastAsia="zh-CN"/>
              </w:rPr>
              <w:t>相关</w:t>
            </w:r>
            <w:r>
              <w:rPr>
                <w:rFonts w:hint="eastAsia" w:ascii="宋体" w:hAnsi="宋体" w:eastAsia="宋体" w:cs="宋体"/>
                <w:color w:val="000000"/>
                <w:kern w:val="0"/>
                <w:sz w:val="24"/>
                <w:szCs w:val="24"/>
                <w:highlight w:val="none"/>
                <w:u w:val="none"/>
              </w:rPr>
              <w:t>约定按时做好保修而使</w:t>
            </w:r>
            <w:r>
              <w:rPr>
                <w:rFonts w:hint="eastAsia" w:ascii="宋体" w:hAnsi="宋体" w:cs="宋体"/>
                <w:color w:val="000000"/>
                <w:kern w:val="0"/>
                <w:sz w:val="24"/>
                <w:szCs w:val="24"/>
                <w:highlight w:val="none"/>
                <w:u w:val="none"/>
                <w:lang w:val="en-US" w:eastAsia="zh-CN"/>
              </w:rPr>
              <w:t>委托人</w:t>
            </w:r>
            <w:r>
              <w:rPr>
                <w:rFonts w:hint="eastAsia" w:ascii="宋体" w:hAnsi="宋体" w:eastAsia="宋体" w:cs="宋体"/>
                <w:color w:val="000000"/>
                <w:kern w:val="0"/>
                <w:sz w:val="24"/>
                <w:szCs w:val="24"/>
                <w:highlight w:val="none"/>
                <w:u w:val="none"/>
              </w:rPr>
              <w:t>不得不自行组织返修</w:t>
            </w:r>
            <w:r>
              <w:rPr>
                <w:rFonts w:hint="eastAsia" w:ascii="宋体" w:hAnsi="宋体" w:eastAsia="宋体" w:cs="宋体"/>
                <w:color w:val="000000"/>
                <w:kern w:val="0"/>
                <w:sz w:val="24"/>
                <w:szCs w:val="24"/>
                <w:highlight w:val="none"/>
                <w:u w:val="none"/>
                <w:lang w:eastAsia="zh-CN"/>
              </w:rPr>
              <w:t>或请第三方进行维修</w:t>
            </w:r>
            <w:r>
              <w:rPr>
                <w:rFonts w:hint="eastAsia" w:ascii="宋体" w:hAnsi="宋体" w:eastAsia="宋体" w:cs="宋体"/>
                <w:color w:val="000000"/>
                <w:kern w:val="0"/>
                <w:sz w:val="24"/>
                <w:szCs w:val="24"/>
                <w:highlight w:val="none"/>
                <w:u w:val="none"/>
              </w:rPr>
              <w:t>的，则发生费用应在</w:t>
            </w:r>
            <w:r>
              <w:rPr>
                <w:rFonts w:hint="eastAsia" w:ascii="宋体" w:hAnsi="宋体" w:eastAsia="宋体" w:cs="宋体"/>
                <w:color w:val="000000"/>
                <w:kern w:val="0"/>
                <w:sz w:val="24"/>
                <w:szCs w:val="24"/>
                <w:highlight w:val="none"/>
                <w:u w:val="none"/>
                <w:lang w:val="en-US" w:eastAsia="zh-CN"/>
              </w:rPr>
              <w:t>此次支付费用中</w:t>
            </w:r>
            <w:r>
              <w:rPr>
                <w:rFonts w:hint="eastAsia" w:ascii="宋体" w:hAnsi="宋体" w:eastAsia="宋体" w:cs="宋体"/>
                <w:color w:val="000000"/>
                <w:kern w:val="0"/>
                <w:sz w:val="24"/>
                <w:szCs w:val="24"/>
                <w:highlight w:val="none"/>
                <w:u w:val="none"/>
              </w:rPr>
              <w:t>扣除</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lang w:val="en-US" w:eastAsia="zh-CN"/>
              </w:rPr>
              <w:t>剩余款项再由</w:t>
            </w:r>
            <w:r>
              <w:rPr>
                <w:rFonts w:hint="eastAsia" w:ascii="宋体" w:hAnsi="宋体" w:cs="宋体"/>
                <w:color w:val="000000"/>
                <w:kern w:val="0"/>
                <w:sz w:val="24"/>
                <w:szCs w:val="24"/>
                <w:highlight w:val="none"/>
                <w:u w:val="none"/>
                <w:lang w:val="en-US" w:eastAsia="zh-CN"/>
              </w:rPr>
              <w:t>委托人</w:t>
            </w:r>
            <w:r>
              <w:rPr>
                <w:rFonts w:hint="eastAsia" w:ascii="宋体" w:hAnsi="宋体" w:eastAsia="宋体" w:cs="宋体"/>
                <w:color w:val="000000"/>
                <w:kern w:val="0"/>
                <w:sz w:val="24"/>
                <w:szCs w:val="24"/>
                <w:highlight w:val="none"/>
                <w:u w:val="none"/>
                <w:lang w:val="en-US" w:eastAsia="zh-CN"/>
              </w:rPr>
              <w:t>支付给</w:t>
            </w:r>
            <w:r>
              <w:rPr>
                <w:rFonts w:hint="eastAsia" w:ascii="宋体" w:hAnsi="宋体" w:cs="宋体"/>
                <w:color w:val="000000"/>
                <w:kern w:val="0"/>
                <w:sz w:val="24"/>
                <w:szCs w:val="24"/>
                <w:highlight w:val="none"/>
                <w:u w:val="none"/>
                <w:lang w:val="en-US" w:eastAsia="zh-CN"/>
              </w:rPr>
              <w:t>成交人</w:t>
            </w:r>
            <w:r>
              <w:rPr>
                <w:rFonts w:hint="eastAsia" w:ascii="宋体" w:hAnsi="宋体" w:cs="宋体"/>
                <w:sz w:val="24"/>
                <w:highlight w:val="none"/>
                <w:u w:val="none"/>
                <w:lang w:val="en-US" w:eastAsia="zh-CN"/>
              </w:rPr>
              <w:t>）</w:t>
            </w:r>
            <w:r>
              <w:rPr>
                <w:rFonts w:hint="eastAsia" w:ascii="宋体" w:hAnsi="宋体" w:cs="宋体"/>
                <w:sz w:val="24"/>
                <w:highlight w:val="none"/>
                <w:lang w:val="en-US" w:eastAsia="zh-CN"/>
              </w:rPr>
              <w:t>。</w:t>
            </w:r>
          </w:p>
        </w:tc>
      </w:tr>
    </w:tbl>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15</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2025年3月21日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78915</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78915</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78915</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2025年3月18日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连城县天泉湾酒店保安队设备及园林绿化物品采购项目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LCCQJJ20250324</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bookmarkEnd w:id="1"/>
    <w:p/>
    <w:p>
      <w:pPr>
        <w:pStyle w:val="6"/>
      </w:pPr>
    </w:p>
    <w:p/>
    <w:p>
      <w:pPr>
        <w:pStyle w:val="6"/>
      </w:pPr>
    </w:p>
    <w:p/>
    <w:p>
      <w:pPr>
        <w:pStyle w:val="6"/>
      </w:pPr>
    </w:p>
    <w:p/>
    <w:p>
      <w:pPr>
        <w:pStyle w:val="6"/>
      </w:pPr>
    </w:p>
    <w:p/>
    <w:p/>
    <w:p>
      <w:pPr>
        <w:pStyle w:val="6"/>
      </w:pPr>
    </w:p>
    <w:p/>
    <w:p>
      <w:pPr>
        <w:pStyle w:val="6"/>
      </w:pPr>
    </w:p>
    <w:p>
      <w:pPr>
        <w:pStyle w:val="20"/>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bookmarkStart w:id="2" w:name="OLE_LINK3"/>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附件</w:t>
      </w:r>
      <w:r>
        <w:rPr>
          <w:rStyle w:val="17"/>
          <w:rFonts w:hint="eastAsia" w:hAnsi="宋体" w:cs="宋体"/>
          <w:color w:val="000000" w:themeColor="text1"/>
          <w:spacing w:val="0"/>
          <w:sz w:val="32"/>
          <w:szCs w:val="32"/>
          <w:highlight w:val="none"/>
          <w:lang w:val="en-US" w:eastAsia="zh-CN"/>
          <w14:textFill>
            <w14:solidFill>
              <w14:schemeClr w14:val="tx1"/>
            </w14:solidFill>
          </w14:textFill>
        </w:rPr>
        <w:t>1</w:t>
      </w:r>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w:t>
      </w:r>
      <w:r>
        <w:rPr>
          <w:rStyle w:val="17"/>
          <w:rFonts w:hint="eastAsia" w:hAnsi="宋体" w:cs="宋体"/>
          <w:color w:val="000000" w:themeColor="text1"/>
          <w:spacing w:val="0"/>
          <w:sz w:val="32"/>
          <w:szCs w:val="32"/>
          <w:highlight w:val="none"/>
          <w:lang w:val="en-US" w:eastAsia="zh-CN"/>
          <w14:textFill>
            <w14:solidFill>
              <w14:schemeClr w14:val="tx1"/>
            </w14:solidFill>
          </w14:textFill>
        </w:rPr>
        <w:t xml:space="preserve"> </w:t>
      </w:r>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供货</w:t>
      </w:r>
      <w:r>
        <w:rPr>
          <w:rStyle w:val="17"/>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20"/>
        <w:spacing w:line="360" w:lineRule="auto"/>
        <w:ind w:firstLine="482" w:firstLineChars="200"/>
        <w:outlineLvl w:val="9"/>
        <w:rPr>
          <w:rFonts w:hAnsi="宋体"/>
          <w:b/>
          <w:sz w:val="24"/>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7"/>
          <w:rFonts w:hint="eastAsia" w:asciiTheme="minorEastAsia" w:hAnsiTheme="minorEastAsia" w:eastAsiaTheme="minorEastAsia" w:cstheme="minorEastAsia"/>
          <w:b/>
          <w:bCs/>
          <w:sz w:val="24"/>
        </w:rPr>
        <w:t>1、签订合同应遵守《中华人民共和国民法典》等法律法规。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7"/>
          <w:rFonts w:hint="eastAsia" w:asciiTheme="minorEastAsia" w:hAnsiTheme="minorEastAsia" w:eastAsiaTheme="minorEastAsia" w:cstheme="minorEastAsia"/>
          <w:b/>
          <w:bCs/>
          <w:sz w:val="24"/>
        </w:rPr>
        <w:t>2、签订合同时，</w:t>
      </w:r>
      <w:r>
        <w:rPr>
          <w:rStyle w:val="17"/>
          <w:rFonts w:hint="eastAsia" w:asciiTheme="minorEastAsia" w:hAnsiTheme="minorEastAsia" w:eastAsiaTheme="minorEastAsia" w:cstheme="minorEastAsia"/>
          <w:b/>
          <w:bCs/>
          <w:sz w:val="24"/>
          <w:lang w:eastAsia="zh-CN"/>
        </w:rPr>
        <w:t>委托人</w:t>
      </w:r>
      <w:r>
        <w:rPr>
          <w:rStyle w:val="17"/>
          <w:rFonts w:hint="eastAsia" w:asciiTheme="minorEastAsia" w:hAnsiTheme="minorEastAsia" w:eastAsiaTheme="minorEastAsia" w:cstheme="minorEastAsia"/>
          <w:b/>
          <w:bCs/>
          <w:sz w:val="24"/>
        </w:rPr>
        <w:t>与</w:t>
      </w:r>
      <w:r>
        <w:rPr>
          <w:rStyle w:val="17"/>
          <w:rFonts w:hint="eastAsia" w:asciiTheme="minorEastAsia" w:hAnsiTheme="minorEastAsia" w:eastAsiaTheme="minorEastAsia" w:cstheme="minorEastAsia"/>
          <w:b/>
          <w:bCs/>
          <w:sz w:val="24"/>
          <w:lang w:val="en-US" w:eastAsia="zh-CN"/>
        </w:rPr>
        <w:t>成交人</w:t>
      </w:r>
      <w:r>
        <w:rPr>
          <w:rStyle w:val="17"/>
          <w:rFonts w:hint="eastAsia" w:asciiTheme="minorEastAsia" w:hAnsiTheme="minorEastAsia" w:eastAsiaTheme="minorEastAsia" w:cstheme="minorEastAsia"/>
          <w:b/>
          <w:bCs/>
          <w:sz w:val="24"/>
        </w:rPr>
        <w:t>应结合</w:t>
      </w:r>
      <w:r>
        <w:rPr>
          <w:rStyle w:val="17"/>
          <w:rFonts w:hint="eastAsia" w:asciiTheme="minorEastAsia" w:hAnsiTheme="minorEastAsia" w:eastAsiaTheme="minorEastAsia" w:cstheme="minorEastAsia"/>
          <w:b/>
          <w:bCs/>
          <w:sz w:val="24"/>
          <w:lang w:val="en-US" w:eastAsia="zh-CN"/>
        </w:rPr>
        <w:t>竞价文件相关</w:t>
      </w:r>
      <w:r>
        <w:rPr>
          <w:rStyle w:val="17"/>
          <w:rFonts w:hint="eastAsia" w:asciiTheme="minorEastAsia" w:hAnsiTheme="minorEastAsia" w:eastAsiaTheme="minorEastAsia" w:cstheme="minorEastAsia"/>
          <w:b/>
          <w:bCs/>
          <w:sz w:val="24"/>
        </w:rPr>
        <w:t>规定填列相应内容。</w:t>
      </w:r>
      <w:r>
        <w:rPr>
          <w:rStyle w:val="17"/>
          <w:rFonts w:hint="eastAsia" w:asciiTheme="minorEastAsia" w:hAnsiTheme="minorEastAsia" w:eastAsiaTheme="minorEastAsia" w:cstheme="minorEastAsia"/>
          <w:b/>
          <w:bCs/>
          <w:sz w:val="24"/>
          <w:lang w:val="en-US" w:eastAsia="zh-CN"/>
        </w:rPr>
        <w:t>竞价文件</w:t>
      </w:r>
      <w:r>
        <w:rPr>
          <w:rStyle w:val="17"/>
          <w:rFonts w:hint="eastAsia" w:asciiTheme="minorEastAsia" w:hAnsiTheme="minorEastAsia" w:eastAsiaTheme="minorEastAsia" w:cstheme="minorEastAsia"/>
          <w:b/>
          <w:bCs/>
          <w:sz w:val="24"/>
        </w:rPr>
        <w:t>第三章已有规定的，双方均不得变更或调整；</w:t>
      </w:r>
      <w:r>
        <w:rPr>
          <w:rStyle w:val="17"/>
          <w:rFonts w:hint="eastAsia" w:asciiTheme="minorEastAsia" w:hAnsiTheme="minorEastAsia" w:eastAsiaTheme="minorEastAsia" w:cstheme="minorEastAsia"/>
          <w:b/>
          <w:bCs/>
          <w:sz w:val="24"/>
          <w:lang w:val="en-US" w:eastAsia="zh-CN"/>
        </w:rPr>
        <w:t>竞价文件</w:t>
      </w:r>
      <w:r>
        <w:rPr>
          <w:rStyle w:val="17"/>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7"/>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val="en-US" w:eastAsia="zh-CN"/>
        </w:rPr>
        <w:t>甲</w:t>
      </w:r>
      <w:r>
        <w:rPr>
          <w:rFonts w:hint="eastAsia" w:asciiTheme="minorEastAsia" w:hAnsiTheme="minorEastAsia" w:cstheme="minorEastAsia"/>
          <w:spacing w:val="0"/>
          <w:sz w:val="24"/>
          <w:szCs w:val="24"/>
          <w:u w:val="single"/>
          <w:lang w:eastAsia="zh-CN"/>
        </w:rPr>
        <w:t>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2"/>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4.1交付时间：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eastAsiaTheme="minorEastAsia"/>
          <w:sz w:val="24"/>
          <w:lang w:val="en-US" w:eastAsia="zh-CN"/>
        </w:rPr>
        <w:t>2</w:t>
      </w:r>
      <w:r>
        <w:rPr>
          <w:rFonts w:hint="eastAsia" w:ascii="宋体" w:hAnsi="宋体"/>
          <w:sz w:val="24"/>
        </w:rPr>
        <w:t>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3</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连城县天泉湾酒店保安队设备及园林绿化物品采购项目</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2"/>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4"/>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cs="宋体"/>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default" w:ascii="宋体" w:hAnsi="宋体" w:eastAsia="宋体" w:cs="宋体"/>
                <w:sz w:val="24"/>
                <w:szCs w:val="22"/>
                <w:highlight w:val="none"/>
                <w:lang w:val="en-US"/>
              </w:rPr>
            </w:pPr>
            <w:r>
              <w:rPr>
                <w:rFonts w:hint="eastAsia" w:cs="宋体"/>
                <w:sz w:val="24"/>
                <w:szCs w:val="22"/>
                <w:highlight w:val="none"/>
                <w:lang w:val="en-US" w:eastAsia="zh-CN"/>
              </w:rPr>
              <w:t>95</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szCs w:val="22"/>
                <w:highlight w:val="none"/>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所有货物供货完成并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经甲方最终验收合格后且</w:t>
            </w:r>
            <w:r>
              <w:rPr>
                <w:rFonts w:hint="eastAsia" w:ascii="宋体" w:hAnsi="宋体" w:eastAsia="宋体" w:cs="宋体"/>
                <w:sz w:val="24"/>
                <w:szCs w:val="22"/>
                <w:highlight w:val="none"/>
                <w:u w:val="none"/>
                <w:lang w:val="en-US" w:eastAsia="zh-CN"/>
              </w:rPr>
              <w:t>乙方</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提供相关票据的，7个工作日内支付至合同价款的</w:t>
            </w:r>
            <w:r>
              <w:rPr>
                <w:rFonts w:hint="eastAsia" w:ascii="宋体" w:hAnsi="宋体" w:cs="宋体"/>
                <w:sz w:val="24"/>
                <w:szCs w:val="22"/>
                <w:highlight w:val="none"/>
                <w:lang w:val="en-US" w:eastAsia="zh-CN"/>
              </w:rPr>
              <w:t>95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eastAsia" w:ascii="宋体" w:hAnsi="宋体" w:cs="宋体"/>
                <w:sz w:val="24"/>
                <w:szCs w:val="24"/>
                <w:highlight w:val="none"/>
                <w:lang w:val="en-US" w:eastAsia="zh-CN"/>
              </w:rPr>
            </w:pPr>
            <w:r>
              <w:rPr>
                <w:rFonts w:hint="eastAsia" w:cs="宋体"/>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highlight w:val="none"/>
                <w:lang w:val="en-US" w:eastAsia="zh-CN"/>
              </w:rPr>
            </w:pPr>
            <w:r>
              <w:rPr>
                <w:rFonts w:hint="eastAsia" w:ascii="宋体" w:hAnsi="宋体" w:cs="宋体"/>
                <w:sz w:val="24"/>
                <w:szCs w:val="22"/>
                <w:highlight w:val="none"/>
              </w:rPr>
              <w:t>设备质保期</w:t>
            </w:r>
            <w:r>
              <w:rPr>
                <w:rFonts w:hint="eastAsia" w:ascii="宋体" w:hAnsi="宋体" w:cs="宋体"/>
                <w:sz w:val="24"/>
                <w:szCs w:val="22"/>
                <w:highlight w:val="none"/>
                <w:lang w:val="en-US" w:eastAsia="zh-CN"/>
              </w:rPr>
              <w:t>满</w:t>
            </w:r>
            <w:r>
              <w:rPr>
                <w:rFonts w:hint="eastAsia" w:ascii="宋体" w:hAnsi="宋体" w:cs="宋体"/>
                <w:sz w:val="24"/>
                <w:szCs w:val="22"/>
                <w:highlight w:val="none"/>
              </w:rPr>
              <w:t>后且</w:t>
            </w:r>
            <w:r>
              <w:rPr>
                <w:rFonts w:hint="eastAsia" w:ascii="宋体" w:hAnsi="宋体" w:cs="宋体"/>
                <w:color w:val="000000"/>
                <w:kern w:val="0"/>
                <w:sz w:val="24"/>
                <w:szCs w:val="22"/>
                <w:highlight w:val="none"/>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szCs w:val="22"/>
                <w:highlight w:val="none"/>
              </w:rPr>
              <w:t>支付</w:t>
            </w:r>
            <w:r>
              <w:rPr>
                <w:rFonts w:hint="eastAsia" w:ascii="宋体" w:hAnsi="宋体" w:cs="宋体"/>
                <w:sz w:val="24"/>
                <w:szCs w:val="22"/>
                <w:highlight w:val="none"/>
                <w:lang w:val="en-US" w:eastAsia="zh-CN"/>
              </w:rPr>
              <w:t>剩余合同价款（</w:t>
            </w:r>
            <w:r>
              <w:rPr>
                <w:rFonts w:hint="eastAsia" w:ascii="宋体" w:hAnsi="宋体" w:cs="宋体"/>
                <w:sz w:val="24"/>
                <w:szCs w:val="22"/>
                <w:highlight w:val="none"/>
                <w:u w:val="none"/>
                <w:lang w:val="en-US" w:eastAsia="zh-CN"/>
              </w:rPr>
              <w:t>如乙方</w:t>
            </w:r>
            <w:r>
              <w:rPr>
                <w:rFonts w:hint="eastAsia" w:ascii="宋体" w:hAnsi="宋体" w:eastAsia="宋体" w:cs="宋体"/>
                <w:color w:val="000000"/>
                <w:kern w:val="0"/>
                <w:sz w:val="24"/>
                <w:szCs w:val="24"/>
                <w:highlight w:val="none"/>
                <w:u w:val="none"/>
              </w:rPr>
              <w:t>未能按</w:t>
            </w:r>
            <w:r>
              <w:rPr>
                <w:rFonts w:hint="eastAsia" w:ascii="宋体" w:hAnsi="宋体" w:eastAsia="宋体" w:cs="宋体"/>
                <w:color w:val="000000"/>
                <w:kern w:val="0"/>
                <w:sz w:val="24"/>
                <w:szCs w:val="24"/>
                <w:highlight w:val="none"/>
                <w:u w:val="none"/>
                <w:lang w:val="en-US" w:eastAsia="zh-CN"/>
              </w:rPr>
              <w:t>相关</w:t>
            </w:r>
            <w:r>
              <w:rPr>
                <w:rFonts w:hint="eastAsia" w:ascii="宋体" w:hAnsi="宋体" w:eastAsia="宋体" w:cs="宋体"/>
                <w:color w:val="000000"/>
                <w:kern w:val="0"/>
                <w:sz w:val="24"/>
                <w:szCs w:val="24"/>
                <w:highlight w:val="none"/>
                <w:u w:val="none"/>
              </w:rPr>
              <w:t>约定按时做好保修而使</w:t>
            </w:r>
            <w:r>
              <w:rPr>
                <w:rFonts w:hint="eastAsia" w:ascii="宋体" w:hAnsi="宋体" w:cs="宋体"/>
                <w:color w:val="000000"/>
                <w:kern w:val="0"/>
                <w:sz w:val="24"/>
                <w:szCs w:val="24"/>
                <w:highlight w:val="none"/>
                <w:u w:val="none"/>
                <w:lang w:val="en-US" w:eastAsia="zh-CN"/>
              </w:rPr>
              <w:t>甲方</w:t>
            </w:r>
            <w:r>
              <w:rPr>
                <w:rFonts w:hint="eastAsia" w:ascii="宋体" w:hAnsi="宋体" w:eastAsia="宋体" w:cs="宋体"/>
                <w:color w:val="000000"/>
                <w:kern w:val="0"/>
                <w:sz w:val="24"/>
                <w:szCs w:val="24"/>
                <w:highlight w:val="none"/>
                <w:u w:val="none"/>
              </w:rPr>
              <w:t>不得不自行组织返修</w:t>
            </w:r>
            <w:r>
              <w:rPr>
                <w:rFonts w:hint="eastAsia" w:ascii="宋体" w:hAnsi="宋体" w:eastAsia="宋体" w:cs="宋体"/>
                <w:color w:val="000000"/>
                <w:kern w:val="0"/>
                <w:sz w:val="24"/>
                <w:szCs w:val="24"/>
                <w:highlight w:val="none"/>
                <w:u w:val="none"/>
                <w:lang w:eastAsia="zh-CN"/>
              </w:rPr>
              <w:t>或请第三方进行维修</w:t>
            </w:r>
            <w:r>
              <w:rPr>
                <w:rFonts w:hint="eastAsia" w:ascii="宋体" w:hAnsi="宋体" w:eastAsia="宋体" w:cs="宋体"/>
                <w:color w:val="000000"/>
                <w:kern w:val="0"/>
                <w:sz w:val="24"/>
                <w:szCs w:val="24"/>
                <w:highlight w:val="none"/>
                <w:u w:val="none"/>
              </w:rPr>
              <w:t>的，则发生费用应在</w:t>
            </w:r>
            <w:r>
              <w:rPr>
                <w:rFonts w:hint="eastAsia" w:ascii="宋体" w:hAnsi="宋体" w:eastAsia="宋体" w:cs="宋体"/>
                <w:color w:val="000000"/>
                <w:kern w:val="0"/>
                <w:sz w:val="24"/>
                <w:szCs w:val="24"/>
                <w:highlight w:val="none"/>
                <w:u w:val="none"/>
                <w:lang w:val="en-US" w:eastAsia="zh-CN"/>
              </w:rPr>
              <w:t>此次支付费用中</w:t>
            </w:r>
            <w:r>
              <w:rPr>
                <w:rFonts w:hint="eastAsia" w:ascii="宋体" w:hAnsi="宋体" w:eastAsia="宋体" w:cs="宋体"/>
                <w:color w:val="000000"/>
                <w:kern w:val="0"/>
                <w:sz w:val="24"/>
                <w:szCs w:val="24"/>
                <w:highlight w:val="none"/>
                <w:u w:val="none"/>
              </w:rPr>
              <w:t>扣除</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lang w:val="en-US" w:eastAsia="zh-CN"/>
              </w:rPr>
              <w:t>剩余款项再由</w:t>
            </w:r>
            <w:r>
              <w:rPr>
                <w:rFonts w:hint="eastAsia" w:ascii="宋体" w:hAnsi="宋体" w:cs="宋体"/>
                <w:color w:val="000000"/>
                <w:kern w:val="0"/>
                <w:sz w:val="24"/>
                <w:szCs w:val="24"/>
                <w:highlight w:val="none"/>
                <w:u w:val="none"/>
                <w:lang w:val="en-US" w:eastAsia="zh-CN"/>
              </w:rPr>
              <w:t>甲方</w:t>
            </w:r>
            <w:r>
              <w:rPr>
                <w:rFonts w:hint="eastAsia" w:ascii="宋体" w:hAnsi="宋体" w:eastAsia="宋体" w:cs="宋体"/>
                <w:color w:val="000000"/>
                <w:kern w:val="0"/>
                <w:sz w:val="24"/>
                <w:szCs w:val="24"/>
                <w:highlight w:val="none"/>
                <w:u w:val="none"/>
                <w:lang w:val="en-US" w:eastAsia="zh-CN"/>
              </w:rPr>
              <w:t>支付给乙方</w:t>
            </w:r>
            <w:r>
              <w:rPr>
                <w:rFonts w:hint="eastAsia" w:ascii="宋体" w:hAnsi="宋体" w:cs="宋体"/>
                <w:sz w:val="24"/>
                <w:szCs w:val="22"/>
                <w:highlight w:val="none"/>
                <w:u w:val="none"/>
                <w:lang w:val="en-US" w:eastAsia="zh-CN"/>
              </w:rPr>
              <w:t>）</w:t>
            </w:r>
            <w:r>
              <w:rPr>
                <w:rFonts w:hint="eastAsia" w:ascii="宋体" w:hAnsi="宋体" w:cs="宋体"/>
                <w:sz w:val="24"/>
                <w:szCs w:val="22"/>
                <w:highlight w:val="none"/>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1"/>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11"/>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2"/>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2"/>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11"/>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11"/>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11"/>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11"/>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2"/>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2"/>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3"/>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bookmarkEnd w:id="0"/>
      <w:bookmarkEnd w:id="2"/>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F12A2E"/>
    <w:rsid w:val="0A2F0DBE"/>
    <w:rsid w:val="0D7D50C5"/>
    <w:rsid w:val="0E97237F"/>
    <w:rsid w:val="0FE577B4"/>
    <w:rsid w:val="1001144E"/>
    <w:rsid w:val="13761663"/>
    <w:rsid w:val="151B0977"/>
    <w:rsid w:val="166C0A45"/>
    <w:rsid w:val="1A2E7004"/>
    <w:rsid w:val="1C063FC0"/>
    <w:rsid w:val="1D7E66E9"/>
    <w:rsid w:val="1F986481"/>
    <w:rsid w:val="1FB77434"/>
    <w:rsid w:val="290520D8"/>
    <w:rsid w:val="2AEB24EE"/>
    <w:rsid w:val="2BDB5197"/>
    <w:rsid w:val="2BE0636B"/>
    <w:rsid w:val="2E3F3416"/>
    <w:rsid w:val="303411DC"/>
    <w:rsid w:val="316771C6"/>
    <w:rsid w:val="318F29B2"/>
    <w:rsid w:val="31D67EB0"/>
    <w:rsid w:val="32EC51EE"/>
    <w:rsid w:val="376F3581"/>
    <w:rsid w:val="3802063D"/>
    <w:rsid w:val="38A76359"/>
    <w:rsid w:val="3AA91F1E"/>
    <w:rsid w:val="3AF410E4"/>
    <w:rsid w:val="3C514CA0"/>
    <w:rsid w:val="3CC179FF"/>
    <w:rsid w:val="3E340DCB"/>
    <w:rsid w:val="3E467EA9"/>
    <w:rsid w:val="41096229"/>
    <w:rsid w:val="411B561D"/>
    <w:rsid w:val="44A21BB1"/>
    <w:rsid w:val="456B28EB"/>
    <w:rsid w:val="45CD1A34"/>
    <w:rsid w:val="475A5FE3"/>
    <w:rsid w:val="4A174A8F"/>
    <w:rsid w:val="4C72630D"/>
    <w:rsid w:val="4EF7302E"/>
    <w:rsid w:val="513A7B13"/>
    <w:rsid w:val="51BD6537"/>
    <w:rsid w:val="52623FB6"/>
    <w:rsid w:val="52896FF7"/>
    <w:rsid w:val="558C043F"/>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B01893"/>
    <w:rsid w:val="76B40C43"/>
    <w:rsid w:val="76F93003"/>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line="20" w:lineRule="atLeast"/>
      <w:ind w:firstLine="199" w:firstLineChars="199"/>
      <w:jc w:val="left"/>
    </w:pPr>
    <w:rPr>
      <w:rFonts w:asci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39"/>
    <w:pPr>
      <w:spacing w:before="120" w:after="120"/>
      <w:jc w:val="left"/>
    </w:pPr>
    <w:rPr>
      <w:rFonts w:ascii="Calibri" w:hAnsi="Calibri"/>
      <w:b/>
      <w:bCs/>
      <w:caps/>
      <w:sz w:val="20"/>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next w:val="13"/>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样式3"/>
    <w:basedOn w:val="7"/>
    <w:qFormat/>
    <w:uiPriority w:val="0"/>
    <w:pPr>
      <w:spacing w:line="0" w:lineRule="atLeast"/>
      <w:outlineLvl w:val="0"/>
    </w:pPr>
    <w:rPr>
      <w:sz w:val="28"/>
    </w:rPr>
  </w:style>
  <w:style w:type="paragraph" w:customStyle="1" w:styleId="21">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7451</Words>
  <Characters>7830</Characters>
  <Lines>0</Lines>
  <Paragraphs>0</Paragraphs>
  <TotalTime>0</TotalTime>
  <ScaleCrop>false</ScaleCrop>
  <LinksUpToDate>false</LinksUpToDate>
  <CharactersWithSpaces>8171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2025-01-15T02:22:00Z</cp:lastPrinted>
  <dcterms:modified xsi:type="dcterms:W3CDTF">2025-03-18T05:54:02Z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DB5D4918361644FFB4AE838F38EC16E3_13</vt:lpwstr>
  </property>
  <property fmtid="{D5CDD505-2E9C-101B-9397-08002B2CF9AE}" pid="4" name="KSOTemplateDocerSaveRecord">
    <vt:lpwstr>eyJoZGlkIjoiZWIzMjg2ZWVhZjU4ODI0MzZmMDhlYmFkMjQ3MGFiOTMiLCJ1c2VySWQiOiI0MTAxMzI3NDIifQ==</vt:lpwstr>
  </property>
</Properties>
</file>