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FC21">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78670C4">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bookmarkStart w:id="0" w:name="_GoBack"/>
      <w:bookmarkEnd w:id="0"/>
      <w:r>
        <w:rPr>
          <w:rFonts w:hint="eastAsia" w:asciiTheme="minorEastAsia" w:hAnsiTheme="minorEastAsia" w:eastAsiaTheme="minorEastAsia" w:cstheme="minorEastAsia"/>
          <w:b w:val="0"/>
          <w:bCs w:val="0"/>
          <w:color w:val="auto"/>
          <w:kern w:val="2"/>
          <w:sz w:val="24"/>
          <w:szCs w:val="24"/>
          <w:shd w:val="clear"/>
          <w:lang w:eastAsia="zh-CN"/>
        </w:rPr>
        <w:t>LCCQJJ20250312</w:t>
      </w:r>
      <w:r>
        <w:rPr>
          <w:rFonts w:hint="eastAsia" w:asciiTheme="minorEastAsia" w:hAnsiTheme="minorEastAsia" w:eastAsiaTheme="minorEastAsia" w:cstheme="minorEastAsia"/>
          <w:b w:val="0"/>
          <w:bCs w:val="0"/>
          <w:color w:val="auto"/>
          <w:kern w:val="2"/>
          <w:sz w:val="24"/>
          <w:szCs w:val="24"/>
          <w:shd w:val="clear"/>
        </w:rPr>
        <w:t>）</w:t>
      </w:r>
    </w:p>
    <w:p w14:paraId="6B207B3B">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7208B61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7030BD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3月11日</w:t>
      </w:r>
      <w:r>
        <w:rPr>
          <w:rFonts w:hint="eastAsia" w:asciiTheme="minorEastAsia" w:hAnsiTheme="minorEastAsia" w:eastAsiaTheme="minorEastAsia" w:cstheme="minorEastAsia"/>
          <w:color w:val="auto"/>
          <w:kern w:val="2"/>
          <w:sz w:val="24"/>
          <w:szCs w:val="24"/>
          <w:shd w:val="clear"/>
        </w:rPr>
        <w:t>9:30开始至9:50止（20分钟）。</w:t>
      </w:r>
    </w:p>
    <w:p w14:paraId="58480425">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3FD6936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3月7日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3月11日</w:t>
      </w:r>
      <w:r>
        <w:rPr>
          <w:rFonts w:hint="eastAsia" w:asciiTheme="minorEastAsia" w:hAnsiTheme="minorEastAsia" w:eastAsiaTheme="minorEastAsia" w:cstheme="minorEastAsia"/>
          <w:color w:val="auto"/>
          <w:kern w:val="2"/>
          <w:sz w:val="24"/>
          <w:szCs w:val="24"/>
          <w:shd w:val="clear"/>
        </w:rPr>
        <w:t>17时(节假日除外)</w:t>
      </w:r>
    </w:p>
    <w:p w14:paraId="25AE6AE9">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AAAAB69">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3700A725">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72B41350">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eastAsia="zh-CN"/>
        </w:rPr>
        <w:t>连城连聚物业服务公司电梯年检服务采购</w:t>
      </w:r>
      <w:r>
        <w:rPr>
          <w:rFonts w:hint="eastAsia" w:asciiTheme="minorEastAsia" w:hAnsiTheme="minorEastAsia" w:eastAsiaTheme="minorEastAsia" w:cstheme="minorEastAsia"/>
          <w:color w:val="auto"/>
          <w:sz w:val="24"/>
          <w:szCs w:val="24"/>
        </w:rPr>
        <w:t>。</w:t>
      </w:r>
    </w:p>
    <w:p w14:paraId="55FC23F3">
      <w:pPr>
        <w:spacing w:line="440" w:lineRule="exact"/>
        <w:ind w:firstLine="482" w:firstLineChars="200"/>
        <w:rPr>
          <w:rFonts w:hint="eastAsia" w:asciiTheme="minorEastAsia" w:hAnsiTheme="minorEastAsia" w:eastAsiaTheme="minorEastAsia" w:cstheme="minorEastAsia"/>
          <w:color w:val="0000FF"/>
          <w:sz w:val="24"/>
          <w:szCs w:val="24"/>
          <w:u w:val="none"/>
          <w:shd w:val="clear"/>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shd w:val="clear"/>
        </w:rPr>
        <w:t>招标内容：</w:t>
      </w:r>
      <w:r>
        <w:rPr>
          <w:rFonts w:hint="eastAsia" w:asciiTheme="minorEastAsia" w:hAnsiTheme="minorEastAsia" w:eastAsiaTheme="minorEastAsia" w:cstheme="minorEastAsia"/>
          <w:color w:val="0000FF"/>
          <w:sz w:val="24"/>
          <w:szCs w:val="24"/>
          <w:u w:val="none"/>
          <w:shd w:val="clear"/>
          <w:lang w:bidi="ar-SA"/>
        </w:rPr>
        <w:t>本次招标的是</w:t>
      </w:r>
      <w:r>
        <w:rPr>
          <w:rFonts w:hint="eastAsia" w:asciiTheme="minorEastAsia" w:hAnsiTheme="minorEastAsia" w:eastAsiaTheme="minorEastAsia" w:cstheme="minorEastAsia"/>
          <w:color w:val="0000FF"/>
          <w:sz w:val="24"/>
          <w:szCs w:val="24"/>
          <w:u w:val="none"/>
          <w:shd w:val="clear"/>
          <w:lang w:val="en-US" w:eastAsia="zh-CN" w:bidi="ar-SA"/>
        </w:rPr>
        <w:t>连城连聚物业服务有限公司南前花园、百花金城、鹧鸪花园共3个小区电梯年检服务采购</w:t>
      </w:r>
      <w:r>
        <w:rPr>
          <w:rFonts w:hint="eastAsia" w:asciiTheme="minorEastAsia" w:hAnsiTheme="minorEastAsia" w:eastAsiaTheme="minorEastAsia" w:cstheme="minorEastAsia"/>
          <w:color w:val="0000FF"/>
          <w:sz w:val="24"/>
          <w:szCs w:val="24"/>
          <w:u w:val="none"/>
          <w:shd w:val="clear"/>
          <w:lang w:bidi="ar-SA"/>
        </w:rPr>
        <w:t>，共计需年检电梯</w:t>
      </w:r>
      <w:r>
        <w:rPr>
          <w:rFonts w:hint="eastAsia" w:asciiTheme="minorEastAsia" w:hAnsiTheme="minorEastAsia" w:eastAsiaTheme="minorEastAsia" w:cstheme="minorEastAsia"/>
          <w:color w:val="0000FF"/>
          <w:sz w:val="24"/>
          <w:szCs w:val="24"/>
          <w:u w:val="none"/>
          <w:shd w:val="clear"/>
          <w:lang w:val="en-US" w:eastAsia="zh-CN" w:bidi="ar-SA"/>
        </w:rPr>
        <w:t>21</w:t>
      </w:r>
      <w:r>
        <w:rPr>
          <w:rFonts w:hint="eastAsia" w:asciiTheme="minorEastAsia" w:hAnsiTheme="minorEastAsia" w:eastAsiaTheme="minorEastAsia" w:cstheme="minorEastAsia"/>
          <w:color w:val="0000FF"/>
          <w:sz w:val="24"/>
          <w:szCs w:val="24"/>
          <w:u w:val="none"/>
          <w:shd w:val="clear"/>
          <w:lang w:bidi="ar-SA"/>
        </w:rPr>
        <w:t>台</w:t>
      </w:r>
      <w:r>
        <w:rPr>
          <w:rFonts w:hint="eastAsia" w:asciiTheme="minorEastAsia" w:hAnsiTheme="minorEastAsia" w:eastAsiaTheme="minorEastAsia" w:cstheme="minorEastAsia"/>
          <w:color w:val="0000FF"/>
          <w:sz w:val="24"/>
          <w:szCs w:val="24"/>
          <w:u w:val="none"/>
          <w:shd w:val="clear"/>
          <w:lang w:val="en-US" w:eastAsia="zh-CN" w:bidi="ar-SA"/>
        </w:rPr>
        <w:t>。检测费按10732.5元包干计取（费用包含人工费、税金、差旅费及管理费等）。具体电梯参数及年检时间如下：</w:t>
      </w:r>
    </w:p>
    <w:tbl>
      <w:tblPr>
        <w:tblStyle w:val="5"/>
        <w:tblpPr w:leftFromText="180" w:rightFromText="180" w:vertAnchor="text" w:horzAnchor="page" w:tblpX="1352" w:tblpY="464"/>
        <w:tblOverlap w:val="never"/>
        <w:tblW w:w="9905" w:type="dxa"/>
        <w:tblInd w:w="0" w:type="dxa"/>
        <w:tblLayout w:type="fixed"/>
        <w:tblCellMar>
          <w:top w:w="0" w:type="dxa"/>
          <w:left w:w="108" w:type="dxa"/>
          <w:bottom w:w="0" w:type="dxa"/>
          <w:right w:w="108" w:type="dxa"/>
        </w:tblCellMar>
      </w:tblPr>
      <w:tblGrid>
        <w:gridCol w:w="752"/>
        <w:gridCol w:w="1176"/>
        <w:gridCol w:w="1666"/>
        <w:gridCol w:w="1710"/>
        <w:gridCol w:w="1545"/>
        <w:gridCol w:w="1670"/>
        <w:gridCol w:w="1386"/>
      </w:tblGrid>
      <w:tr w14:paraId="141803B8">
        <w:tblPrEx>
          <w:tblCellMar>
            <w:top w:w="0" w:type="dxa"/>
            <w:left w:w="108" w:type="dxa"/>
            <w:bottom w:w="0" w:type="dxa"/>
            <w:right w:w="108" w:type="dxa"/>
          </w:tblCellMar>
        </w:tblPrEx>
        <w:trPr>
          <w:trHeight w:val="726"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CBC5BF5">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序号</w:t>
            </w:r>
          </w:p>
        </w:tc>
        <w:tc>
          <w:tcPr>
            <w:tcW w:w="1176" w:type="dxa"/>
            <w:tcBorders>
              <w:top w:val="single" w:color="auto" w:sz="6" w:space="0"/>
              <w:left w:val="single" w:color="auto" w:sz="6" w:space="0"/>
              <w:bottom w:val="single" w:color="auto" w:sz="6" w:space="0"/>
              <w:right w:val="single" w:color="auto" w:sz="6" w:space="0"/>
            </w:tcBorders>
            <w:noWrap/>
            <w:vAlign w:val="center"/>
          </w:tcPr>
          <w:p w14:paraId="20073EC4">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小区</w:t>
            </w:r>
          </w:p>
        </w:tc>
        <w:tc>
          <w:tcPr>
            <w:tcW w:w="1666" w:type="dxa"/>
            <w:tcBorders>
              <w:top w:val="single" w:color="auto" w:sz="6" w:space="0"/>
              <w:left w:val="single" w:color="auto" w:sz="6" w:space="0"/>
              <w:bottom w:val="single" w:color="auto" w:sz="6" w:space="0"/>
              <w:right w:val="single" w:color="auto" w:sz="6" w:space="0"/>
            </w:tcBorders>
            <w:noWrap/>
            <w:vAlign w:val="center"/>
          </w:tcPr>
          <w:p w14:paraId="25BEA8E9">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识别码</w:t>
            </w:r>
          </w:p>
        </w:tc>
        <w:tc>
          <w:tcPr>
            <w:tcW w:w="1710" w:type="dxa"/>
            <w:tcBorders>
              <w:top w:val="single" w:color="auto" w:sz="6" w:space="0"/>
              <w:left w:val="single" w:color="auto" w:sz="6" w:space="0"/>
              <w:bottom w:val="single" w:color="auto" w:sz="6" w:space="0"/>
              <w:right w:val="single" w:color="auto" w:sz="6" w:space="0"/>
            </w:tcBorders>
            <w:noWrap/>
            <w:vAlign w:val="center"/>
          </w:tcPr>
          <w:p w14:paraId="235030ED">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出厂编号</w:t>
            </w:r>
          </w:p>
        </w:tc>
        <w:tc>
          <w:tcPr>
            <w:tcW w:w="1545" w:type="dxa"/>
            <w:tcBorders>
              <w:top w:val="single" w:color="auto" w:sz="6" w:space="0"/>
              <w:left w:val="single" w:color="auto" w:sz="6" w:space="0"/>
              <w:bottom w:val="single" w:color="auto" w:sz="6" w:space="0"/>
              <w:right w:val="single" w:color="auto" w:sz="6" w:space="0"/>
            </w:tcBorders>
            <w:noWrap/>
            <w:vAlign w:val="center"/>
          </w:tcPr>
          <w:p w14:paraId="321580D1">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规格型号</w:t>
            </w:r>
          </w:p>
        </w:tc>
        <w:tc>
          <w:tcPr>
            <w:tcW w:w="1670" w:type="dxa"/>
            <w:tcBorders>
              <w:top w:val="single" w:color="auto" w:sz="6" w:space="0"/>
              <w:left w:val="single" w:color="auto" w:sz="6" w:space="0"/>
              <w:bottom w:val="single" w:color="auto" w:sz="6" w:space="0"/>
              <w:right w:val="single" w:color="auto" w:sz="6" w:space="0"/>
            </w:tcBorders>
            <w:noWrap/>
            <w:vAlign w:val="center"/>
          </w:tcPr>
          <w:p w14:paraId="0728789C">
            <w:pPr>
              <w:keepNext w:val="0"/>
              <w:keepLines w:val="0"/>
              <w:widowControl/>
              <w:suppressLineNumbers w:val="0"/>
              <w:jc w:val="center"/>
              <w:textAlignment w:val="center"/>
              <w:rPr>
                <w:rFonts w:hint="eastAsia" w:ascii="宋体" w:hAnsi="宋体" w:eastAsia="宋体" w:cs="Arial"/>
                <w:b/>
                <w:bCs/>
                <w:color w:val="000000"/>
                <w:sz w:val="21"/>
                <w:szCs w:val="24"/>
                <w:lang w:bidi="ar-SA"/>
              </w:rPr>
            </w:pPr>
            <w:r>
              <w:rPr>
                <w:rFonts w:hint="eastAsia" w:ascii="宋体" w:hAnsi="宋体" w:eastAsia="宋体" w:cs="宋体"/>
                <w:i w:val="0"/>
                <w:iCs w:val="0"/>
                <w:color w:val="000000"/>
                <w:kern w:val="0"/>
                <w:sz w:val="22"/>
                <w:szCs w:val="22"/>
                <w:u w:val="none"/>
                <w:lang w:val="en-US" w:eastAsia="zh-CN" w:bidi="ar"/>
              </w:rPr>
              <w:t>层/站/门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(速度/载重)</w:t>
            </w:r>
          </w:p>
        </w:tc>
        <w:tc>
          <w:tcPr>
            <w:tcW w:w="1386" w:type="dxa"/>
            <w:tcBorders>
              <w:top w:val="single" w:color="auto" w:sz="6" w:space="0"/>
              <w:left w:val="single" w:color="auto" w:sz="6" w:space="0"/>
              <w:bottom w:val="single" w:color="auto" w:sz="6" w:space="0"/>
              <w:right w:val="single" w:color="auto" w:sz="6" w:space="0"/>
            </w:tcBorders>
            <w:noWrap/>
            <w:vAlign w:val="center"/>
          </w:tcPr>
          <w:p w14:paraId="09B72F03">
            <w:pPr>
              <w:jc w:val="center"/>
              <w:rPr>
                <w:rFonts w:hint="eastAsia" w:ascii="宋体" w:hAnsi="宋体" w:eastAsia="宋体" w:cs="Arial"/>
                <w:b/>
                <w:bCs/>
                <w:color w:val="000000"/>
                <w:sz w:val="21"/>
                <w:szCs w:val="24"/>
                <w:lang w:bidi="ar-SA"/>
              </w:rPr>
            </w:pPr>
            <w:r>
              <w:rPr>
                <w:rFonts w:hint="eastAsia" w:ascii="宋体" w:hAnsi="宋体" w:eastAsia="宋体" w:cs="Arial"/>
                <w:b/>
                <w:bCs/>
                <w:color w:val="000000"/>
                <w:sz w:val="21"/>
                <w:szCs w:val="24"/>
                <w:lang w:bidi="ar-SA"/>
              </w:rPr>
              <w:t>年检到期时间</w:t>
            </w:r>
          </w:p>
        </w:tc>
      </w:tr>
      <w:tr w14:paraId="2F2F4DF6">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59037CBA">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1</w:t>
            </w:r>
          </w:p>
        </w:tc>
        <w:tc>
          <w:tcPr>
            <w:tcW w:w="1176" w:type="dxa"/>
            <w:vMerge w:val="restart"/>
            <w:tcBorders>
              <w:top w:val="single" w:color="auto" w:sz="6" w:space="0"/>
              <w:left w:val="single" w:color="auto" w:sz="6" w:space="0"/>
              <w:right w:val="single" w:color="auto" w:sz="6" w:space="0"/>
            </w:tcBorders>
            <w:noWrap/>
            <w:vAlign w:val="center"/>
          </w:tcPr>
          <w:p w14:paraId="008F335B">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南前花园（</w:t>
            </w:r>
            <w:r>
              <w:rPr>
                <w:rFonts w:hint="eastAsia" w:ascii="Times New Roman" w:hAnsi="宋体" w:eastAsia="宋体" w:cs="Times New Roman"/>
                <w:szCs w:val="24"/>
                <w:lang w:val="en-US" w:eastAsia="zh-CN"/>
              </w:rPr>
              <w:t>9梯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7BC63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TF18022</w:t>
            </w:r>
          </w:p>
        </w:tc>
        <w:tc>
          <w:tcPr>
            <w:tcW w:w="1710" w:type="dxa"/>
            <w:tcBorders>
              <w:top w:val="single" w:color="auto" w:sz="6" w:space="0"/>
              <w:left w:val="single" w:color="auto" w:sz="6" w:space="0"/>
              <w:bottom w:val="single" w:color="auto" w:sz="6" w:space="0"/>
              <w:right w:val="single" w:color="auto" w:sz="6" w:space="0"/>
            </w:tcBorders>
            <w:noWrap/>
            <w:vAlign w:val="center"/>
          </w:tcPr>
          <w:p w14:paraId="7B22F4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18J48408</w:t>
            </w:r>
          </w:p>
        </w:tc>
        <w:tc>
          <w:tcPr>
            <w:tcW w:w="1545" w:type="dxa"/>
            <w:tcBorders>
              <w:top w:val="single" w:color="auto" w:sz="6" w:space="0"/>
              <w:left w:val="single" w:color="auto" w:sz="6" w:space="0"/>
              <w:bottom w:val="single" w:color="auto" w:sz="6" w:space="0"/>
              <w:right w:val="single" w:color="auto" w:sz="6" w:space="0"/>
            </w:tcBorders>
            <w:noWrap/>
            <w:vAlign w:val="center"/>
          </w:tcPr>
          <w:p w14:paraId="600289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17AAE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5191F80">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2025-2-28</w:t>
            </w:r>
          </w:p>
        </w:tc>
      </w:tr>
      <w:tr w14:paraId="43D1686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DC4F397">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2</w:t>
            </w:r>
          </w:p>
        </w:tc>
        <w:tc>
          <w:tcPr>
            <w:tcW w:w="1176" w:type="dxa"/>
            <w:vMerge w:val="continue"/>
            <w:tcBorders>
              <w:left w:val="single" w:color="auto" w:sz="6" w:space="0"/>
              <w:right w:val="single" w:color="auto" w:sz="6" w:space="0"/>
            </w:tcBorders>
            <w:noWrap/>
            <w:vAlign w:val="center"/>
          </w:tcPr>
          <w:p w14:paraId="71D10159">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949E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TF18023</w:t>
            </w:r>
          </w:p>
        </w:tc>
        <w:tc>
          <w:tcPr>
            <w:tcW w:w="1710" w:type="dxa"/>
            <w:tcBorders>
              <w:top w:val="single" w:color="auto" w:sz="6" w:space="0"/>
              <w:left w:val="single" w:color="auto" w:sz="6" w:space="0"/>
              <w:bottom w:val="single" w:color="auto" w:sz="6" w:space="0"/>
              <w:right w:val="single" w:color="auto" w:sz="6" w:space="0"/>
            </w:tcBorders>
            <w:noWrap/>
            <w:vAlign w:val="center"/>
          </w:tcPr>
          <w:p w14:paraId="6DD3F1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18J48409</w:t>
            </w:r>
          </w:p>
        </w:tc>
        <w:tc>
          <w:tcPr>
            <w:tcW w:w="1545" w:type="dxa"/>
            <w:tcBorders>
              <w:top w:val="single" w:color="auto" w:sz="6" w:space="0"/>
              <w:left w:val="single" w:color="auto" w:sz="6" w:space="0"/>
              <w:bottom w:val="single" w:color="auto" w:sz="6" w:space="0"/>
              <w:right w:val="single" w:color="auto" w:sz="6" w:space="0"/>
            </w:tcBorders>
            <w:noWrap/>
            <w:vAlign w:val="center"/>
          </w:tcPr>
          <w:p w14:paraId="54FB11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064DD6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CE67E1C">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79B6AB71">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5C661AE">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3</w:t>
            </w:r>
          </w:p>
        </w:tc>
        <w:tc>
          <w:tcPr>
            <w:tcW w:w="1176" w:type="dxa"/>
            <w:vMerge w:val="continue"/>
            <w:tcBorders>
              <w:left w:val="single" w:color="auto" w:sz="6" w:space="0"/>
              <w:right w:val="single" w:color="auto" w:sz="6" w:space="0"/>
            </w:tcBorders>
            <w:noWrap/>
            <w:vAlign w:val="center"/>
          </w:tcPr>
          <w:p w14:paraId="19012364">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075B49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TF18024</w:t>
            </w:r>
          </w:p>
        </w:tc>
        <w:tc>
          <w:tcPr>
            <w:tcW w:w="1710" w:type="dxa"/>
            <w:tcBorders>
              <w:top w:val="single" w:color="auto" w:sz="6" w:space="0"/>
              <w:left w:val="single" w:color="auto" w:sz="6" w:space="0"/>
              <w:bottom w:val="single" w:color="auto" w:sz="6" w:space="0"/>
              <w:right w:val="single" w:color="auto" w:sz="6" w:space="0"/>
            </w:tcBorders>
            <w:noWrap/>
            <w:vAlign w:val="center"/>
          </w:tcPr>
          <w:p w14:paraId="64B98E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18J48402</w:t>
            </w:r>
          </w:p>
        </w:tc>
        <w:tc>
          <w:tcPr>
            <w:tcW w:w="1545" w:type="dxa"/>
            <w:tcBorders>
              <w:top w:val="single" w:color="auto" w:sz="6" w:space="0"/>
              <w:left w:val="single" w:color="auto" w:sz="6" w:space="0"/>
              <w:bottom w:val="single" w:color="auto" w:sz="6" w:space="0"/>
              <w:right w:val="single" w:color="auto" w:sz="6" w:space="0"/>
            </w:tcBorders>
            <w:noWrap/>
            <w:vAlign w:val="center"/>
          </w:tcPr>
          <w:p w14:paraId="0F1614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8388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C113BBB">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F2C817">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D743772">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4</w:t>
            </w:r>
          </w:p>
        </w:tc>
        <w:tc>
          <w:tcPr>
            <w:tcW w:w="1176" w:type="dxa"/>
            <w:vMerge w:val="continue"/>
            <w:tcBorders>
              <w:left w:val="single" w:color="auto" w:sz="6" w:space="0"/>
              <w:right w:val="single" w:color="auto" w:sz="6" w:space="0"/>
            </w:tcBorders>
            <w:noWrap/>
            <w:vAlign w:val="center"/>
          </w:tcPr>
          <w:p w14:paraId="0A94B90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03E26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TF18025</w:t>
            </w:r>
          </w:p>
        </w:tc>
        <w:tc>
          <w:tcPr>
            <w:tcW w:w="1710" w:type="dxa"/>
            <w:tcBorders>
              <w:top w:val="single" w:color="auto" w:sz="6" w:space="0"/>
              <w:left w:val="single" w:color="auto" w:sz="6" w:space="0"/>
              <w:bottom w:val="single" w:color="auto" w:sz="6" w:space="0"/>
              <w:right w:val="single" w:color="auto" w:sz="6" w:space="0"/>
            </w:tcBorders>
            <w:noWrap/>
            <w:vAlign w:val="center"/>
          </w:tcPr>
          <w:p w14:paraId="55E99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18J48406</w:t>
            </w:r>
          </w:p>
        </w:tc>
        <w:tc>
          <w:tcPr>
            <w:tcW w:w="1545" w:type="dxa"/>
            <w:tcBorders>
              <w:top w:val="single" w:color="auto" w:sz="6" w:space="0"/>
              <w:left w:val="single" w:color="auto" w:sz="6" w:space="0"/>
              <w:bottom w:val="single" w:color="auto" w:sz="6" w:space="0"/>
              <w:right w:val="single" w:color="auto" w:sz="6" w:space="0"/>
            </w:tcBorders>
            <w:noWrap/>
            <w:vAlign w:val="center"/>
          </w:tcPr>
          <w:p w14:paraId="5D904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4D18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FD59D6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80CD3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14070F3">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5</w:t>
            </w:r>
          </w:p>
        </w:tc>
        <w:tc>
          <w:tcPr>
            <w:tcW w:w="1176" w:type="dxa"/>
            <w:vMerge w:val="continue"/>
            <w:tcBorders>
              <w:left w:val="single" w:color="auto" w:sz="6" w:space="0"/>
              <w:right w:val="single" w:color="auto" w:sz="6" w:space="0"/>
            </w:tcBorders>
            <w:noWrap/>
            <w:vAlign w:val="center"/>
          </w:tcPr>
          <w:p w14:paraId="4CB87F1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B49F0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TF18026</w:t>
            </w:r>
          </w:p>
        </w:tc>
        <w:tc>
          <w:tcPr>
            <w:tcW w:w="1710" w:type="dxa"/>
            <w:tcBorders>
              <w:top w:val="single" w:color="auto" w:sz="6" w:space="0"/>
              <w:left w:val="single" w:color="auto" w:sz="6" w:space="0"/>
              <w:bottom w:val="single" w:color="auto" w:sz="6" w:space="0"/>
              <w:right w:val="single" w:color="auto" w:sz="6" w:space="0"/>
            </w:tcBorders>
            <w:noWrap/>
            <w:vAlign w:val="center"/>
          </w:tcPr>
          <w:p w14:paraId="35C6CA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427C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566BF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0769030">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58FBA49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4B68F29">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6</w:t>
            </w:r>
          </w:p>
        </w:tc>
        <w:tc>
          <w:tcPr>
            <w:tcW w:w="1176" w:type="dxa"/>
            <w:vMerge w:val="continue"/>
            <w:tcBorders>
              <w:left w:val="single" w:color="auto" w:sz="6" w:space="0"/>
              <w:right w:val="single" w:color="auto" w:sz="6" w:space="0"/>
            </w:tcBorders>
            <w:noWrap/>
            <w:vAlign w:val="center"/>
          </w:tcPr>
          <w:p w14:paraId="19291DD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31348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TF18027</w:t>
            </w:r>
          </w:p>
        </w:tc>
        <w:tc>
          <w:tcPr>
            <w:tcW w:w="1710" w:type="dxa"/>
            <w:tcBorders>
              <w:top w:val="single" w:color="auto" w:sz="6" w:space="0"/>
              <w:left w:val="single" w:color="auto" w:sz="6" w:space="0"/>
              <w:bottom w:val="single" w:color="auto" w:sz="6" w:space="0"/>
              <w:right w:val="single" w:color="auto" w:sz="6" w:space="0"/>
            </w:tcBorders>
            <w:noWrap/>
            <w:vAlign w:val="center"/>
          </w:tcPr>
          <w:p w14:paraId="03855F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18J48403</w:t>
            </w:r>
          </w:p>
        </w:tc>
        <w:tc>
          <w:tcPr>
            <w:tcW w:w="1545" w:type="dxa"/>
            <w:tcBorders>
              <w:top w:val="single" w:color="auto" w:sz="6" w:space="0"/>
              <w:left w:val="single" w:color="auto" w:sz="6" w:space="0"/>
              <w:bottom w:val="single" w:color="auto" w:sz="6" w:space="0"/>
              <w:right w:val="single" w:color="auto" w:sz="6" w:space="0"/>
            </w:tcBorders>
            <w:noWrap/>
            <w:vAlign w:val="center"/>
          </w:tcPr>
          <w:p w14:paraId="641024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3E0B5D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0C409">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85DFBD0">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A6B2AE5">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7</w:t>
            </w:r>
          </w:p>
        </w:tc>
        <w:tc>
          <w:tcPr>
            <w:tcW w:w="1176" w:type="dxa"/>
            <w:vMerge w:val="continue"/>
            <w:tcBorders>
              <w:left w:val="single" w:color="auto" w:sz="6" w:space="0"/>
              <w:right w:val="single" w:color="auto" w:sz="6" w:space="0"/>
            </w:tcBorders>
            <w:noWrap/>
            <w:vAlign w:val="center"/>
          </w:tcPr>
          <w:p w14:paraId="088D5E8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0C095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TF18028</w:t>
            </w:r>
          </w:p>
        </w:tc>
        <w:tc>
          <w:tcPr>
            <w:tcW w:w="1710" w:type="dxa"/>
            <w:tcBorders>
              <w:top w:val="single" w:color="auto" w:sz="6" w:space="0"/>
              <w:left w:val="single" w:color="auto" w:sz="6" w:space="0"/>
              <w:bottom w:val="single" w:color="auto" w:sz="6" w:space="0"/>
              <w:right w:val="single" w:color="auto" w:sz="6" w:space="0"/>
            </w:tcBorders>
            <w:noWrap/>
            <w:vAlign w:val="center"/>
          </w:tcPr>
          <w:p w14:paraId="5293EC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18J48401</w:t>
            </w:r>
          </w:p>
        </w:tc>
        <w:tc>
          <w:tcPr>
            <w:tcW w:w="1545" w:type="dxa"/>
            <w:tcBorders>
              <w:top w:val="single" w:color="auto" w:sz="6" w:space="0"/>
              <w:left w:val="single" w:color="auto" w:sz="6" w:space="0"/>
              <w:bottom w:val="single" w:color="auto" w:sz="6" w:space="0"/>
              <w:right w:val="single" w:color="auto" w:sz="6" w:space="0"/>
            </w:tcBorders>
            <w:noWrap/>
            <w:vAlign w:val="center"/>
          </w:tcPr>
          <w:p w14:paraId="004895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5181E0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7B18BC3">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63E8A17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6DE7376">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8</w:t>
            </w:r>
          </w:p>
        </w:tc>
        <w:tc>
          <w:tcPr>
            <w:tcW w:w="1176" w:type="dxa"/>
            <w:vMerge w:val="continue"/>
            <w:tcBorders>
              <w:left w:val="single" w:color="auto" w:sz="6" w:space="0"/>
              <w:right w:val="single" w:color="auto" w:sz="6" w:space="0"/>
            </w:tcBorders>
            <w:noWrap/>
            <w:vAlign w:val="center"/>
          </w:tcPr>
          <w:p w14:paraId="3B8CA1A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12A03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TF18029</w:t>
            </w:r>
          </w:p>
        </w:tc>
        <w:tc>
          <w:tcPr>
            <w:tcW w:w="1710" w:type="dxa"/>
            <w:tcBorders>
              <w:top w:val="single" w:color="auto" w:sz="6" w:space="0"/>
              <w:left w:val="single" w:color="auto" w:sz="6" w:space="0"/>
              <w:bottom w:val="single" w:color="auto" w:sz="6" w:space="0"/>
              <w:right w:val="single" w:color="auto" w:sz="6" w:space="0"/>
            </w:tcBorders>
            <w:noWrap/>
            <w:vAlign w:val="center"/>
          </w:tcPr>
          <w:p w14:paraId="2F892A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18J48405</w:t>
            </w:r>
          </w:p>
        </w:tc>
        <w:tc>
          <w:tcPr>
            <w:tcW w:w="1545" w:type="dxa"/>
            <w:tcBorders>
              <w:top w:val="single" w:color="auto" w:sz="6" w:space="0"/>
              <w:left w:val="single" w:color="auto" w:sz="6" w:space="0"/>
              <w:bottom w:val="single" w:color="auto" w:sz="6" w:space="0"/>
              <w:right w:val="single" w:color="auto" w:sz="6" w:space="0"/>
            </w:tcBorders>
            <w:noWrap/>
            <w:vAlign w:val="center"/>
          </w:tcPr>
          <w:p w14:paraId="2F22BD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ED95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D0B5DF1">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3498703C">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A1A2168">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9</w:t>
            </w:r>
          </w:p>
        </w:tc>
        <w:tc>
          <w:tcPr>
            <w:tcW w:w="1176" w:type="dxa"/>
            <w:vMerge w:val="continue"/>
            <w:tcBorders>
              <w:left w:val="single" w:color="auto" w:sz="6" w:space="0"/>
              <w:bottom w:val="single" w:color="auto" w:sz="6" w:space="0"/>
              <w:right w:val="single" w:color="auto" w:sz="6" w:space="0"/>
            </w:tcBorders>
            <w:noWrap/>
            <w:vAlign w:val="center"/>
          </w:tcPr>
          <w:p w14:paraId="135DE19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A9528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TF18030</w:t>
            </w:r>
          </w:p>
        </w:tc>
        <w:tc>
          <w:tcPr>
            <w:tcW w:w="1710" w:type="dxa"/>
            <w:tcBorders>
              <w:top w:val="single" w:color="auto" w:sz="6" w:space="0"/>
              <w:left w:val="single" w:color="auto" w:sz="6" w:space="0"/>
              <w:bottom w:val="single" w:color="auto" w:sz="6" w:space="0"/>
              <w:right w:val="single" w:color="auto" w:sz="6" w:space="0"/>
            </w:tcBorders>
            <w:noWrap/>
            <w:vAlign w:val="center"/>
          </w:tcPr>
          <w:p w14:paraId="7C5963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18J48404</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5BF90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5DC551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70783B95">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77FDFF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1CA3CE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10</w:t>
            </w:r>
          </w:p>
        </w:tc>
        <w:tc>
          <w:tcPr>
            <w:tcW w:w="1176" w:type="dxa"/>
            <w:vMerge w:val="restart"/>
            <w:tcBorders>
              <w:top w:val="single" w:color="auto" w:sz="6" w:space="0"/>
              <w:left w:val="single" w:color="auto" w:sz="6" w:space="0"/>
              <w:right w:val="single" w:color="auto" w:sz="6" w:space="0"/>
            </w:tcBorders>
            <w:noWrap/>
            <w:vAlign w:val="center"/>
          </w:tcPr>
          <w:p w14:paraId="2D1D06B4">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百花金城（</w:t>
            </w:r>
            <w:r>
              <w:rPr>
                <w:rFonts w:hint="eastAsia" w:ascii="Times New Roman" w:hAnsi="宋体" w:eastAsia="宋体" w:cs="Times New Roman"/>
                <w:szCs w:val="24"/>
                <w:lang w:val="en-US" w:eastAsia="zh-CN"/>
              </w:rPr>
              <w:t>2梯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393898E6">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TF04586</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490F">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130703346</w:t>
            </w:r>
          </w:p>
        </w:tc>
        <w:tc>
          <w:tcPr>
            <w:tcW w:w="1545" w:type="dxa"/>
            <w:tcBorders>
              <w:top w:val="single" w:color="auto" w:sz="6" w:space="0"/>
              <w:left w:val="single" w:color="auto" w:sz="6" w:space="0"/>
              <w:bottom w:val="single" w:color="auto" w:sz="6" w:space="0"/>
              <w:right w:val="single" w:color="auto" w:sz="6" w:space="0"/>
            </w:tcBorders>
            <w:noWrap/>
            <w:vAlign w:val="center"/>
          </w:tcPr>
          <w:p w14:paraId="05908034">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6395273E">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14/12/12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DC8BAB1">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2025-3-31</w:t>
            </w:r>
          </w:p>
        </w:tc>
      </w:tr>
      <w:tr w14:paraId="1F0E163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C83B7B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11</w:t>
            </w:r>
          </w:p>
        </w:tc>
        <w:tc>
          <w:tcPr>
            <w:tcW w:w="1176" w:type="dxa"/>
            <w:vMerge w:val="continue"/>
            <w:tcBorders>
              <w:left w:val="single" w:color="auto" w:sz="6" w:space="0"/>
              <w:bottom w:val="single" w:color="auto" w:sz="6" w:space="0"/>
              <w:right w:val="single" w:color="auto" w:sz="6" w:space="0"/>
            </w:tcBorders>
            <w:noWrap/>
            <w:vAlign w:val="center"/>
          </w:tcPr>
          <w:p w14:paraId="0D8ED823">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451550C">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TF04587</w:t>
            </w:r>
          </w:p>
        </w:tc>
        <w:tc>
          <w:tcPr>
            <w:tcW w:w="1710" w:type="dxa"/>
            <w:tcBorders>
              <w:top w:val="single" w:color="auto" w:sz="6" w:space="0"/>
              <w:left w:val="single" w:color="auto" w:sz="6" w:space="0"/>
              <w:bottom w:val="single" w:color="auto" w:sz="6" w:space="0"/>
              <w:right w:val="single" w:color="auto" w:sz="6" w:space="0"/>
            </w:tcBorders>
            <w:noWrap/>
            <w:vAlign w:val="center"/>
          </w:tcPr>
          <w:p w14:paraId="6CE8EFEB">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F34C67">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779CA535">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15/13/13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A571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2025-3-31</w:t>
            </w:r>
          </w:p>
        </w:tc>
      </w:tr>
      <w:tr w14:paraId="61874B8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FBC7190">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12</w:t>
            </w:r>
          </w:p>
        </w:tc>
        <w:tc>
          <w:tcPr>
            <w:tcW w:w="1176" w:type="dxa"/>
            <w:vMerge w:val="restart"/>
            <w:tcBorders>
              <w:top w:val="single" w:color="auto" w:sz="6" w:space="0"/>
              <w:left w:val="single" w:color="auto" w:sz="6" w:space="0"/>
              <w:right w:val="single" w:color="auto" w:sz="6" w:space="0"/>
            </w:tcBorders>
            <w:noWrap/>
            <w:vAlign w:val="center"/>
          </w:tcPr>
          <w:p w14:paraId="66782417">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鹧鸪花园（</w:t>
            </w:r>
            <w:r>
              <w:rPr>
                <w:rFonts w:hint="eastAsia" w:ascii="Times New Roman" w:hAnsi="宋体" w:eastAsia="宋体" w:cs="Times New Roman"/>
                <w:szCs w:val="24"/>
                <w:lang w:val="en-US" w:eastAsia="zh-CN"/>
              </w:rPr>
              <w:t>10梯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6F419C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TF18077</w:t>
            </w:r>
          </w:p>
        </w:tc>
        <w:tc>
          <w:tcPr>
            <w:tcW w:w="1710" w:type="dxa"/>
            <w:tcBorders>
              <w:top w:val="single" w:color="auto" w:sz="6" w:space="0"/>
              <w:left w:val="single" w:color="auto" w:sz="6" w:space="0"/>
              <w:bottom w:val="single" w:color="auto" w:sz="6" w:space="0"/>
              <w:right w:val="single" w:color="auto" w:sz="6" w:space="0"/>
            </w:tcBorders>
            <w:noWrap/>
            <w:vAlign w:val="center"/>
          </w:tcPr>
          <w:p w14:paraId="563F78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1137136225</w:t>
            </w:r>
          </w:p>
        </w:tc>
        <w:tc>
          <w:tcPr>
            <w:tcW w:w="1545" w:type="dxa"/>
            <w:tcBorders>
              <w:top w:val="single" w:color="auto" w:sz="6" w:space="0"/>
              <w:left w:val="single" w:color="auto" w:sz="6" w:space="0"/>
              <w:bottom w:val="single" w:color="auto" w:sz="6" w:space="0"/>
              <w:right w:val="single" w:color="auto" w:sz="6" w:space="0"/>
            </w:tcBorders>
            <w:noWrap/>
            <w:vAlign w:val="center"/>
          </w:tcPr>
          <w:p w14:paraId="02432B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214A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CEB81E4">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2025-4-30</w:t>
            </w:r>
          </w:p>
        </w:tc>
      </w:tr>
      <w:tr w14:paraId="7C4DF553">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498FD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13</w:t>
            </w:r>
          </w:p>
        </w:tc>
        <w:tc>
          <w:tcPr>
            <w:tcW w:w="1176" w:type="dxa"/>
            <w:vMerge w:val="continue"/>
            <w:tcBorders>
              <w:left w:val="single" w:color="auto" w:sz="6" w:space="0"/>
              <w:right w:val="single" w:color="auto" w:sz="6" w:space="0"/>
            </w:tcBorders>
            <w:noWrap/>
            <w:vAlign w:val="center"/>
          </w:tcPr>
          <w:p w14:paraId="2C76927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18F99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TF18078</w:t>
            </w:r>
          </w:p>
        </w:tc>
        <w:tc>
          <w:tcPr>
            <w:tcW w:w="1710" w:type="dxa"/>
            <w:tcBorders>
              <w:top w:val="single" w:color="auto" w:sz="6" w:space="0"/>
              <w:left w:val="single" w:color="auto" w:sz="6" w:space="0"/>
              <w:bottom w:val="single" w:color="auto" w:sz="6" w:space="0"/>
              <w:right w:val="single" w:color="auto" w:sz="6" w:space="0"/>
            </w:tcBorders>
            <w:noWrap/>
            <w:vAlign w:val="center"/>
          </w:tcPr>
          <w:p w14:paraId="21CC7E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1137136227</w:t>
            </w:r>
          </w:p>
        </w:tc>
        <w:tc>
          <w:tcPr>
            <w:tcW w:w="1545" w:type="dxa"/>
            <w:tcBorders>
              <w:top w:val="single" w:color="auto" w:sz="6" w:space="0"/>
              <w:left w:val="single" w:color="auto" w:sz="6" w:space="0"/>
              <w:bottom w:val="single" w:color="auto" w:sz="6" w:space="0"/>
              <w:right w:val="single" w:color="auto" w:sz="6" w:space="0"/>
            </w:tcBorders>
            <w:noWrap/>
            <w:vAlign w:val="center"/>
          </w:tcPr>
          <w:p w14:paraId="7796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FCAB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47146B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49F6B3E9">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C6FCB5D">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14</w:t>
            </w:r>
          </w:p>
        </w:tc>
        <w:tc>
          <w:tcPr>
            <w:tcW w:w="1176" w:type="dxa"/>
            <w:vMerge w:val="continue"/>
            <w:tcBorders>
              <w:left w:val="single" w:color="auto" w:sz="6" w:space="0"/>
              <w:right w:val="single" w:color="auto" w:sz="6" w:space="0"/>
            </w:tcBorders>
            <w:noWrap/>
            <w:vAlign w:val="center"/>
          </w:tcPr>
          <w:p w14:paraId="45DD1B2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88581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TF18079</w:t>
            </w:r>
          </w:p>
        </w:tc>
        <w:tc>
          <w:tcPr>
            <w:tcW w:w="1710" w:type="dxa"/>
            <w:tcBorders>
              <w:top w:val="single" w:color="auto" w:sz="6" w:space="0"/>
              <w:left w:val="single" w:color="auto" w:sz="6" w:space="0"/>
              <w:bottom w:val="single" w:color="auto" w:sz="6" w:space="0"/>
              <w:right w:val="single" w:color="auto" w:sz="6" w:space="0"/>
            </w:tcBorders>
            <w:noWrap/>
            <w:vAlign w:val="center"/>
          </w:tcPr>
          <w:p w14:paraId="6293EF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1137136223</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38047F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060F38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55DD582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6F0351A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9E01977">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15</w:t>
            </w:r>
          </w:p>
        </w:tc>
        <w:tc>
          <w:tcPr>
            <w:tcW w:w="1176" w:type="dxa"/>
            <w:vMerge w:val="continue"/>
            <w:tcBorders>
              <w:left w:val="single" w:color="auto" w:sz="6" w:space="0"/>
              <w:right w:val="single" w:color="auto" w:sz="6" w:space="0"/>
            </w:tcBorders>
            <w:noWrap/>
            <w:vAlign w:val="center"/>
          </w:tcPr>
          <w:p w14:paraId="79BFB86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EC741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TF18080</w:t>
            </w:r>
          </w:p>
        </w:tc>
        <w:tc>
          <w:tcPr>
            <w:tcW w:w="1710" w:type="dxa"/>
            <w:tcBorders>
              <w:top w:val="single" w:color="auto" w:sz="6" w:space="0"/>
              <w:left w:val="single" w:color="auto" w:sz="6" w:space="0"/>
              <w:bottom w:val="single" w:color="auto" w:sz="6" w:space="0"/>
              <w:right w:val="single" w:color="auto" w:sz="6" w:space="0"/>
            </w:tcBorders>
            <w:noWrap/>
            <w:vAlign w:val="center"/>
          </w:tcPr>
          <w:p w14:paraId="0F0E08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1137136229</w:t>
            </w:r>
          </w:p>
        </w:tc>
        <w:tc>
          <w:tcPr>
            <w:tcW w:w="1545" w:type="dxa"/>
            <w:tcBorders>
              <w:top w:val="single" w:color="auto" w:sz="6" w:space="0"/>
              <w:left w:val="single" w:color="auto" w:sz="6" w:space="0"/>
              <w:bottom w:val="single" w:color="auto" w:sz="6" w:space="0"/>
              <w:right w:val="single" w:color="auto" w:sz="6" w:space="0"/>
            </w:tcBorders>
            <w:noWrap/>
            <w:vAlign w:val="center"/>
          </w:tcPr>
          <w:p w14:paraId="39378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39D70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0F169B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0CCE536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ED039D4">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16</w:t>
            </w:r>
          </w:p>
        </w:tc>
        <w:tc>
          <w:tcPr>
            <w:tcW w:w="1176" w:type="dxa"/>
            <w:vMerge w:val="continue"/>
            <w:tcBorders>
              <w:left w:val="single" w:color="auto" w:sz="6" w:space="0"/>
              <w:right w:val="single" w:color="auto" w:sz="6" w:space="0"/>
            </w:tcBorders>
            <w:noWrap/>
            <w:vAlign w:val="center"/>
          </w:tcPr>
          <w:p w14:paraId="4896097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26CA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TF18081</w:t>
            </w:r>
          </w:p>
        </w:tc>
        <w:tc>
          <w:tcPr>
            <w:tcW w:w="1710" w:type="dxa"/>
            <w:tcBorders>
              <w:top w:val="single" w:color="auto" w:sz="6" w:space="0"/>
              <w:left w:val="single" w:color="auto" w:sz="6" w:space="0"/>
              <w:bottom w:val="single" w:color="auto" w:sz="6" w:space="0"/>
              <w:right w:val="single" w:color="auto" w:sz="6" w:space="0"/>
            </w:tcBorders>
            <w:noWrap/>
            <w:vAlign w:val="center"/>
          </w:tcPr>
          <w:p w14:paraId="3E811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1137136221</w:t>
            </w:r>
          </w:p>
        </w:tc>
        <w:tc>
          <w:tcPr>
            <w:tcW w:w="1545" w:type="dxa"/>
            <w:tcBorders>
              <w:top w:val="single" w:color="auto" w:sz="6" w:space="0"/>
              <w:left w:val="single" w:color="auto" w:sz="6" w:space="0"/>
              <w:bottom w:val="single" w:color="auto" w:sz="6" w:space="0"/>
              <w:right w:val="single" w:color="auto" w:sz="6" w:space="0"/>
            </w:tcBorders>
            <w:noWrap/>
            <w:vAlign w:val="center"/>
          </w:tcPr>
          <w:p w14:paraId="4AACE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A6D17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B8A1FF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746DC76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76664AA">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17</w:t>
            </w:r>
          </w:p>
        </w:tc>
        <w:tc>
          <w:tcPr>
            <w:tcW w:w="1176" w:type="dxa"/>
            <w:vMerge w:val="continue"/>
            <w:tcBorders>
              <w:left w:val="single" w:color="auto" w:sz="6" w:space="0"/>
              <w:right w:val="single" w:color="auto" w:sz="6" w:space="0"/>
            </w:tcBorders>
            <w:noWrap/>
            <w:vAlign w:val="center"/>
          </w:tcPr>
          <w:p w14:paraId="1588D59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5873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TF18082</w:t>
            </w:r>
          </w:p>
        </w:tc>
        <w:tc>
          <w:tcPr>
            <w:tcW w:w="1710" w:type="dxa"/>
            <w:tcBorders>
              <w:top w:val="single" w:color="auto" w:sz="6" w:space="0"/>
              <w:left w:val="single" w:color="auto" w:sz="6" w:space="0"/>
              <w:bottom w:val="single" w:color="auto" w:sz="6" w:space="0"/>
              <w:right w:val="single" w:color="auto" w:sz="6" w:space="0"/>
            </w:tcBorders>
            <w:noWrap/>
            <w:vAlign w:val="center"/>
          </w:tcPr>
          <w:p w14:paraId="72A773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1137136219</w:t>
            </w:r>
          </w:p>
        </w:tc>
        <w:tc>
          <w:tcPr>
            <w:tcW w:w="1545" w:type="dxa"/>
            <w:tcBorders>
              <w:top w:val="single" w:color="auto" w:sz="6" w:space="0"/>
              <w:left w:val="single" w:color="auto" w:sz="6" w:space="0"/>
              <w:bottom w:val="single" w:color="auto" w:sz="6" w:space="0"/>
              <w:right w:val="single" w:color="auto" w:sz="6" w:space="0"/>
            </w:tcBorders>
            <w:noWrap/>
            <w:vAlign w:val="center"/>
          </w:tcPr>
          <w:p w14:paraId="63F400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8A81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2F7C823">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1D0F2AB">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8F22C49">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18</w:t>
            </w:r>
          </w:p>
        </w:tc>
        <w:tc>
          <w:tcPr>
            <w:tcW w:w="1176" w:type="dxa"/>
            <w:vMerge w:val="continue"/>
            <w:tcBorders>
              <w:left w:val="single" w:color="auto" w:sz="6" w:space="0"/>
              <w:right w:val="single" w:color="auto" w:sz="6" w:space="0"/>
            </w:tcBorders>
            <w:noWrap/>
            <w:vAlign w:val="center"/>
          </w:tcPr>
          <w:p w14:paraId="00BEAAB7">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5CE0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TF19540</w:t>
            </w:r>
          </w:p>
        </w:tc>
        <w:tc>
          <w:tcPr>
            <w:tcW w:w="1710" w:type="dxa"/>
            <w:tcBorders>
              <w:top w:val="single" w:color="auto" w:sz="6" w:space="0"/>
              <w:left w:val="single" w:color="auto" w:sz="6" w:space="0"/>
              <w:bottom w:val="single" w:color="auto" w:sz="6" w:space="0"/>
              <w:right w:val="single" w:color="auto" w:sz="6" w:space="0"/>
            </w:tcBorders>
            <w:noWrap/>
            <w:vAlign w:val="center"/>
          </w:tcPr>
          <w:p w14:paraId="1A7065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1137136214</w:t>
            </w:r>
          </w:p>
        </w:tc>
        <w:tc>
          <w:tcPr>
            <w:tcW w:w="1545" w:type="dxa"/>
            <w:tcBorders>
              <w:top w:val="single" w:color="auto" w:sz="6" w:space="0"/>
              <w:left w:val="single" w:color="auto" w:sz="6" w:space="0"/>
              <w:bottom w:val="single" w:color="auto" w:sz="6" w:space="0"/>
              <w:right w:val="single" w:color="auto" w:sz="6" w:space="0"/>
            </w:tcBorders>
            <w:noWrap/>
            <w:vAlign w:val="center"/>
          </w:tcPr>
          <w:p w14:paraId="27E2B5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4CA4C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0E38FD39">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2721E8D">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70A818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19</w:t>
            </w:r>
          </w:p>
        </w:tc>
        <w:tc>
          <w:tcPr>
            <w:tcW w:w="1176" w:type="dxa"/>
            <w:vMerge w:val="continue"/>
            <w:tcBorders>
              <w:left w:val="single" w:color="auto" w:sz="6" w:space="0"/>
              <w:right w:val="single" w:color="auto" w:sz="6" w:space="0"/>
            </w:tcBorders>
            <w:noWrap/>
            <w:vAlign w:val="center"/>
          </w:tcPr>
          <w:p w14:paraId="6A16C94F">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20D59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TF19541</w:t>
            </w:r>
          </w:p>
        </w:tc>
        <w:tc>
          <w:tcPr>
            <w:tcW w:w="1710" w:type="dxa"/>
            <w:tcBorders>
              <w:top w:val="single" w:color="auto" w:sz="6" w:space="0"/>
              <w:left w:val="single" w:color="auto" w:sz="6" w:space="0"/>
              <w:bottom w:val="single" w:color="auto" w:sz="6" w:space="0"/>
              <w:right w:val="single" w:color="auto" w:sz="6" w:space="0"/>
            </w:tcBorders>
            <w:noWrap/>
            <w:vAlign w:val="center"/>
          </w:tcPr>
          <w:p w14:paraId="6E1A14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1137136217</w:t>
            </w:r>
          </w:p>
        </w:tc>
        <w:tc>
          <w:tcPr>
            <w:tcW w:w="1545" w:type="dxa"/>
            <w:tcBorders>
              <w:top w:val="single" w:color="auto" w:sz="6" w:space="0"/>
              <w:left w:val="single" w:color="auto" w:sz="6" w:space="0"/>
              <w:bottom w:val="single" w:color="auto" w:sz="6" w:space="0"/>
              <w:right w:val="single" w:color="auto" w:sz="6" w:space="0"/>
            </w:tcBorders>
            <w:noWrap/>
            <w:vAlign w:val="center"/>
          </w:tcPr>
          <w:p w14:paraId="62889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D43E5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690BD2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CC3465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5998C0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20</w:t>
            </w:r>
          </w:p>
        </w:tc>
        <w:tc>
          <w:tcPr>
            <w:tcW w:w="1176" w:type="dxa"/>
            <w:vMerge w:val="continue"/>
            <w:tcBorders>
              <w:left w:val="single" w:color="auto" w:sz="6" w:space="0"/>
              <w:right w:val="single" w:color="auto" w:sz="6" w:space="0"/>
            </w:tcBorders>
            <w:noWrap/>
            <w:vAlign w:val="center"/>
          </w:tcPr>
          <w:p w14:paraId="06638120">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20317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TF19542</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E8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1137136216</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12378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6E7D54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2AAE673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C283578">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FF224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21</w:t>
            </w:r>
          </w:p>
        </w:tc>
        <w:tc>
          <w:tcPr>
            <w:tcW w:w="1176" w:type="dxa"/>
            <w:vMerge w:val="continue"/>
            <w:tcBorders>
              <w:left w:val="single" w:color="auto" w:sz="6" w:space="0"/>
              <w:bottom w:val="single" w:color="auto" w:sz="6" w:space="0"/>
              <w:right w:val="single" w:color="auto" w:sz="6" w:space="0"/>
            </w:tcBorders>
            <w:noWrap/>
            <w:vAlign w:val="center"/>
          </w:tcPr>
          <w:p w14:paraId="462D75E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0510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TF19543</w:t>
            </w:r>
          </w:p>
        </w:tc>
        <w:tc>
          <w:tcPr>
            <w:tcW w:w="1710" w:type="dxa"/>
            <w:tcBorders>
              <w:top w:val="single" w:color="auto" w:sz="6" w:space="0"/>
              <w:left w:val="single" w:color="auto" w:sz="6" w:space="0"/>
              <w:bottom w:val="single" w:color="auto" w:sz="6" w:space="0"/>
              <w:right w:val="single" w:color="auto" w:sz="6" w:space="0"/>
            </w:tcBorders>
            <w:noWrap/>
            <w:vAlign w:val="center"/>
          </w:tcPr>
          <w:p w14:paraId="08241C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1137136212</w:t>
            </w:r>
          </w:p>
        </w:tc>
        <w:tc>
          <w:tcPr>
            <w:tcW w:w="1545" w:type="dxa"/>
            <w:tcBorders>
              <w:top w:val="single" w:color="auto" w:sz="6" w:space="0"/>
              <w:left w:val="single" w:color="auto" w:sz="6" w:space="0"/>
              <w:bottom w:val="single" w:color="auto" w:sz="6" w:space="0"/>
              <w:right w:val="single" w:color="auto" w:sz="6" w:space="0"/>
            </w:tcBorders>
            <w:noWrap/>
            <w:vAlign w:val="center"/>
          </w:tcPr>
          <w:p w14:paraId="4CDE3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260712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77BAB9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bl>
    <w:p w14:paraId="0E4C8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w:t>
      </w:r>
      <w:r>
        <w:rPr>
          <w:rFonts w:hint="eastAsia" w:asciiTheme="minorEastAsia" w:hAnsiTheme="minorEastAsia" w:eastAsiaTheme="minorEastAsia" w:cstheme="minorEastAsia"/>
          <w:b/>
          <w:bCs/>
          <w:color w:val="auto"/>
          <w:kern w:val="28"/>
          <w:sz w:val="24"/>
          <w:szCs w:val="24"/>
          <w:lang w:val="en-US" w:eastAsia="zh-CN" w:bidi="ar-SA"/>
        </w:rPr>
        <w:t>技术和服务要求：</w:t>
      </w:r>
    </w:p>
    <w:p w14:paraId="683A059C">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3.1、</w:t>
      </w:r>
      <w:r>
        <w:rPr>
          <w:rFonts w:hint="eastAsia" w:ascii="宋体" w:hAnsi="宋体" w:eastAsia="宋体" w:cs="Times New Roman"/>
          <w:b/>
          <w:color w:val="auto"/>
          <w:szCs w:val="21"/>
          <w:highlight w:val="none"/>
          <w:lang w:val="en-US" w:eastAsia="zh-CN"/>
        </w:rPr>
        <w:t>一般要求</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本次检测应符合国家</w:t>
      </w:r>
      <w:r>
        <w:rPr>
          <w:rFonts w:hint="eastAsia" w:ascii="宋体" w:hAnsi="宋体" w:eastAsia="宋体" w:cs="Times New Roman"/>
          <w:b/>
          <w:color w:val="auto"/>
          <w:szCs w:val="21"/>
          <w:highlight w:val="none"/>
          <w:lang w:eastAsia="zh-CN"/>
        </w:rPr>
        <w:t>相关标准、</w:t>
      </w:r>
      <w:r>
        <w:rPr>
          <w:rFonts w:hint="eastAsia" w:ascii="宋体" w:hAnsi="宋体" w:eastAsia="宋体" w:cs="Times New Roman"/>
          <w:b/>
          <w:color w:val="auto"/>
          <w:szCs w:val="21"/>
          <w:highlight w:val="none"/>
        </w:rPr>
        <w:t>行业标准。</w:t>
      </w:r>
    </w:p>
    <w:p w14:paraId="314CE6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投标人应承诺本次招标的检测服务及检测所使用的附属设备、专用检测工具是先进的和安全可靠的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且技术经济性能符合本规格书的要求。 </w:t>
      </w:r>
    </w:p>
    <w:p w14:paraId="718213B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投标人应承诺对于属于该次检测的完整性及正常检测而需要的耗材、辅材等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即使本条款中未列出或数量不足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供方仍有责任给予补充和完善属于本次招标范围。 </w:t>
      </w:r>
    </w:p>
    <w:p w14:paraId="4AF61C7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投标人应承诺负责提供本检测项目承包范围所需的设备及一切检测所需人工、材料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供方应对所提供检测的正确性、有效性负责。投标方须对招、投标文件中涉及到的专利负责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并保证不伤害业主的利益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所有在法律范围中侵权造成的相关费用招标人不负责。 </w:t>
      </w:r>
    </w:p>
    <w:p w14:paraId="424DA2B7">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投标人应按照招标人电梯年检到期时间分批检测，检测标准应符合国家或行业相关标准。</w:t>
      </w:r>
    </w:p>
    <w:p w14:paraId="54545D7E">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5</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投标方应在招标方电梯年检到期前提供完整且有效的检测报告及特种设备使用标志。</w:t>
      </w:r>
    </w:p>
    <w:p w14:paraId="63D1FD3A">
      <w:pPr>
        <w:spacing w:line="400" w:lineRule="exact"/>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3.2</w:t>
      </w:r>
      <w:r>
        <w:rPr>
          <w:rFonts w:hint="eastAsia" w:ascii="宋体" w:hAnsi="宋体" w:eastAsia="宋体" w:cs="Times New Roman"/>
          <w:b/>
          <w:color w:val="auto"/>
          <w:szCs w:val="21"/>
          <w:highlight w:val="none"/>
        </w:rPr>
        <w:t>、安全要求</w:t>
      </w:r>
    </w:p>
    <w:p w14:paraId="2AE395F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现场负责人是施工工地文明安全生产直接责任人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应组织落实公司有关规定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认真做好与所属班组签订《安全生产责任制》工作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同时健全安全生产管理体系</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并指定专职安全管理人员对工程项目监督管理。</w:t>
      </w:r>
    </w:p>
    <w:p w14:paraId="5D604B7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在组织施工过程中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必须认真贯彻执行国家、省、市安全生产方针、政策、法规、标准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建立完善的安全施工组织机构及各项管理规章制度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并接受甲方安全生产监督与检查。</w:t>
      </w:r>
    </w:p>
    <w:p w14:paraId="7F3BC87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在施工前必须配齐符合标准的、必要的安全防护设施及劳动保护用品</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必须对施工人员进行“三级安全教育”</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必须制定安全技术措施和安全交底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交甲方备案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特种作业人员必须持证上岗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并向甲方提供相关的资格证书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施工现场安全防护装置必须齐全有效。如果甲方发现乙方未尽安全生产管理职责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允许不符合作业资格的员工进行施工作业的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甲方有权当场停止其施工作业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重新委派合格员工上岗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由此产生的工期延误及损失由乙方自行承担。</w:t>
      </w:r>
    </w:p>
    <w:p w14:paraId="1C95889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乙方自备、自用的各种机械、设备、架具、防护用品等应符合国家标准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由此出现问题而造成事故及经济损失</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由乙方自行负责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给甲方造成事故及经济损失全部由乙方承担。属于甲方提供的工具、设备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乙方要在交接使用前认真检查确认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一次性验收并办理交接手续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双方签字投入使用后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发生的一切安全事故及造成的损失由乙方负责。</w:t>
      </w:r>
    </w:p>
    <w:p w14:paraId="0DE5DAF9">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在计划、布置、检查、总结、评比生产的活动中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必须同时把文明安全生产工作贯彻至每个具体环节中去。特别是要做好有关针对性的书面安全技术交底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遇有生产与安全发生矛盾时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生产必服从安全。</w:t>
      </w:r>
    </w:p>
    <w:p w14:paraId="2C4E6E2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经常性组织班组搞好文明安全活动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认真学习安全操作规程</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每周组织项目部有关人员检查文明安全生产情况</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教育职工正确使用防护用品。严禁违章指挥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违章作业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发生的一切事故及人员伤害均由乙方负责。</w:t>
      </w:r>
    </w:p>
    <w:p w14:paraId="3329F3D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若发生重大伤亡事故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要及时抢救伤员</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保护现场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十二小时内要立即上报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及时消除、整改事故隐患。</w:t>
      </w:r>
    </w:p>
    <w:p w14:paraId="55E3A881">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甲乙双方在同一场地交叉作业时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双方统一协调配合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共同做好安全防范工作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并各自承担由于防范工作不到位而造成的事故伤害及损失。</w:t>
      </w:r>
    </w:p>
    <w:p w14:paraId="50243BDA">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因乙方原因造成的</w:t>
      </w:r>
      <w:r>
        <w:rPr>
          <w:rFonts w:hint="eastAsia" w:ascii="宋体" w:hAnsi="宋体" w:eastAsia="宋体" w:cs="Times New Roman"/>
          <w:color w:val="auto"/>
          <w:szCs w:val="21"/>
          <w:highlight w:val="none"/>
        </w:rPr>
        <w:t>一切安全事故及损失由乙方负责。</w:t>
      </w:r>
    </w:p>
    <w:p w14:paraId="2334E8AD">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3.3</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其他要求</w:t>
      </w:r>
      <w:r>
        <w:rPr>
          <w:rFonts w:hint="eastAsia" w:ascii="宋体" w:hAnsi="宋体" w:eastAsia="宋体" w:cs="Times New Roman"/>
          <w:b/>
          <w:color w:val="auto"/>
          <w:szCs w:val="21"/>
          <w:highlight w:val="none"/>
        </w:rPr>
        <w:t>与说明</w:t>
      </w:r>
    </w:p>
    <w:p w14:paraId="0024048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甲方除提供加工场地外，不提供</w:t>
      </w:r>
      <w:r>
        <w:rPr>
          <w:rFonts w:hint="eastAsia" w:ascii="宋体" w:hAnsi="宋体" w:eastAsia="宋体" w:cs="Times New Roman"/>
          <w:color w:val="auto"/>
          <w:szCs w:val="21"/>
          <w:highlight w:val="none"/>
          <w:lang w:val="en-US" w:eastAsia="zh-CN"/>
        </w:rPr>
        <w:t>工程</w:t>
      </w:r>
      <w:r>
        <w:rPr>
          <w:rFonts w:hint="eastAsia" w:ascii="宋体" w:hAnsi="宋体" w:eastAsia="宋体" w:cs="Times New Roman"/>
          <w:color w:val="auto"/>
          <w:szCs w:val="21"/>
          <w:highlight w:val="none"/>
        </w:rPr>
        <w:t>所需的任何相应设备、软件、材料，由中标方自行提供。项目所需的任何设备、软件、材料、生活保障（如水电费）等，均由中标方自行提供。</w:t>
      </w:r>
    </w:p>
    <w:p w14:paraId="335F010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要求中标单位在签立合同时成立项目组，指定专人负责该项目，项目负责人必须为中标单位公司级负责人，并列出具体的项目操作标准及流程、项目实施计划、人员及保证措施。</w:t>
      </w:r>
    </w:p>
    <w:p w14:paraId="22CEE292">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要求投标商中标并签订合同后，在</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天内，将有关</w:t>
      </w:r>
      <w:r>
        <w:rPr>
          <w:rFonts w:hint="eastAsia" w:ascii="宋体" w:hAnsi="宋体" w:eastAsia="宋体" w:cs="Times New Roman"/>
          <w:color w:val="auto"/>
          <w:szCs w:val="21"/>
          <w:highlight w:val="none"/>
          <w:lang w:val="en-US" w:eastAsia="zh-CN"/>
        </w:rPr>
        <w:t>工程设备</w:t>
      </w:r>
      <w:r>
        <w:rPr>
          <w:rFonts w:hint="eastAsia" w:ascii="宋体" w:hAnsi="宋体" w:eastAsia="宋体" w:cs="Times New Roman"/>
          <w:color w:val="auto"/>
          <w:szCs w:val="21"/>
          <w:highlight w:val="none"/>
        </w:rPr>
        <w:t>、产品</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人力配置等总体配备完毕。</w:t>
      </w:r>
    </w:p>
    <w:p w14:paraId="6FE99896">
      <w:pPr>
        <w:spacing w:line="400" w:lineRule="exact"/>
        <w:ind w:firstLine="420" w:firstLineChars="200"/>
        <w:rPr>
          <w:rFonts w:hint="eastAsia" w:ascii="宋体" w:hAnsi="宋体" w:eastAsia="宋体" w:cs="Times New Roman"/>
          <w:color w:val="auto"/>
          <w:szCs w:val="21"/>
          <w:highlight w:val="yellow"/>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b/>
          <w:bCs/>
          <w:color w:val="0000FF"/>
          <w:szCs w:val="21"/>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cs="Times New Roman"/>
          <w:b/>
          <w:bCs/>
          <w:color w:val="0000FF"/>
          <w:szCs w:val="21"/>
          <w:highlight w:val="none"/>
          <w:u w:val="single"/>
          <w:lang w:val="en-US" w:eastAsia="zh-CN"/>
        </w:rPr>
        <w:t>并</w:t>
      </w:r>
      <w:r>
        <w:rPr>
          <w:rFonts w:hint="eastAsia" w:ascii="宋体" w:hAnsi="宋体" w:eastAsia="宋体" w:cs="Times New Roman"/>
          <w:b/>
          <w:bCs/>
          <w:color w:val="0000FF"/>
          <w:szCs w:val="21"/>
          <w:highlight w:val="none"/>
          <w:u w:val="single"/>
        </w:rPr>
        <w:t>提供特种设备使用标志</w:t>
      </w:r>
      <w:r>
        <w:rPr>
          <w:rFonts w:hint="eastAsia" w:ascii="宋体" w:hAnsi="宋体" w:eastAsia="宋体" w:cs="Times New Roman"/>
          <w:color w:val="0000FF"/>
          <w:szCs w:val="21"/>
          <w:highlight w:val="none"/>
        </w:rPr>
        <w:t>。</w:t>
      </w:r>
    </w:p>
    <w:p w14:paraId="4DB70380">
      <w:pPr>
        <w:spacing w:line="400" w:lineRule="exact"/>
        <w:ind w:firstLine="422" w:firstLineChars="200"/>
        <w:outlineLvl w:val="0"/>
        <w:rPr>
          <w:rFonts w:hint="eastAsia" w:ascii="宋体" w:hAnsi="宋体" w:eastAsia="宋体" w:cs="Times New Roman"/>
          <w:color w:val="auto"/>
          <w:szCs w:val="21"/>
          <w:highlight w:val="none"/>
        </w:rPr>
      </w:pPr>
      <w:r>
        <w:rPr>
          <w:rFonts w:hint="eastAsia" w:ascii="宋体" w:hAnsi="宋体" w:cs="Times New Roman"/>
          <w:b/>
          <w:color w:val="auto"/>
          <w:szCs w:val="21"/>
          <w:highlight w:val="none"/>
          <w:lang w:val="en-US" w:eastAsia="zh-CN"/>
        </w:rPr>
        <w:t>3.4</w:t>
      </w:r>
      <w:r>
        <w:rPr>
          <w:rFonts w:hint="eastAsia" w:ascii="宋体" w:hAnsi="宋体" w:eastAsia="宋体" w:cs="Times New Roman"/>
          <w:b/>
          <w:color w:val="auto"/>
          <w:szCs w:val="21"/>
          <w:highlight w:val="none"/>
        </w:rPr>
        <w:t>、违约责任</w:t>
      </w:r>
    </w:p>
    <w:p w14:paraId="68DDA1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逾期完成</w:t>
      </w:r>
      <w:r>
        <w:rPr>
          <w:rFonts w:hint="eastAsia" w:ascii="宋体" w:hAnsi="宋体" w:eastAsia="宋体" w:cs="Times New Roman"/>
          <w:color w:val="0000FF"/>
          <w:szCs w:val="21"/>
          <w:highlight w:val="none"/>
          <w:lang w:val="en-US" w:eastAsia="zh-CN"/>
        </w:rPr>
        <w:t>各电梯年检</w:t>
      </w:r>
      <w:r>
        <w:rPr>
          <w:rFonts w:hint="eastAsia" w:ascii="宋体" w:hAnsi="宋体" w:eastAsia="宋体" w:cs="Times New Roman"/>
          <w:color w:val="auto"/>
          <w:szCs w:val="21"/>
          <w:highlight w:val="none"/>
        </w:rPr>
        <w:t>工作的，每逾期一天，按</w:t>
      </w:r>
      <w:r>
        <w:rPr>
          <w:rFonts w:hint="eastAsia" w:ascii="宋体" w:hAnsi="宋体" w:eastAsia="宋体" w:cs="Times New Roman"/>
          <w:color w:val="auto"/>
          <w:szCs w:val="21"/>
          <w:highlight w:val="none"/>
          <w:lang w:val="en-US" w:eastAsia="zh-CN"/>
        </w:rPr>
        <w:t>1000元/天</w:t>
      </w:r>
      <w:r>
        <w:rPr>
          <w:rFonts w:hint="eastAsia" w:ascii="宋体" w:hAnsi="宋体" w:eastAsia="宋体" w:cs="Times New Roman"/>
          <w:color w:val="auto"/>
          <w:szCs w:val="21"/>
          <w:highlight w:val="none"/>
        </w:rPr>
        <w:t>向甲方支付违约金。整个项目逾期两个月未能完成工作的，甲方可解除本合同，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应向甲方支付</w:t>
      </w:r>
      <w:r>
        <w:rPr>
          <w:rFonts w:hint="eastAsia" w:ascii="宋体" w:hAnsi="宋体" w:eastAsia="宋体" w:cs="Times New Roman"/>
          <w:color w:val="auto"/>
          <w:szCs w:val="21"/>
          <w:highlight w:val="none"/>
          <w:lang w:val="en-US" w:eastAsia="zh-CN"/>
        </w:rPr>
        <w:t>20000元的</w:t>
      </w:r>
      <w:r>
        <w:rPr>
          <w:rFonts w:hint="eastAsia" w:ascii="宋体" w:hAnsi="宋体" w:eastAsia="宋体" w:cs="Times New Roman"/>
          <w:color w:val="auto"/>
          <w:szCs w:val="21"/>
          <w:highlight w:val="none"/>
        </w:rPr>
        <w:t>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55088DE6">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应严格按照本招标书规定的各项加工技术标准要求和投标时承诺</w:t>
      </w:r>
      <w:r>
        <w:rPr>
          <w:rFonts w:hint="eastAsia" w:ascii="宋体" w:hAnsi="宋体" w:eastAsia="宋体" w:cs="Times New Roman"/>
          <w:color w:val="auto"/>
          <w:szCs w:val="21"/>
          <w:highlight w:val="none"/>
          <w:lang w:eastAsia="zh-CN"/>
        </w:rPr>
        <w:t>的其他要求</w:t>
      </w:r>
      <w:r>
        <w:rPr>
          <w:rFonts w:hint="eastAsia" w:ascii="宋体" w:hAnsi="宋体" w:eastAsia="宋体" w:cs="Times New Roman"/>
          <w:color w:val="auto"/>
          <w:szCs w:val="21"/>
          <w:highlight w:val="none"/>
        </w:rPr>
        <w:t>进行</w:t>
      </w:r>
      <w:r>
        <w:rPr>
          <w:rFonts w:hint="eastAsia" w:ascii="宋体" w:hAnsi="宋体" w:eastAsia="宋体" w:cs="Times New Roman"/>
          <w:color w:val="auto"/>
          <w:szCs w:val="21"/>
          <w:highlight w:val="none"/>
          <w:lang w:val="en-US" w:eastAsia="zh-CN"/>
        </w:rPr>
        <w:t>检测</w:t>
      </w:r>
      <w:r>
        <w:rPr>
          <w:rFonts w:hint="eastAsia" w:ascii="宋体" w:hAnsi="宋体" w:eastAsia="宋体" w:cs="Times New Roman"/>
          <w:color w:val="auto"/>
          <w:szCs w:val="21"/>
          <w:highlight w:val="none"/>
        </w:rPr>
        <w:t>，如果发生（产生）下列情形之一，甲方有权单方解除本合同，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向甲方支付实际产生的合同款项</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0%的违约金，如造成甲方损失超过违约金的，超出部分由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29A5706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w:t>
      </w:r>
      <w:r>
        <w:rPr>
          <w:rFonts w:hint="eastAsia" w:ascii="宋体" w:hAnsi="宋体" w:eastAsia="宋体" w:cs="Times New Roman"/>
          <w:color w:val="auto"/>
          <w:szCs w:val="21"/>
          <w:highlight w:val="none"/>
          <w:lang w:val="en-US" w:eastAsia="zh-CN"/>
        </w:rPr>
        <w:t>施工</w:t>
      </w:r>
      <w:r>
        <w:rPr>
          <w:rFonts w:hint="eastAsia" w:ascii="宋体" w:hAnsi="宋体" w:eastAsia="宋体" w:cs="Times New Roman"/>
          <w:color w:val="auto"/>
          <w:szCs w:val="21"/>
          <w:highlight w:val="none"/>
        </w:rPr>
        <w:t>期间，发生火灾、治安、人员伤亡等安全生产事故的；</w:t>
      </w:r>
    </w:p>
    <w:p w14:paraId="2D8B1AB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pacing w:val="-4"/>
          <w:szCs w:val="21"/>
          <w:highlight w:val="none"/>
        </w:rPr>
        <w:t>项目以所谓的业务派遣等方式进行变相转包的。</w:t>
      </w:r>
    </w:p>
    <w:p w14:paraId="68D1FB8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9"/>
        <w:rPr>
          <w:rFonts w:hint="eastAsia" w:ascii="宋体" w:hAnsi="宋体" w:eastAsia="宋体" w:cs="宋体"/>
          <w:b/>
          <w:bCs/>
          <w:color w:val="0000FF"/>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4.付款方式：</w:t>
      </w:r>
      <w:r>
        <w:rPr>
          <w:rFonts w:hint="eastAsia" w:ascii="宋体" w:hAnsi="宋体" w:eastAsia="宋体" w:cs="宋体"/>
          <w:b/>
          <w:bCs/>
          <w:color w:val="auto"/>
          <w:kern w:val="2"/>
          <w:sz w:val="24"/>
          <w:szCs w:val="24"/>
          <w:u w:val="single"/>
          <w:lang w:val="en-US" w:eastAsia="zh-CN" w:bidi="ar-SA"/>
        </w:rPr>
        <w:t>合同签订后，</w:t>
      </w:r>
      <w:r>
        <w:rPr>
          <w:rFonts w:hint="eastAsia" w:ascii="宋体" w:hAnsi="宋体" w:eastAsia="宋体" w:cs="宋体"/>
          <w:b/>
          <w:bCs/>
          <w:color w:val="0000FF"/>
          <w:kern w:val="2"/>
          <w:sz w:val="24"/>
          <w:szCs w:val="24"/>
          <w:u w:val="single"/>
          <w:lang w:val="en-US" w:eastAsia="zh-CN" w:bidi="ar-SA"/>
        </w:rPr>
        <w:t>乙方在完成本次所有电梯检测并出具所有电梯自行检测报告及提供特种设备使用标志后，乙方提供等额增值税专用发票后30个工作日内支付合同价款的100%。</w:t>
      </w:r>
    </w:p>
    <w:p w14:paraId="4F2875AB">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843559E">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65714BC2">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cya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0000FF"/>
          <w:sz w:val="24"/>
          <w:szCs w:val="24"/>
          <w:highlight w:val="none"/>
        </w:rPr>
        <w:t>竞价人必须是委托人邀请的供应商：福建拓普检测技术有限公司、四川升瑞达机械设备检测有限公司、山东鲁能特种设备检验检测有限公司。</w:t>
      </w:r>
    </w:p>
    <w:p w14:paraId="63EE6D00">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28D759A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2025年3月11日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728FF3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0C588603">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4C26513F">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4A44B0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213D77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0912AEE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41BB7F3A">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5588298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缴纳保证金的凭证。</w:t>
      </w:r>
    </w:p>
    <w:p w14:paraId="21EDE2F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DADB516">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shd w:val="clear"/>
          <w:lang w:val="en-US" w:eastAsia="zh-CN"/>
        </w:rPr>
        <w:t>具体格式详见报名资料。</w:t>
      </w:r>
    </w:p>
    <w:p w14:paraId="460985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5DAF622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59FB8A1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77C5D0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6BED50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EA5AB70">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家，则按流标处理</w:t>
      </w:r>
      <w:r>
        <w:rPr>
          <w:rFonts w:hint="eastAsia" w:asciiTheme="minorEastAsia" w:hAnsiTheme="minorEastAsia" w:eastAsiaTheme="minorEastAsia" w:cstheme="minorEastAsia"/>
          <w:color w:val="auto"/>
          <w:sz w:val="24"/>
          <w:szCs w:val="24"/>
        </w:rPr>
        <w:t>，竞价人不得有异议。</w:t>
      </w:r>
    </w:p>
    <w:p w14:paraId="33B2E73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BD8750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4D600A9">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进行报价，竞价系统设置的价格10732.5</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人民币10732.5元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于10732.5</w:t>
      </w:r>
      <w:r>
        <w:rPr>
          <w:rFonts w:hint="eastAsia" w:ascii="宋体" w:hAnsi="宋体" w:eastAsia="宋体" w:cs="宋体"/>
          <w:b/>
          <w:bCs/>
          <w:color w:val="auto"/>
          <w:kern w:val="28"/>
          <w:sz w:val="24"/>
          <w:szCs w:val="24"/>
          <w:highlight w:val="none"/>
          <w:lang w:val="en-US" w:eastAsia="zh-CN" w:bidi="ar-SA"/>
        </w:rPr>
        <w:t>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9171FE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206AC1E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6F6F57CB">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2E7A66EC">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lang w:val="en-US" w:eastAsia="zh-CN"/>
        </w:rPr>
        <w:t>交易</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3E513E73">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347AB48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47D393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5661185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644FD6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48D6567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2C655B8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2D97595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8CF3A7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2916002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08E9EDD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7C7CF1A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25910DB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9750C6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09C888E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07EC0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38945C0">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2DA3CC24">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2025年3月6日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7F0C"/>
    <w:rsid w:val="17777F0C"/>
    <w:rsid w:val="336E4493"/>
    <w:rsid w:val="3A520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4889</Words>
  <Characters>6094</Characters>
  <Lines>0</Lines>
  <Paragraphs>0</Paragraphs>
  <TotalTime>0</TotalTime>
  <ScaleCrop>false</ScaleCrop>
  <LinksUpToDate>false</LinksUpToDate>
  <CharactersWithSpaces>6133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2025-03-06T03:32:00Z</dcterms:created>
  <dc:creator>土豆排骨的滋味</dc:creator>
  <cp:lastModifiedBy>土豆排骨的滋味</cp:lastModifiedBy>
  <dcterms:modified xsi:type="dcterms:W3CDTF">2025-03-06T09:03:41Z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EF9055CE75F54D25AE33F2B0C8583368_11</vt:lpwstr>
  </property>
  <property fmtid="{D5CDD505-2E9C-101B-9397-08002B2CF9AE}" pid="4" name="KSOTemplateDocerSaveRecord">
    <vt:lpwstr>eyJoZGlkIjoiOGM1MWM1MGQ5NzM2ZmQyZjM0M2FkMTA1ZTQzZTljNTAiLCJ1c2VySWQiOiIxMTA2MzUwMTgxIn0=</vt:lpwstr>
  </property>
</Properties>
</file>