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2FCA2">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14:paraId="4253AFB5">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PG20241231</w:t>
      </w:r>
      <w:r>
        <w:rPr>
          <w:rFonts w:hint="eastAsia" w:ascii="宋体" w:hAnsi="宋体" w:eastAsia="宋体" w:cs="宋体"/>
          <w:b/>
          <w:bCs/>
          <w:color w:val="000000"/>
          <w:kern w:val="0"/>
          <w:sz w:val="24"/>
          <w:szCs w:val="24"/>
          <w:shd w:val="clear" w:color="auto" w:fill="FFFFFF"/>
        </w:rPr>
        <w:t>）</w:t>
      </w:r>
    </w:p>
    <w:p w14:paraId="1BC8DDE0">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14:paraId="0EA1E8E5">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14:paraId="4A0CF782">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12</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31</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14:paraId="53B6894B">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14:paraId="27475019">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12</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26</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12</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30</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14:paraId="7F72459A">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14:paraId="1BAE3984">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14:paraId="3AD42F05">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14:paraId="22D1B9F9">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龙岩福豸企业管理有限公司公开竞价选取评估服务机构</w:t>
      </w:r>
    </w:p>
    <w:p w14:paraId="3A433CA6">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eastAsia="宋体" w:cs="宋体"/>
          <w:color w:val="0000FF"/>
          <w:kern w:val="0"/>
          <w:sz w:val="24"/>
          <w:szCs w:val="24"/>
          <w:shd w:val="clear" w:color="auto" w:fill="FFFFFF"/>
          <w:lang w:val="en-US" w:eastAsia="zh-CN" w:bidi="ar-SA"/>
        </w:rPr>
        <w:t>为砻糠头小区入口处不动产资产进行评估，确定市场价值提供评估服务。</w:t>
      </w:r>
    </w:p>
    <w:p w14:paraId="72C0290C">
      <w:pPr>
        <w:pStyle w:val="2"/>
        <w:rPr>
          <w:rFonts w:hint="eastAsia"/>
          <w:lang w:val="en-US" w:eastAsia="zh-CN"/>
        </w:rPr>
      </w:pPr>
    </w:p>
    <w:p w14:paraId="7D132A33">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注：评估内容具体以委托方提供的评估清单为准。</w:t>
      </w:r>
    </w:p>
    <w:p w14:paraId="6369E9AB">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叁</w:t>
      </w:r>
      <w:r>
        <w:rPr>
          <w:rFonts w:hint="eastAsia" w:ascii="宋体" w:hAnsi="宋体" w:eastAsia="宋体" w:cs="宋体"/>
          <w:color w:val="0000FF"/>
          <w:kern w:val="0"/>
          <w:sz w:val="24"/>
          <w:szCs w:val="24"/>
          <w:highlight w:val="none"/>
          <w:lang w:val="en-US" w:eastAsia="zh-CN" w:bidi="ar"/>
        </w:rPr>
        <w:t>仟元整  （¥</w:t>
      </w:r>
      <w:r>
        <w:rPr>
          <w:rFonts w:hint="eastAsia" w:ascii="宋体" w:hAnsi="宋体" w:cs="宋体"/>
          <w:color w:val="0000FF"/>
          <w:kern w:val="0"/>
          <w:sz w:val="24"/>
          <w:szCs w:val="24"/>
          <w:highlight w:val="none"/>
          <w:lang w:val="en-US" w:eastAsia="zh-CN" w:bidi="ar"/>
        </w:rPr>
        <w:t>30</w:t>
      </w:r>
      <w:r>
        <w:rPr>
          <w:rFonts w:hint="eastAsia" w:ascii="宋体" w:hAnsi="宋体" w:eastAsia="宋体" w:cs="宋体"/>
          <w:color w:val="0000FF"/>
          <w:kern w:val="0"/>
          <w:sz w:val="24"/>
          <w:szCs w:val="24"/>
          <w:highlight w:val="none"/>
          <w:lang w:val="en-US" w:eastAsia="zh-CN" w:bidi="ar"/>
        </w:rPr>
        <w:t>00.00）</w:t>
      </w:r>
      <w:r>
        <w:rPr>
          <w:rFonts w:hint="eastAsia" w:ascii="宋体" w:hAnsi="宋体" w:cs="宋体"/>
          <w:color w:val="0000FF"/>
          <w:kern w:val="0"/>
          <w:sz w:val="24"/>
          <w:szCs w:val="24"/>
          <w:highlight w:val="none"/>
          <w:lang w:val="en-US" w:eastAsia="zh-CN" w:bidi="ar"/>
        </w:rPr>
        <w:t>。</w:t>
      </w:r>
    </w:p>
    <w:p w14:paraId="0DC99361">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14:paraId="7B59584E">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w:t>
      </w:r>
      <w:r>
        <w:rPr>
          <w:rFonts w:hint="eastAsia" w:ascii="宋体" w:hAnsi="宋体" w:cs="宋体"/>
          <w:b/>
          <w:bCs/>
          <w:color w:val="0000FF"/>
          <w:kern w:val="0"/>
          <w:sz w:val="24"/>
          <w:szCs w:val="24"/>
          <w:shd w:val="clear" w:color="auto" w:fill="FFFFFF"/>
          <w:lang w:val="en-US" w:eastAsia="zh-CN" w:bidi="ar-SA"/>
        </w:rPr>
        <w:t>成交人须到委托方</w:t>
      </w:r>
      <w:r>
        <w:rPr>
          <w:rFonts w:hint="eastAsia" w:ascii="宋体" w:hAnsi="宋体" w:cs="宋体"/>
          <w:color w:val="0000FF"/>
          <w:kern w:val="0"/>
          <w:sz w:val="24"/>
          <w:szCs w:val="24"/>
          <w:highlight w:val="none"/>
          <w:u w:val="none"/>
          <w:lang w:val="en-US" w:eastAsia="zh-CN" w:bidi="ar"/>
        </w:rPr>
        <w:t>评估标的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14:paraId="135F16ED">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为砻糠头小区入口处不动产资产进行评估，确定市场价值提供评估服务</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要综合考虑各因素，合法、客观、公正地进行评估，出具符合规范的评估报告。</w:t>
      </w:r>
    </w:p>
    <w:p w14:paraId="01DF7EB6">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3</w:t>
      </w:r>
      <w:r>
        <w:rPr>
          <w:rFonts w:hint="eastAsia" w:ascii="宋体" w:hAnsi="宋体" w:eastAsia="宋体" w:cs="宋体"/>
          <w:color w:val="0000FF"/>
          <w:kern w:val="0"/>
          <w:sz w:val="24"/>
          <w:szCs w:val="24"/>
          <w:shd w:val="clear" w:color="auto" w:fill="FFFFFF"/>
          <w:lang w:val="en-US" w:eastAsia="zh-CN" w:bidi="ar-SA"/>
        </w:rPr>
        <w:t>）评估机构及签字的注册评估师对出具的评估报告的客观性、真实性、公正性承担法律责任。</w:t>
      </w:r>
    </w:p>
    <w:p w14:paraId="1383A94C">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4</w:t>
      </w:r>
      <w:r>
        <w:rPr>
          <w:rFonts w:hint="eastAsia" w:ascii="宋体" w:hAnsi="宋体" w:eastAsia="宋体" w:cs="宋体"/>
          <w:color w:val="0000FF"/>
          <w:kern w:val="0"/>
          <w:sz w:val="24"/>
          <w:szCs w:val="24"/>
          <w:shd w:val="clear" w:color="auto" w:fill="FFFFFF"/>
          <w:lang w:val="en-US" w:eastAsia="zh-CN" w:bidi="ar-SA"/>
        </w:rPr>
        <w:t>）在收到评估业务通知后，</w:t>
      </w:r>
      <w:r>
        <w:rPr>
          <w:rFonts w:hint="eastAsia" w:ascii="宋体" w:hAnsi="宋体" w:eastAsia="宋体" w:cs="宋体"/>
          <w:b/>
          <w:bCs/>
          <w:color w:val="0000FF"/>
          <w:kern w:val="0"/>
          <w:sz w:val="24"/>
          <w:szCs w:val="24"/>
          <w:shd w:val="clear" w:color="auto" w:fill="FFFFFF"/>
          <w:lang w:val="en-US" w:eastAsia="zh-CN" w:bidi="ar-SA"/>
        </w:rPr>
        <w:t>成交人须安排评估师到现场</w:t>
      </w:r>
      <w:r>
        <w:rPr>
          <w:rFonts w:hint="eastAsia" w:ascii="宋体" w:hAnsi="宋体" w:eastAsia="宋体" w:cs="宋体"/>
          <w:color w:val="0000FF"/>
          <w:kern w:val="0"/>
          <w:sz w:val="24"/>
          <w:szCs w:val="24"/>
          <w:shd w:val="clear" w:color="auto" w:fill="FFFFFF"/>
          <w:lang w:val="en-US" w:eastAsia="zh-CN" w:bidi="ar-SA"/>
        </w:rPr>
        <w:t>与委托方经办人员对接，</w:t>
      </w:r>
      <w:r>
        <w:rPr>
          <w:rFonts w:hint="eastAsia" w:ascii="宋体" w:hAnsi="宋体" w:eastAsia="宋体" w:cs="宋体"/>
          <w:b/>
          <w:bCs/>
          <w:color w:val="0000FF"/>
          <w:kern w:val="0"/>
          <w:sz w:val="24"/>
          <w:szCs w:val="24"/>
          <w:shd w:val="clear" w:color="auto" w:fill="FFFFFF"/>
          <w:lang w:val="en-US" w:eastAsia="zh-CN" w:bidi="ar-SA"/>
        </w:rPr>
        <w:t>评估期间评估师需在连城县</w:t>
      </w:r>
      <w:r>
        <w:rPr>
          <w:rFonts w:hint="eastAsia" w:ascii="宋体" w:hAnsi="宋体" w:cs="宋体"/>
          <w:b/>
          <w:bCs/>
          <w:color w:val="0000FF"/>
          <w:kern w:val="0"/>
          <w:sz w:val="24"/>
          <w:szCs w:val="24"/>
          <w:shd w:val="clear" w:color="auto" w:fill="FFFFFF"/>
          <w:lang w:val="en-US" w:eastAsia="zh-CN" w:bidi="ar-SA"/>
        </w:rPr>
        <w:t>驻点</w:t>
      </w:r>
      <w:r>
        <w:rPr>
          <w:rFonts w:hint="eastAsia" w:ascii="宋体" w:hAnsi="宋体" w:eastAsia="宋体" w:cs="宋体"/>
          <w:b/>
          <w:bCs/>
          <w:color w:val="0000FF"/>
          <w:kern w:val="0"/>
          <w:sz w:val="24"/>
          <w:szCs w:val="24"/>
          <w:shd w:val="clear" w:color="auto" w:fill="FFFFFF"/>
          <w:lang w:val="en-US" w:eastAsia="zh-CN" w:bidi="ar-SA"/>
        </w:rPr>
        <w:t>直到评估工作结束，</w:t>
      </w:r>
      <w:r>
        <w:rPr>
          <w:rFonts w:hint="eastAsia" w:ascii="宋体" w:hAnsi="宋体" w:cs="宋体"/>
          <w:color w:val="0000FF"/>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并在出具评估报告中写明有效期限，无正当理由不得拖延，如因项目复杂可根据具体情况另行商定完成时间。</w:t>
      </w:r>
    </w:p>
    <w:p w14:paraId="45856052">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cs="宋体"/>
          <w:color w:val="0000FF"/>
          <w:kern w:val="0"/>
          <w:sz w:val="24"/>
          <w:szCs w:val="24"/>
          <w:highlight w:val="none"/>
          <w:u w:val="none"/>
          <w:lang w:val="en-US" w:eastAsia="zh-CN" w:bidi="ar"/>
        </w:rPr>
        <w:t>（5）对委托方提供的有关资料和评估结果保密。</w:t>
      </w:r>
    </w:p>
    <w:p w14:paraId="06FAE8B9">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14:paraId="3AE6F442">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资产</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w:t>
      </w:r>
    </w:p>
    <w:p w14:paraId="253379CE">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w:t>
      </w:r>
      <w:r>
        <w:rPr>
          <w:rFonts w:hint="eastAsia" w:ascii="宋体" w:hAnsi="宋体" w:cs="宋体"/>
          <w:color w:val="000000"/>
          <w:sz w:val="24"/>
          <w:szCs w:val="24"/>
          <w:highlight w:val="none"/>
          <w:shd w:val="clear" w:color="auto" w:fill="FFFFFF"/>
          <w:lang w:val="en-US" w:eastAsia="zh-CN"/>
        </w:rPr>
        <w:t>评估</w:t>
      </w:r>
      <w:r>
        <w:rPr>
          <w:rFonts w:hint="eastAsia" w:ascii="宋体" w:hAnsi="宋体" w:eastAsia="宋体" w:cs="宋体"/>
          <w:color w:val="000000"/>
          <w:sz w:val="24"/>
          <w:szCs w:val="24"/>
          <w:highlight w:val="none"/>
          <w:shd w:val="clear" w:color="auto" w:fill="FFFFFF"/>
        </w:rPr>
        <w:t>服务机构</w:t>
      </w:r>
      <w:r>
        <w:rPr>
          <w:rFonts w:hint="eastAsia" w:ascii="宋体" w:hAnsi="宋体" w:eastAsia="宋体" w:cs="宋体"/>
          <w:color w:val="000000"/>
          <w:sz w:val="24"/>
          <w:szCs w:val="24"/>
          <w:shd w:val="clear" w:color="auto" w:fill="FFFFFF"/>
        </w:rPr>
        <w:t>。</w:t>
      </w:r>
    </w:p>
    <w:p w14:paraId="040E76B1">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14:paraId="1599946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200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12</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30</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623092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14:paraId="32B5935D">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14:paraId="20B9AAB3">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14:paraId="40A5B0B5">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14:paraId="10E3317C">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14:paraId="29E11749">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14:paraId="2087AD91">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14:paraId="0238035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14:paraId="1244141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14:paraId="75BFC8D7">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14:paraId="1DFD733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14:paraId="255589E3">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14:paraId="4C683388">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CAEAF1B">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3C7B331">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14:paraId="10281D42">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14:paraId="281D8238">
      <w:pPr>
        <w:pStyle w:val="2"/>
        <w:rPr>
          <w:rFonts w:hint="eastAsia"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w:t>
      </w:r>
    </w:p>
    <w:p w14:paraId="73061F39">
      <w:pPr>
        <w:pStyle w:val="2"/>
        <w:rPr>
          <w:rFonts w:hint="default"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2.本场竞价须三家及以上竞价人在规定时间内参与竞价，如果在规定时间内参与竞价的竟价人不足三家，则按流标处理，竟价人不得有异议。</w:t>
      </w:r>
    </w:p>
    <w:p w14:paraId="2FA452F8">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14:paraId="5C94860A">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.报价只要不高于最高限价即为有效报价。</w:t>
      </w:r>
    </w:p>
    <w:p w14:paraId="1CF1259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.特别提示：标的经公开征集到的合格竞价人,应以不高于最高限价进行报价，同时成交人应签署《竞价结果通知书》等相关文件，否则视同为违约。</w:t>
      </w:r>
    </w:p>
    <w:p w14:paraId="06A3B317">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14:paraId="6D28614A">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14:paraId="08218E2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14:paraId="1851E74D">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成交人以成交价参照原龙发改价管[2018]27号文规定的标准向本公司支付交易服务费，上述交易服务费分档累进计算，并开具交易服务费发票。</w:t>
      </w:r>
    </w:p>
    <w:p w14:paraId="3FB2C4A3">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14:paraId="65FDEED5">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14:paraId="246C2560">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14:paraId="01DB41E4">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14:paraId="73A49091">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3A5C261">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4C46759B">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5BCF005E">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14:paraId="4267D046">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3CC4835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30A5F7F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6CC03A58">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14:paraId="06A4748D">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4DB5F7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72A19CD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49BBAB2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14:paraId="5D634EEF">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14:paraId="1CAA50C5">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14:paraId="1DF8CFAA">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14:paraId="75877196">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14:paraId="6A0CB941">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14:paraId="3506CAE0">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5F89697C">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14:paraId="690144E8">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14:paraId="5CBA7A16">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781DD212">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14:paraId="5629F1DD">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14:paraId="396C0AB0">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14:paraId="5FB6B559">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0158CEE">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14:paraId="5E300012">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14:paraId="0EA01A13">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1816C304">
      <w:pPr>
        <w:widowControl/>
        <w:shd w:val="clear" w:color="auto" w:fill="FFFFFF"/>
        <w:snapToGrid w:val="0"/>
        <w:spacing w:before="225" w:line="440" w:lineRule="exact"/>
        <w:jc w:val="right"/>
        <w:rPr>
          <w:rFonts w:hint="eastAsia" w:ascii="宋体" w:hAnsi="宋体" w:eastAsia="宋体" w:cs="宋体"/>
          <w:b/>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12</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25</w:t>
      </w:r>
      <w:r>
        <w:rPr>
          <w:rFonts w:hint="eastAsia" w:ascii="宋体" w:hAnsi="宋体" w:eastAsia="宋体" w:cs="宋体"/>
          <w:color w:val="0000FF"/>
          <w:kern w:val="0"/>
          <w:sz w:val="24"/>
          <w:szCs w:val="24"/>
          <w:shd w:val="clear" w:color="auto" w:fill="FFFFFF"/>
        </w:rPr>
        <w:t>日</w:t>
      </w:r>
    </w:p>
    <w:p w14:paraId="2A4EC8AC">
      <w:pPr>
        <w:spacing w:line="440" w:lineRule="exact"/>
        <w:ind w:firstLine="883"/>
        <w:jc w:val="center"/>
        <w:rPr>
          <w:rFonts w:hint="eastAsia" w:ascii="宋体" w:hAnsi="宋体" w:eastAsia="宋体" w:cs="宋体"/>
          <w:b/>
          <w:color w:val="000000"/>
          <w:sz w:val="24"/>
          <w:szCs w:val="24"/>
        </w:rPr>
      </w:pPr>
    </w:p>
    <w:p w14:paraId="6FD5B716">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14:paraId="096C8110">
      <w:pPr>
        <w:spacing w:line="440" w:lineRule="exact"/>
        <w:ind w:firstLine="5040" w:firstLineChars="2100"/>
        <w:jc w:val="left"/>
        <w:rPr>
          <w:rFonts w:hint="eastAsia" w:ascii="宋体" w:hAnsi="宋体" w:eastAsia="宋体" w:cs="宋体"/>
          <w:color w:val="000000"/>
          <w:sz w:val="24"/>
          <w:szCs w:val="24"/>
        </w:rPr>
      </w:pPr>
    </w:p>
    <w:p w14:paraId="5CAA1D5C">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14:paraId="550FCC33">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12</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31</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w:t>
      </w:r>
      <w:bookmarkStart w:id="0" w:name="_GoBack"/>
      <w:bookmarkEnd w:id="0"/>
      <w:r>
        <w:rPr>
          <w:rFonts w:hint="eastAsia" w:ascii="宋体" w:hAnsi="宋体" w:cs="宋体"/>
          <w:color w:val="0000FF"/>
          <w:sz w:val="24"/>
          <w:szCs w:val="24"/>
          <w:u w:val="single"/>
          <w:lang w:val="en-US" w:eastAsia="zh-CN"/>
        </w:rPr>
        <w:t>1231</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3364AD71">
      <w:pPr>
        <w:spacing w:line="440" w:lineRule="exact"/>
        <w:rPr>
          <w:rFonts w:hint="eastAsia" w:ascii="宋体" w:hAnsi="宋体" w:eastAsia="宋体" w:cs="宋体"/>
          <w:color w:val="000000"/>
          <w:sz w:val="24"/>
          <w:szCs w:val="24"/>
        </w:rPr>
      </w:pPr>
    </w:p>
    <w:p w14:paraId="20FC1589">
      <w:pPr>
        <w:spacing w:line="440" w:lineRule="exact"/>
        <w:rPr>
          <w:rFonts w:hint="eastAsia" w:ascii="宋体" w:hAnsi="宋体" w:eastAsia="宋体" w:cs="宋体"/>
          <w:color w:val="000000"/>
          <w:sz w:val="24"/>
          <w:szCs w:val="24"/>
        </w:rPr>
      </w:pPr>
    </w:p>
    <w:p w14:paraId="6E6FB419">
      <w:pPr>
        <w:spacing w:line="440" w:lineRule="exact"/>
        <w:rPr>
          <w:rFonts w:hint="eastAsia" w:ascii="宋体" w:hAnsi="宋体" w:eastAsia="宋体" w:cs="宋体"/>
          <w:color w:val="000000"/>
          <w:sz w:val="24"/>
          <w:szCs w:val="24"/>
        </w:rPr>
      </w:pPr>
    </w:p>
    <w:p w14:paraId="2ABF8434">
      <w:pPr>
        <w:spacing w:line="440" w:lineRule="exact"/>
        <w:rPr>
          <w:rFonts w:hint="eastAsia" w:ascii="宋体" w:hAnsi="宋体" w:eastAsia="宋体" w:cs="宋体"/>
          <w:color w:val="000000"/>
          <w:sz w:val="24"/>
          <w:szCs w:val="24"/>
        </w:rPr>
      </w:pPr>
    </w:p>
    <w:p w14:paraId="6E42ABC5">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14:paraId="62BEAEC9">
      <w:pPr>
        <w:spacing w:line="440" w:lineRule="exact"/>
        <w:rPr>
          <w:rFonts w:hint="eastAsia" w:ascii="宋体" w:hAnsi="宋体" w:eastAsia="宋体" w:cs="宋体"/>
          <w:color w:val="000000"/>
          <w:sz w:val="24"/>
          <w:szCs w:val="24"/>
        </w:rPr>
      </w:pPr>
    </w:p>
    <w:p w14:paraId="7D903E68">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14:paraId="7BF8BEBA">
      <w:pPr>
        <w:spacing w:line="440" w:lineRule="exact"/>
        <w:rPr>
          <w:rFonts w:hint="eastAsia" w:ascii="宋体" w:hAnsi="宋体" w:eastAsia="宋体" w:cs="宋体"/>
          <w:color w:val="000000"/>
          <w:sz w:val="24"/>
          <w:szCs w:val="24"/>
        </w:rPr>
      </w:pPr>
    </w:p>
    <w:p w14:paraId="66788B17">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14:paraId="5C092CCB">
      <w:pPr>
        <w:spacing w:line="440" w:lineRule="exact"/>
        <w:rPr>
          <w:rFonts w:hint="eastAsia" w:ascii="宋体" w:hAnsi="宋体" w:eastAsia="宋体" w:cs="宋体"/>
          <w:color w:val="000000"/>
          <w:sz w:val="24"/>
          <w:szCs w:val="24"/>
        </w:rPr>
      </w:pPr>
    </w:p>
    <w:p w14:paraId="428085A5">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p>
    <w:p w14:paraId="345B24E7"/>
    <w:p w14:paraId="34FFE1EB">
      <w:pPr>
        <w:pStyle w:val="2"/>
        <w:rPr>
          <w:rFonts w:hint="eastAsia"/>
        </w:rPr>
      </w:pPr>
    </w:p>
    <w:sectPr>
      <w:footerReference r:id="rId3" w:type="default"/>
      <w:pgSz w:w="11906" w:h="16838"/>
      <w:pgMar w:top="1327"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BC94">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5D4550">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D5D4550">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261639"/>
    <w:rsid w:val="027536A0"/>
    <w:rsid w:val="039E3DB5"/>
    <w:rsid w:val="05FE0636"/>
    <w:rsid w:val="060274F9"/>
    <w:rsid w:val="0791743C"/>
    <w:rsid w:val="0804406F"/>
    <w:rsid w:val="081C4C9C"/>
    <w:rsid w:val="0B582596"/>
    <w:rsid w:val="0CA02447"/>
    <w:rsid w:val="0CDA1129"/>
    <w:rsid w:val="0D0C3638"/>
    <w:rsid w:val="0E8467A8"/>
    <w:rsid w:val="0F153787"/>
    <w:rsid w:val="0F965C50"/>
    <w:rsid w:val="104771DE"/>
    <w:rsid w:val="10554859"/>
    <w:rsid w:val="10C715B5"/>
    <w:rsid w:val="115251AE"/>
    <w:rsid w:val="12015736"/>
    <w:rsid w:val="137205A3"/>
    <w:rsid w:val="16052A7F"/>
    <w:rsid w:val="16DE4297"/>
    <w:rsid w:val="183B56FD"/>
    <w:rsid w:val="1840013E"/>
    <w:rsid w:val="18EF3710"/>
    <w:rsid w:val="1910625E"/>
    <w:rsid w:val="192D3B3E"/>
    <w:rsid w:val="19687E48"/>
    <w:rsid w:val="1A1E2BC2"/>
    <w:rsid w:val="1AF83688"/>
    <w:rsid w:val="1B215742"/>
    <w:rsid w:val="1BD14924"/>
    <w:rsid w:val="1BDB1743"/>
    <w:rsid w:val="1D84721B"/>
    <w:rsid w:val="1E303C84"/>
    <w:rsid w:val="1EC10726"/>
    <w:rsid w:val="1EF00CA7"/>
    <w:rsid w:val="1EF06916"/>
    <w:rsid w:val="1F633F72"/>
    <w:rsid w:val="1F8452B0"/>
    <w:rsid w:val="1FD77425"/>
    <w:rsid w:val="22013901"/>
    <w:rsid w:val="226244CC"/>
    <w:rsid w:val="22857CBD"/>
    <w:rsid w:val="22950329"/>
    <w:rsid w:val="22A30872"/>
    <w:rsid w:val="22E5250A"/>
    <w:rsid w:val="239F6B5C"/>
    <w:rsid w:val="246A52EB"/>
    <w:rsid w:val="249C78F6"/>
    <w:rsid w:val="25AD5A5E"/>
    <w:rsid w:val="25F64131"/>
    <w:rsid w:val="26945745"/>
    <w:rsid w:val="269E30FB"/>
    <w:rsid w:val="2892098A"/>
    <w:rsid w:val="2A8C2B55"/>
    <w:rsid w:val="2AC415FD"/>
    <w:rsid w:val="2B023949"/>
    <w:rsid w:val="2B9065B4"/>
    <w:rsid w:val="2C2A04A0"/>
    <w:rsid w:val="2C4C065B"/>
    <w:rsid w:val="2D2B320F"/>
    <w:rsid w:val="2D697A29"/>
    <w:rsid w:val="2E7E609A"/>
    <w:rsid w:val="2EA209E0"/>
    <w:rsid w:val="2F043F88"/>
    <w:rsid w:val="2FE47C22"/>
    <w:rsid w:val="2FF9333B"/>
    <w:rsid w:val="3062140F"/>
    <w:rsid w:val="3281224F"/>
    <w:rsid w:val="33BB5A80"/>
    <w:rsid w:val="348633D3"/>
    <w:rsid w:val="34D93029"/>
    <w:rsid w:val="352252CF"/>
    <w:rsid w:val="371B5B3B"/>
    <w:rsid w:val="3741602B"/>
    <w:rsid w:val="39C752B8"/>
    <w:rsid w:val="3A0C4B4E"/>
    <w:rsid w:val="3B6E70E8"/>
    <w:rsid w:val="3BCB7A34"/>
    <w:rsid w:val="3D3F6CF4"/>
    <w:rsid w:val="3DC87AC0"/>
    <w:rsid w:val="3E682515"/>
    <w:rsid w:val="3F7E3672"/>
    <w:rsid w:val="3FA56A13"/>
    <w:rsid w:val="410835EE"/>
    <w:rsid w:val="41872959"/>
    <w:rsid w:val="42C82DE3"/>
    <w:rsid w:val="42E9200F"/>
    <w:rsid w:val="43080935"/>
    <w:rsid w:val="44E55E41"/>
    <w:rsid w:val="45A2046C"/>
    <w:rsid w:val="46797B93"/>
    <w:rsid w:val="4758626E"/>
    <w:rsid w:val="47ED28F0"/>
    <w:rsid w:val="48254D4F"/>
    <w:rsid w:val="48556CDA"/>
    <w:rsid w:val="485D0F10"/>
    <w:rsid w:val="4A2E42DE"/>
    <w:rsid w:val="4A58410E"/>
    <w:rsid w:val="4B42467C"/>
    <w:rsid w:val="4BA404BB"/>
    <w:rsid w:val="4C6355B6"/>
    <w:rsid w:val="4D235499"/>
    <w:rsid w:val="4D2550DF"/>
    <w:rsid w:val="4D515A96"/>
    <w:rsid w:val="4DA2556F"/>
    <w:rsid w:val="4DBF1A26"/>
    <w:rsid w:val="4E143612"/>
    <w:rsid w:val="4E997C57"/>
    <w:rsid w:val="4E9D3635"/>
    <w:rsid w:val="4F4F373F"/>
    <w:rsid w:val="51320F39"/>
    <w:rsid w:val="51644DBE"/>
    <w:rsid w:val="51F12145"/>
    <w:rsid w:val="524A20F8"/>
    <w:rsid w:val="524E2EDF"/>
    <w:rsid w:val="5363159C"/>
    <w:rsid w:val="53CB6FAB"/>
    <w:rsid w:val="542826BF"/>
    <w:rsid w:val="545B5616"/>
    <w:rsid w:val="54D51B2F"/>
    <w:rsid w:val="5510672D"/>
    <w:rsid w:val="55915C48"/>
    <w:rsid w:val="55C85997"/>
    <w:rsid w:val="56CE4A87"/>
    <w:rsid w:val="56E20FE2"/>
    <w:rsid w:val="573D7F14"/>
    <w:rsid w:val="577A4AF5"/>
    <w:rsid w:val="587010EC"/>
    <w:rsid w:val="59350DEE"/>
    <w:rsid w:val="59E02F96"/>
    <w:rsid w:val="5A244F70"/>
    <w:rsid w:val="5AEA7FB1"/>
    <w:rsid w:val="5AEE1AF4"/>
    <w:rsid w:val="5B280C0A"/>
    <w:rsid w:val="5B3A7488"/>
    <w:rsid w:val="5C2441D3"/>
    <w:rsid w:val="5C9245A9"/>
    <w:rsid w:val="5D1857B0"/>
    <w:rsid w:val="5D434E88"/>
    <w:rsid w:val="5DBB508D"/>
    <w:rsid w:val="5E047FD0"/>
    <w:rsid w:val="5F1519BF"/>
    <w:rsid w:val="602A7EDE"/>
    <w:rsid w:val="607F28BB"/>
    <w:rsid w:val="61C701AC"/>
    <w:rsid w:val="63583C8D"/>
    <w:rsid w:val="63F56C8F"/>
    <w:rsid w:val="63F81C8C"/>
    <w:rsid w:val="640D0C57"/>
    <w:rsid w:val="64433D8E"/>
    <w:rsid w:val="66304E17"/>
    <w:rsid w:val="67B160B6"/>
    <w:rsid w:val="683A3D2B"/>
    <w:rsid w:val="68FA3990"/>
    <w:rsid w:val="69DB32EB"/>
    <w:rsid w:val="6B776A6D"/>
    <w:rsid w:val="6D7B66F3"/>
    <w:rsid w:val="6DB36A59"/>
    <w:rsid w:val="6F2C027F"/>
    <w:rsid w:val="7007345D"/>
    <w:rsid w:val="71A861A9"/>
    <w:rsid w:val="729A0B48"/>
    <w:rsid w:val="729B4033"/>
    <w:rsid w:val="742B2F58"/>
    <w:rsid w:val="743E217D"/>
    <w:rsid w:val="759C0024"/>
    <w:rsid w:val="75ED6880"/>
    <w:rsid w:val="77CE5972"/>
    <w:rsid w:val="78C935D5"/>
    <w:rsid w:val="78F75F2F"/>
    <w:rsid w:val="79B76855"/>
    <w:rsid w:val="7ABB6F4D"/>
    <w:rsid w:val="7AD35D80"/>
    <w:rsid w:val="7AD654A8"/>
    <w:rsid w:val="7B027D18"/>
    <w:rsid w:val="7B4E55DA"/>
    <w:rsid w:val="7B51340D"/>
    <w:rsid w:val="7B676C5D"/>
    <w:rsid w:val="7BCE2CB0"/>
    <w:rsid w:val="7C330D65"/>
    <w:rsid w:val="7C435390"/>
    <w:rsid w:val="7D1D0638"/>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3437</Words>
  <Characters>3633</Characters>
  <Lines>4</Lines>
  <Paragraphs>7</Paragraphs>
  <TotalTime>12</TotalTime>
  <ScaleCrop>false</ScaleCrop>
  <LinksUpToDate>false</LinksUpToDate>
  <CharactersWithSpaces>3711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2023-12-07T07:28:00Z</cp:lastPrinted>
  <dcterms:modified xsi:type="dcterms:W3CDTF">2024-12-25T07:23:51Z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488E5FE43A2846F7A013D0AD4E500248_13</vt:lpwstr>
  </property>
</Properties>
</file>