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B63D">
      <w:pPr>
        <w:widowControl/>
        <w:spacing w:line="360" w:lineRule="auto"/>
        <w:ind w:firstLine="560" w:firstLineChars="200"/>
        <w:jc w:val="center"/>
        <w:rPr>
          <w:rFonts w:asciiTheme="minorEastAsia" w:hAnsiTheme="minorEastAsia" w:eastAsiaTheme="minorEastAsia" w:cstheme="minorEastAsia"/>
          <w:b/>
          <w:bCs/>
          <w:sz w:val="24"/>
          <w:highlight w:val="none"/>
        </w:rPr>
      </w:pPr>
      <w:r>
        <w:rPr>
          <w:rFonts w:hint="eastAsia" w:ascii="方正小标宋简体" w:hAnsi="方正小标宋简体" w:eastAsia="方正小标宋简体" w:cs="方正小标宋简体"/>
          <w:sz w:val="28"/>
          <w:szCs w:val="28"/>
          <w:highlight w:val="none"/>
        </w:rPr>
        <w:t>网络竞价须知</w:t>
      </w:r>
    </w:p>
    <w:p w14:paraId="4F68001D">
      <w:pPr>
        <w:widowControl/>
        <w:spacing w:line="360" w:lineRule="auto"/>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LCCQJJ20241225</w:t>
      </w:r>
      <w:r>
        <w:rPr>
          <w:rFonts w:hint="eastAsia" w:asciiTheme="minorEastAsia" w:hAnsiTheme="minorEastAsia" w:eastAsiaTheme="minorEastAsia" w:cstheme="minorEastAsia"/>
          <w:sz w:val="24"/>
          <w:highlight w:val="none"/>
        </w:rPr>
        <w:t>）</w:t>
      </w:r>
    </w:p>
    <w:p w14:paraId="2E865C40">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14:paraId="2E3661A3">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14:paraId="3604567C">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竞价时间：2024年</w:t>
      </w:r>
      <w:r>
        <w:rPr>
          <w:rFonts w:hint="eastAsia" w:asciiTheme="minorEastAsia" w:hAnsiTheme="minorEastAsia" w:eastAsiaTheme="minorEastAsia" w:cstheme="minorEastAsia"/>
          <w:color w:val="0000FF"/>
          <w:sz w:val="24"/>
          <w:highlight w:val="none"/>
          <w:lang w:val="en-US" w:eastAsia="zh-CN"/>
        </w:rPr>
        <w:t>12月25日</w:t>
      </w:r>
      <w:r>
        <w:rPr>
          <w:rFonts w:hint="eastAsia" w:asciiTheme="minorEastAsia" w:hAnsiTheme="minorEastAsia" w:eastAsiaTheme="minorEastAsia" w:cstheme="minorEastAsia"/>
          <w:sz w:val="24"/>
          <w:highlight w:val="none"/>
        </w:rPr>
        <w:t>9:30开始至9:50止（20分钟）。</w:t>
      </w:r>
    </w:p>
    <w:p w14:paraId="561FF5C5">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14:paraId="59A1D41A">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报名时间：2024年</w:t>
      </w:r>
      <w:r>
        <w:rPr>
          <w:rFonts w:hint="eastAsia" w:asciiTheme="minorEastAsia" w:hAnsiTheme="minorEastAsia" w:eastAsiaTheme="minorEastAsia" w:cstheme="minorEastAsia"/>
          <w:color w:val="0000FF"/>
          <w:sz w:val="24"/>
          <w:highlight w:val="none"/>
          <w:lang w:val="en-US" w:eastAsia="zh-CN"/>
        </w:rPr>
        <w:t>12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20</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至2024年</w:t>
      </w:r>
      <w:r>
        <w:rPr>
          <w:rFonts w:hint="eastAsia" w:asciiTheme="minorEastAsia" w:hAnsiTheme="minorEastAsia" w:eastAsiaTheme="minorEastAsia" w:cstheme="minorEastAsia"/>
          <w:color w:val="0000FF"/>
          <w:sz w:val="24"/>
          <w:highlight w:val="none"/>
          <w:lang w:val="en-US" w:eastAsia="zh-CN"/>
        </w:rPr>
        <w:t>12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24</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14:paraId="77462F16">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14:paraId="61AE2B2B">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联系电话：18039848961</w:t>
      </w:r>
    </w:p>
    <w:p w14:paraId="771B4E6D">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14:paraId="04717209">
      <w:pPr>
        <w:widowControl/>
        <w:spacing w:line="360" w:lineRule="auto"/>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选矿加工工业园区项目一期项目投资可行性研究报告编制项目</w:t>
      </w:r>
      <w:r>
        <w:rPr>
          <w:rFonts w:hint="eastAsia" w:asciiTheme="minorEastAsia" w:hAnsiTheme="minorEastAsia" w:eastAsiaTheme="minorEastAsia" w:cstheme="minorEastAsia"/>
          <w:color w:val="0000FF"/>
          <w:sz w:val="24"/>
          <w:highlight w:val="none"/>
        </w:rPr>
        <w:t>。</w:t>
      </w:r>
    </w:p>
    <w:p w14:paraId="1A58A6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2.最高限价：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150000元（总价包括但不限于服务费、管理费、税费、专论证评审费等项目实施过程中的一切费用，委托人不再另行支付</w:t>
      </w:r>
      <w:bookmarkStart w:id="0" w:name="_GoBack"/>
      <w:bookmarkEnd w:id="0"/>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w:t>
      </w:r>
    </w:p>
    <w:p w14:paraId="62E4DA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3.服务内容及要求：</w:t>
      </w:r>
    </w:p>
    <w:p w14:paraId="73916C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（1）编制范围：厂房建设、设备安装投资为主，涉及具体编制相关信息将在后续进行明确。</w:t>
      </w:r>
    </w:p>
    <w:p w14:paraId="74C17D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本次采购服务的内容为委托专业咨询服务机构提供项目投资可行性研究报告编制服务。主要内容包括：项目总论、建设背景及必要性分析、产业定位与需求分析、场地概况、建设方案、环境影响评价、节能方案分析、项目实施与进度计划、项目管理、招投标情况、投资估算与资金筹措、测算厂房租金单价、设备租金单价及投资收益、财务评价、社会效益评价、风险分析、研究结论与建议等。</w:t>
      </w:r>
    </w:p>
    <w:p w14:paraId="71879049">
      <w:pPr>
        <w:pStyle w:val="2"/>
        <w:spacing w:before="0" w:after="0" w:line="360" w:lineRule="auto"/>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（3）按国家相关规范技术要求交付完整的可研成果，</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并通过委托人组织的审查与评审</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w:t>
      </w:r>
    </w:p>
    <w:p w14:paraId="698DCF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4.成果要求：</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编制期限15日历天，提供报告成果文本6份，电子版1份、原件扫描件一份。</w:t>
      </w:r>
    </w:p>
    <w:p w14:paraId="0CD041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5.其他要求</w:t>
      </w:r>
    </w:p>
    <w:p w14:paraId="0305EC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w:t>
      </w:r>
    </w:p>
    <w:p w14:paraId="2BABB0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w:t>
      </w:r>
    </w:p>
    <w:p w14:paraId="1C1240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本项目不允许成交人以任何名义和理由进行转包，如有发现，委托人有权单方终止合同，视为成交人违约，没收履约保证金（若有）。如履约保证金不能弥补成交人违约对采购人造成的损失的，成交人还需另行支付相应的赔偿。</w:t>
      </w:r>
    </w:p>
    <w:p w14:paraId="7E4A0E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（4）成交供应商提交的成果知识产权归属于委托人。</w:t>
      </w:r>
    </w:p>
    <w:p w14:paraId="551F8C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6、违约责任：</w:t>
      </w:r>
    </w:p>
    <w:p w14:paraId="7A9101F2">
      <w:pPr>
        <w:pStyle w:val="3"/>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w:t>
      </w:r>
    </w:p>
    <w:p w14:paraId="21698226">
      <w:pPr>
        <w:pStyle w:val="3"/>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（2）在签订采购合同之后，成交人要求解除合同的，视为成交人违约，对委托人造成的损失的，成交人需支付相应的赔偿，赔偿金额为标的额度的10%。</w:t>
      </w:r>
    </w:p>
    <w:p w14:paraId="7EC322F1">
      <w:pPr>
        <w:pStyle w:val="3"/>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（3）在明确违约责任后，成交人应在接到书面通知书起七天内支付违约金、赔偿金等。</w:t>
      </w:r>
    </w:p>
    <w:p w14:paraId="46C43D71">
      <w:pPr>
        <w:pStyle w:val="3"/>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（4）如成交人无法按时交付的，每延期一天支付赔偿金为标的额度的0.5%。</w:t>
      </w:r>
    </w:p>
    <w:p w14:paraId="7FEF16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本场竞价须三家及以上竞价人在规定时间内参与竞价，如果在规定时间内参与竞价的竟价人不足三家，则按流标处理，竟价人不得有异议。</w:t>
      </w:r>
    </w:p>
    <w:p w14:paraId="10794CD1">
      <w:pPr>
        <w:spacing w:line="360" w:lineRule="auto"/>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333333"/>
          <w:kern w:val="0"/>
          <w:sz w:val="24"/>
          <w:highlight w:val="none"/>
          <w:shd w:val="clear" w:color="auto" w:fill="FFFFFF"/>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68B6F6DE">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14:paraId="010F03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1.遵守中华人民共和国法律、法规，具有独立承担民事责任能力的在中华人民共和国境内注册的法人或其他组织,但已经被列入失信被执行人名单（截止报名时间）的除外。</w:t>
      </w:r>
    </w:p>
    <w:p w14:paraId="7C21FF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2.未被列入“信用中国”网(www.creditchina.gov.cn)“记录失信被执行人或重大税收违人名单或政府采购严重违法失信行为”记录名单。</w:t>
      </w:r>
    </w:p>
    <w:p w14:paraId="03B395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3.具有履行合同所必需的设备和专业技术能力。</w:t>
      </w:r>
    </w:p>
    <w:p w14:paraId="5306D8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4.</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须持有工程咨询单位甲级综合资信证书、管理体系认</w:t>
      </w: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证证书、环境管理体系认证证书、职业健康安全管理体系认证证书。</w:t>
      </w:r>
    </w:p>
    <w:p w14:paraId="4E6D36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5.须具有类似项目可研编制经验，提供本公告发布之日前（以合同签订日期为准）的合同复印件3份及以上；合同须至少包含双方印章、合同标的内容、签订时间等关键信息，</w:t>
      </w:r>
      <w:r>
        <w:rPr>
          <w:rFonts w:hint="eastAsia" w:asciiTheme="minorEastAsia" w:hAnsiTheme="minorEastAsia" w:eastAsiaTheme="minorEastAsia" w:cstheme="minorEastAsia"/>
          <w:b/>
          <w:bCs/>
          <w:i w:val="0"/>
          <w:iCs w:val="0"/>
          <w:caps w:val="0"/>
          <w:color w:val="404040"/>
          <w:spacing w:val="0"/>
          <w:kern w:val="0"/>
          <w:sz w:val="24"/>
          <w:szCs w:val="24"/>
          <w:highlight w:val="none"/>
          <w:shd w:val="clear" w:fill="FFFFFF"/>
          <w:lang w:val="en-US" w:eastAsia="zh-CN" w:bidi="ar"/>
        </w:rPr>
        <w:t>其中须有1例涉矿类投资项目合同经验。</w:t>
      </w:r>
    </w:p>
    <w:p w14:paraId="21C30B6E">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14:paraId="2B31FD50">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30</w:t>
      </w:r>
      <w:r>
        <w:rPr>
          <w:rFonts w:hint="eastAsia" w:asciiTheme="minorEastAsia" w:hAnsiTheme="minorEastAsia" w:eastAsiaTheme="minorEastAsia" w:cstheme="minorEastAsia"/>
          <w:color w:val="0000FF"/>
          <w:sz w:val="24"/>
          <w:highlight w:val="none"/>
          <w:u w:val="single"/>
        </w:rPr>
        <w:t>00元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rPr>
        <w:t>2024年</w:t>
      </w:r>
      <w:r>
        <w:rPr>
          <w:rFonts w:hint="eastAsia" w:asciiTheme="minorEastAsia" w:hAnsiTheme="minorEastAsia" w:eastAsiaTheme="minorEastAsia" w:cstheme="minorEastAsia"/>
          <w:color w:val="0000FF"/>
          <w:sz w:val="24"/>
          <w:highlight w:val="none"/>
          <w:lang w:val="en-US" w:eastAsia="zh-CN"/>
        </w:rPr>
        <w:t>12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24</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A127EA3">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14:paraId="155895F5">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3.成交人的竞价保证金可以直接抵作交易服务费，如有剩余，在成交人与委托人签订《服务合同》后10个工作日内一次性无息退回。</w:t>
      </w:r>
    </w:p>
    <w:p w14:paraId="0EE461F9">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14:paraId="7DF84991">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14:paraId="0A755A57">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14:paraId="6B626269">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14:paraId="05FBDA22">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综合资信证书复印件；</w:t>
      </w:r>
    </w:p>
    <w:p w14:paraId="599E0DD6">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管理体系认证证书、环境管理体系认证证书、职业健康安全管理体系认证证书（须提供有效证书复印件和在全国认可认可信息公共服务平台上证书状态“有效“的查询结果截图或网页（带网址）打印件并加盖公章）；</w:t>
      </w:r>
    </w:p>
    <w:p w14:paraId="6224B3A4">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类似项目可研编制经验证明；</w:t>
      </w:r>
    </w:p>
    <w:p w14:paraId="063D4C23">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信用信息报告（信用中国https://www.creditchina.gov.cn/下载）</w:t>
      </w:r>
    </w:p>
    <w:p w14:paraId="1440392D">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14:paraId="11412AAE">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p>
    <w:p w14:paraId="5D4CA2C1">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sz w:val="24"/>
          <w:highlight w:val="none"/>
          <w:lang w:val="en-US" w:eastAsia="zh-CN"/>
        </w:rPr>
        <w:t>报名资料</w:t>
      </w:r>
      <w:r>
        <w:rPr>
          <w:rFonts w:hint="eastAsia" w:asciiTheme="minorEastAsia" w:hAnsiTheme="minorEastAsia" w:eastAsiaTheme="minorEastAsia" w:cstheme="minorEastAsia"/>
          <w:sz w:val="24"/>
          <w:highlight w:val="none"/>
        </w:rPr>
        <w:t>格式</w:t>
      </w:r>
      <w:r>
        <w:rPr>
          <w:rFonts w:hint="eastAsia" w:asciiTheme="minorEastAsia" w:hAnsiTheme="minorEastAsia" w:eastAsiaTheme="minorEastAsia" w:cstheme="minorEastAsia"/>
          <w:sz w:val="24"/>
          <w:highlight w:val="none"/>
          <w:u w:val="single"/>
        </w:rPr>
        <w:t>详见附件</w:t>
      </w:r>
      <w:r>
        <w:rPr>
          <w:rFonts w:hint="eastAsia" w:asciiTheme="minorEastAsia" w:hAnsiTheme="minorEastAsia" w:eastAsiaTheme="minorEastAsia" w:cstheme="minorEastAsia"/>
          <w:sz w:val="24"/>
          <w:highlight w:val="none"/>
        </w:rPr>
        <w:t>。</w:t>
      </w:r>
    </w:p>
    <w:p w14:paraId="0009DE84">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14:paraId="180FF77B">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参加本次竞价会的竞价人需在规定的时间前交纳竞价保证金并登录权益云交易平台办理竞价登记手续，同时将报名资料递交给我司，材料可以采用现场或邮件方式递交。</w:t>
      </w:r>
    </w:p>
    <w:p w14:paraId="43700C63">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34CC5324">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474E6014">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14:paraId="04CD401C">
      <w:pPr>
        <w:widowControl/>
        <w:spacing w:line="360" w:lineRule="auto"/>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14:paraId="25AE4373">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14:paraId="58B0BFBE">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3.采用网络</w:t>
      </w:r>
      <w:r>
        <w:rPr>
          <w:rFonts w:hint="eastAsia" w:asciiTheme="minorEastAsia" w:hAnsiTheme="minorEastAsia" w:eastAsiaTheme="minorEastAsia" w:cstheme="minorEastAsia"/>
          <w:b/>
          <w:bCs/>
          <w:sz w:val="24"/>
          <w:highlight w:val="none"/>
        </w:rPr>
        <w:t>反向一次性</w:t>
      </w:r>
      <w:r>
        <w:rPr>
          <w:rFonts w:hint="eastAsia" w:asciiTheme="minorEastAsia" w:hAnsiTheme="minorEastAsia" w:eastAsiaTheme="minorEastAsia" w:cstheme="minorEastAsia"/>
          <w:sz w:val="24"/>
          <w:highlight w:val="none"/>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64BC6473">
      <w:pPr>
        <w:pStyle w:val="6"/>
        <w:spacing w:line="360" w:lineRule="auto"/>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4.</w:t>
      </w:r>
      <w:r>
        <w:rPr>
          <w:rFonts w:hint="eastAsia" w:asciiTheme="minorEastAsia" w:hAnsiTheme="minorEastAsia" w:eastAsiaTheme="minorEastAsia" w:cstheme="minorEastAsia"/>
          <w:b/>
          <w:bCs/>
          <w:color w:val="FF0000"/>
          <w:kern w:val="2"/>
          <w:sz w:val="24"/>
          <w:szCs w:val="24"/>
          <w:highlight w:val="none"/>
        </w:rPr>
        <w:t>竞价人应以服务费总价进行报价，超出服务费总价</w:t>
      </w:r>
      <w:r>
        <w:rPr>
          <w:rFonts w:hint="eastAsia" w:asciiTheme="minorEastAsia" w:hAnsiTheme="minorEastAsia" w:eastAsiaTheme="minorEastAsia" w:cstheme="minorEastAsia"/>
          <w:b/>
          <w:bCs/>
          <w:color w:val="FF0000"/>
          <w:kern w:val="2"/>
          <w:sz w:val="24"/>
          <w:szCs w:val="24"/>
          <w:highlight w:val="none"/>
          <w:lang w:eastAsia="zh-CN"/>
        </w:rPr>
        <w:t>1</w:t>
      </w:r>
      <w:r>
        <w:rPr>
          <w:rFonts w:hint="eastAsia" w:asciiTheme="minorEastAsia" w:hAnsiTheme="minorEastAsia" w:eastAsiaTheme="minorEastAsia" w:cstheme="minorEastAsia"/>
          <w:b/>
          <w:bCs/>
          <w:color w:val="FF0000"/>
          <w:kern w:val="2"/>
          <w:sz w:val="24"/>
          <w:szCs w:val="24"/>
          <w:highlight w:val="none"/>
          <w:lang w:val="en-US" w:eastAsia="zh-CN"/>
        </w:rPr>
        <w:t>5</w:t>
      </w:r>
      <w:r>
        <w:rPr>
          <w:rFonts w:hint="eastAsia" w:asciiTheme="minorEastAsia" w:hAnsiTheme="minorEastAsia" w:eastAsiaTheme="minorEastAsia" w:cstheme="minorEastAsia"/>
          <w:b/>
          <w:bCs/>
          <w:color w:val="FF0000"/>
          <w:kern w:val="2"/>
          <w:sz w:val="24"/>
          <w:szCs w:val="24"/>
          <w:highlight w:val="none"/>
          <w:lang w:eastAsia="zh-CN"/>
        </w:rPr>
        <w:t>0000元</w:t>
      </w:r>
      <w:r>
        <w:rPr>
          <w:rFonts w:hint="eastAsia" w:asciiTheme="minorEastAsia" w:hAnsiTheme="minorEastAsia" w:eastAsiaTheme="minorEastAsia" w:cstheme="minorEastAsia"/>
          <w:b/>
          <w:bCs/>
          <w:color w:val="FF0000"/>
          <w:kern w:val="2"/>
          <w:sz w:val="24"/>
          <w:szCs w:val="24"/>
          <w:highlight w:val="none"/>
        </w:rPr>
        <w:t>的作为无效报价，填报最低的竞价人作为本项目成交人。项目实施过程中的一切费用均包含在报价总价中，</w:t>
      </w:r>
      <w:r>
        <w:rPr>
          <w:rFonts w:hint="eastAsia" w:asciiTheme="minorEastAsia" w:hAnsiTheme="minorEastAsia" w:eastAsiaTheme="minorEastAsia" w:cstheme="minorEastAsia"/>
          <w:b/>
          <w:bCs/>
          <w:color w:val="FF0000"/>
          <w:kern w:val="2"/>
          <w:sz w:val="24"/>
          <w:szCs w:val="24"/>
          <w:highlight w:val="none"/>
          <w:lang w:val="en-US" w:eastAsia="zh-CN"/>
        </w:rPr>
        <w:t>委托</w:t>
      </w:r>
      <w:r>
        <w:rPr>
          <w:rFonts w:hint="eastAsia" w:asciiTheme="minorEastAsia" w:hAnsiTheme="minorEastAsia" w:eastAsiaTheme="minorEastAsia" w:cstheme="minorEastAsia"/>
          <w:b/>
          <w:bCs/>
          <w:color w:val="FF0000"/>
          <w:kern w:val="2"/>
          <w:sz w:val="24"/>
          <w:szCs w:val="24"/>
          <w:highlight w:val="none"/>
        </w:rPr>
        <w:t>人不再另行支付</w:t>
      </w:r>
      <w:r>
        <w:rPr>
          <w:rFonts w:hint="eastAsia" w:asciiTheme="minorEastAsia" w:hAnsiTheme="minorEastAsia" w:eastAsiaTheme="minorEastAsia" w:cstheme="minorEastAsia"/>
          <w:b/>
          <w:bCs/>
          <w:color w:val="FF0000"/>
          <w:kern w:val="2"/>
          <w:sz w:val="24"/>
          <w:szCs w:val="24"/>
          <w:highlight w:val="none"/>
          <w:lang w:eastAsia="zh-CN"/>
        </w:rPr>
        <w:t>。</w:t>
      </w:r>
      <w:r>
        <w:rPr>
          <w:rFonts w:hint="eastAsia" w:asciiTheme="minorEastAsia" w:hAnsiTheme="minorEastAsia" w:eastAsiaTheme="minorEastAsia" w:cstheme="minorEastAsia"/>
          <w:b/>
          <w:bCs/>
          <w:color w:val="FF0000"/>
          <w:kern w:val="2"/>
          <w:sz w:val="24"/>
          <w:szCs w:val="24"/>
          <w:highlight w:val="none"/>
        </w:rPr>
        <w:t xml:space="preserve"> </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14:paraId="75C3349E">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14:paraId="6C5549F9">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14:paraId="6A3F337B">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、交易服务费</w:t>
      </w:r>
    </w:p>
    <w:p w14:paraId="7CA910C1">
      <w:pPr>
        <w:spacing w:line="360" w:lineRule="auto"/>
        <w:ind w:firstLine="482" w:firstLineChars="200"/>
        <w:rPr>
          <w:rFonts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FF0000"/>
          <w:sz w:val="24"/>
          <w:highlight w:val="none"/>
        </w:rPr>
        <w:t>竞价成交后，本项目的交易服务费按成交价的1.5%向成交人收取</w:t>
      </w:r>
      <w:r>
        <w:rPr>
          <w:rFonts w:hint="eastAsia" w:asciiTheme="minorEastAsia" w:hAnsiTheme="minorEastAsia" w:eastAsiaTheme="minorEastAsia" w:cstheme="minorEastAsia"/>
          <w:b/>
          <w:bCs/>
          <w:color w:val="FF0000"/>
          <w:sz w:val="24"/>
          <w:highlight w:val="none"/>
          <w:lang w:eastAsia="zh-CN"/>
        </w:rPr>
        <w:t>，</w:t>
      </w:r>
      <w:r>
        <w:rPr>
          <w:rFonts w:hint="eastAsia" w:asciiTheme="minorEastAsia" w:hAnsiTheme="minorEastAsia" w:eastAsiaTheme="minorEastAsia" w:cstheme="minorEastAsia"/>
          <w:b/>
          <w:bCs/>
          <w:color w:val="FF0000"/>
          <w:sz w:val="24"/>
          <w:highlight w:val="none"/>
          <w:lang w:val="en-US" w:eastAsia="zh-CN"/>
        </w:rPr>
        <w:t>不足3000元的，按3000元计费</w:t>
      </w:r>
      <w:r>
        <w:rPr>
          <w:rFonts w:hint="eastAsia" w:asciiTheme="minorEastAsia" w:hAnsiTheme="minorEastAsia" w:eastAsiaTheme="minorEastAsia" w:cstheme="minorEastAsia"/>
          <w:color w:val="FF0000"/>
          <w:sz w:val="24"/>
          <w:highlight w:val="none"/>
        </w:rPr>
        <w:t>。</w:t>
      </w:r>
      <w:r>
        <w:rPr>
          <w:rFonts w:hint="eastAsia" w:asciiTheme="minorEastAsia" w:hAnsiTheme="minorEastAsia" w:eastAsiaTheme="minorEastAsia" w:cstheme="minorEastAsia"/>
          <w:color w:val="000000"/>
          <w:sz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highlight w:val="none"/>
          <w:shd w:val="clear" w:color="auto" w:fill="FFFFFF"/>
        </w:rPr>
        <w:t>必须在成交之日起2个工作日</w:t>
      </w:r>
      <w:r>
        <w:rPr>
          <w:rFonts w:hint="eastAsia" w:asciiTheme="minorEastAsia" w:hAnsiTheme="minorEastAsia" w:eastAsiaTheme="minorEastAsia" w:cstheme="minorEastAsia"/>
          <w:color w:val="000000"/>
          <w:sz w:val="24"/>
          <w:highlight w:val="none"/>
        </w:rPr>
        <w:t>内补齐。交易服务费未按期付清的，视成交人根本违约，竞价保证金不予退回。</w:t>
      </w:r>
    </w:p>
    <w:p w14:paraId="474CD168">
      <w:pPr>
        <w:widowControl/>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八</w:t>
      </w:r>
      <w:r>
        <w:rPr>
          <w:rFonts w:hint="eastAsia" w:asciiTheme="minorEastAsia" w:hAnsiTheme="minorEastAsia" w:eastAsiaTheme="minorEastAsia" w:cstheme="minorEastAsia"/>
          <w:b/>
          <w:bCs/>
          <w:sz w:val="24"/>
          <w:highlight w:val="none"/>
        </w:rPr>
        <w:t>、最终审查</w:t>
      </w:r>
    </w:p>
    <w:p w14:paraId="3E9A881C">
      <w:pPr>
        <w:widowControl/>
        <w:spacing w:line="360" w:lineRule="auto"/>
        <w:ind w:firstLine="480" w:firstLineChars="200"/>
        <w:rPr>
          <w:rFonts w:hint="eastAsia"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 xml:space="preserve">（一）委托人对成交人所报服务的价格、履行合同的能力以及有必要了解的其它问题可作进一步的审查，审查不合格的，不能成为成交供应商。  </w:t>
      </w:r>
    </w:p>
    <w:p w14:paraId="2974812A">
      <w:pPr>
        <w:widowControl/>
        <w:spacing w:line="360" w:lineRule="auto"/>
        <w:ind w:firstLine="480" w:firstLineChars="200"/>
        <w:rPr>
          <w:rFonts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（二）代理机构对竞价结果进行网上公告，公告为1个工作日。质疑期限为7个工作日，质疑期限内未提出异议的，则视为认同该竞价结果。</w:t>
      </w:r>
    </w:p>
    <w:p w14:paraId="3D47A202">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九</w:t>
      </w:r>
      <w:r>
        <w:rPr>
          <w:rFonts w:hint="eastAsia" w:asciiTheme="minorEastAsia" w:hAnsiTheme="minorEastAsia" w:eastAsiaTheme="minorEastAsia" w:cstheme="minorEastAsia"/>
          <w:b/>
          <w:bCs/>
          <w:sz w:val="24"/>
          <w:highlight w:val="none"/>
        </w:rPr>
        <w:t>、税费承担</w:t>
      </w:r>
    </w:p>
    <w:p w14:paraId="5B29CA8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竞价人自行承担参加竞价会有关的全部费用（包括但不限于差旅费、邮寄费、资料费等）。</w:t>
      </w:r>
    </w:p>
    <w:p w14:paraId="202C8FE8">
      <w:pPr>
        <w:pStyle w:val="3"/>
        <w:shd w:val="clear" w:color="auto" w:fill="FFFFFF"/>
        <w:spacing w:before="0" w:beforeAutospacing="0" w:after="0" w:afterAutospacing="0" w:line="360" w:lineRule="auto"/>
        <w:ind w:firstLine="48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kern w:val="2"/>
          <w:highlight w:val="none"/>
        </w:rPr>
        <w:t>十、违约责任</w:t>
      </w:r>
    </w:p>
    <w:p w14:paraId="78FA7C1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委托方有权向该成交人提起赔偿诉讼。</w:t>
      </w:r>
    </w:p>
    <w:p w14:paraId="5D32058E">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一</w:t>
      </w:r>
      <w:r>
        <w:rPr>
          <w:rFonts w:hint="eastAsia" w:asciiTheme="minorEastAsia" w:hAnsiTheme="minorEastAsia" w:eastAsiaTheme="minorEastAsia" w:cstheme="minorEastAsia"/>
          <w:b/>
          <w:bCs/>
          <w:sz w:val="24"/>
          <w:highlight w:val="none"/>
        </w:rPr>
        <w:t>、注意事项</w:t>
      </w:r>
    </w:p>
    <w:p w14:paraId="1CF69060">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1.因不可预见的原因导致上述竞价交易方式不能正常进行的，本公司有权中止交易或临时决定采用其它竞价方式和竞价交易规则，竞价人对此不得有异议。</w:t>
      </w:r>
    </w:p>
    <w:p w14:paraId="41E3E28F">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43FF6AD4">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3.成交后，成交人应当与委托人签订《</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》，并严格履行，双方的权利、义务以《</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》约定为准。</w:t>
      </w:r>
    </w:p>
    <w:p w14:paraId="1EE38F8A">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4.因委托人、成交人的原因造成不能签订相应的合同或解除合同、合同无效的，我司不承担任何责任。签订《竞价结果通知书》视为我司对成交人的合同义务履行完毕。</w:t>
      </w:r>
    </w:p>
    <w:p w14:paraId="0D75A59E">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二</w:t>
      </w:r>
      <w:r>
        <w:rPr>
          <w:rFonts w:hint="eastAsia" w:asciiTheme="minorEastAsia" w:hAnsiTheme="minorEastAsia" w:eastAsiaTheme="minorEastAsia" w:cstheme="minorEastAsia"/>
          <w:b/>
          <w:bCs/>
          <w:sz w:val="24"/>
          <w:highlight w:val="none"/>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3BFC32B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01FDE571">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1.申请人必须对本项目情况及竞价流程进行充分的咨询和了解，一旦参与竞价，视为无异议，并对项目存在或可能存在的瑕疵表示认可，自行承担由此造成的风险。</w:t>
            </w:r>
          </w:p>
          <w:p w14:paraId="455A485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2.竞价文件如有更正修改，公告将在连城产权交易网（网址：</w:t>
            </w:r>
            <w:r>
              <w:rPr>
                <w:rFonts w:hint="eastAsia" w:asciiTheme="minorEastAsia" w:hAnsiTheme="minorEastAsia" w:eastAsiaTheme="minorEastAsia" w:cstheme="minorEastAsia"/>
                <w:b/>
                <w:bCs/>
                <w:sz w:val="24"/>
                <w:highlight w:val="none"/>
              </w:rPr>
              <w:t>http://www.lcxcqjy.com/</w:t>
            </w:r>
            <w:r>
              <w:rPr>
                <w:rFonts w:hint="eastAsia" w:asciiTheme="minorEastAsia" w:hAnsiTheme="minorEastAsia" w:eastAsiaTheme="minorEastAsia" w:cstheme="minorEastAsia"/>
                <w:sz w:val="24"/>
                <w:highlight w:val="none"/>
              </w:rPr>
              <w:t>）上发布，请潜在竞价人随时密切关注上述网站并下载相关信息，本公司不再另行通知（相同内容如有多次修改，以最后一次修改为准）。潜在竞价人未查看、下载修改内容的，后果自行承担。</w:t>
            </w:r>
          </w:p>
          <w:p w14:paraId="39D21F8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603D2ACE">
      <w:pPr>
        <w:widowControl/>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drawing>
          <wp:inline distT="0" distB="0" distL="114300" distR="114300">
            <wp:extent cx="848995" cy="848995"/>
            <wp:effectExtent l="0" t="0" r="8255" b="825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cstate="print"/>
                    <a:stretch>
                      <a:fillRect/>
                    </a:stretch>
                  </pic:blipFill>
                  <pic:spPr>
                    <a:xfrm>
                      <a:off x="0" y="0"/>
                      <a:ext cx="848995" cy="848995"/>
                    </a:xfrm>
                    <a:prstGeom prst="rect">
                      <a:avLst/>
                    </a:prstGeom>
                  </pic:spPr>
                </pic:pic>
              </a:graphicData>
            </a:graphic>
          </wp:inline>
        </w:drawing>
      </w: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连城县国有资产产权交易服务有限公司</w:t>
      </w:r>
    </w:p>
    <w:p w14:paraId="24DBD4CB">
      <w:pPr>
        <w:widowControl/>
        <w:spacing w:line="360" w:lineRule="auto"/>
        <w:ind w:firstLine="480" w:firstLineChars="200"/>
        <w:jc w:val="right"/>
        <w:rPr>
          <w:rFonts w:asciiTheme="minorEastAsia" w:hAnsiTheme="minorEastAsia" w:eastAsiaTheme="minorEastAsia" w:cstheme="minorEastAsia"/>
          <w:b/>
          <w:sz w:val="24"/>
          <w:highlight w:val="none"/>
        </w:rPr>
      </w:pPr>
      <w:r>
        <w:rPr>
          <w:rFonts w:hint="eastAsia" w:asciiTheme="minorEastAsia" w:hAnsiTheme="minorEastAsia" w:eastAsiaTheme="minorEastAsia" w:cstheme="minorEastAsia"/>
          <w:color w:val="0000FF"/>
          <w:sz w:val="24"/>
          <w:highlight w:val="none"/>
        </w:rPr>
        <w:t>2024年</w:t>
      </w:r>
      <w:r>
        <w:rPr>
          <w:rFonts w:hint="eastAsia" w:asciiTheme="minorEastAsia" w:hAnsiTheme="minorEastAsia" w:eastAsiaTheme="minorEastAsia" w:cstheme="minorEastAsia"/>
          <w:color w:val="0000FF"/>
          <w:sz w:val="24"/>
          <w:highlight w:val="none"/>
          <w:lang w:val="en-US" w:eastAsia="zh-CN"/>
        </w:rPr>
        <w:t>12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19</w:t>
      </w:r>
      <w:r>
        <w:rPr>
          <w:rFonts w:hint="eastAsia" w:asciiTheme="minorEastAsia" w:hAnsiTheme="minorEastAsia" w:eastAsiaTheme="minorEastAsia" w:cstheme="minorEastAsia"/>
          <w:color w:val="0000FF"/>
          <w:sz w:val="24"/>
          <w:highlight w:val="none"/>
        </w:rPr>
        <w:t>日</w:t>
      </w:r>
    </w:p>
    <w:p w14:paraId="02CAF3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911D00"/>
    <w:rsid w:val="2B911D00"/>
    <w:rsid w:val="4D5B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6">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4197</Words>
  <Characters>4407</Characters>
  <Lines>0</Lines>
  <Paragraphs>0</Paragraphs>
  <TotalTime>0</TotalTime>
  <ScaleCrop>false</ScaleCrop>
  <LinksUpToDate>false</LinksUpToDate>
  <CharactersWithSpaces>4446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2024-12-19T07:34:00Z</dcterms:created>
  <dc:creator>土豆排骨的滋味</dc:creator>
  <cp:lastModifiedBy>土豆排骨的滋味</cp:lastModifiedBy>
  <dcterms:modified xsi:type="dcterms:W3CDTF">2024-12-19T08:13:13Z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2D0F498C4F6148679491B8EA9B376973_11</vt:lpwstr>
  </property>
</Properties>
</file>