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D72F3">
      <w:pPr>
        <w:pStyle w:val="9"/>
        <w:jc w:val="left"/>
        <w:rPr>
          <w:rFonts w:hint="default" w:asciiTheme="minorEastAsia" w:hAnsiTheme="minorEastAsia" w:eastAsiaTheme="minorEastAsia" w:cstheme="minorEastAsia"/>
          <w:b/>
          <w:bCs/>
          <w:sz w:val="28"/>
          <w:szCs w:val="32"/>
          <w:lang w:val="en-US" w:eastAsia="zh-CN"/>
        </w:rPr>
      </w:pPr>
      <w:r>
        <w:rPr>
          <w:rFonts w:hint="eastAsia" w:asciiTheme="minorEastAsia" w:hAnsiTheme="minorEastAsia" w:eastAsiaTheme="minorEastAsia" w:cstheme="minorEastAsia"/>
          <w:b/>
          <w:bCs/>
          <w:sz w:val="28"/>
          <w:szCs w:val="32"/>
          <w:lang w:val="en-US" w:eastAsia="zh-CN"/>
        </w:rPr>
        <w:t>附件2-</w:t>
      </w:r>
      <w:r>
        <w:rPr>
          <w:rFonts w:hint="eastAsia" w:asciiTheme="minorEastAsia" w:hAnsiTheme="minorEastAsia" w:eastAsiaTheme="minorEastAsia" w:cstheme="minorEastAsia"/>
          <w:b/>
          <w:bCs/>
          <w:color w:val="000000"/>
          <w:sz w:val="28"/>
          <w:szCs w:val="32"/>
          <w:lang w:val="en-US" w:eastAsia="zh-CN"/>
        </w:rPr>
        <w:t>绿化养护服务</w:t>
      </w:r>
      <w:r>
        <w:rPr>
          <w:rFonts w:hint="eastAsia" w:asciiTheme="minorEastAsia" w:hAnsiTheme="minorEastAsia" w:eastAsiaTheme="minorEastAsia" w:cstheme="minorEastAsia"/>
          <w:b/>
          <w:bCs/>
          <w:color w:val="000000"/>
          <w:sz w:val="28"/>
          <w:szCs w:val="32"/>
        </w:rPr>
        <w:t>采购合同</w:t>
      </w:r>
    </w:p>
    <w:p w14:paraId="0313B602">
      <w:pPr>
        <w:pStyle w:val="5"/>
        <w:numPr>
          <w:ilvl w:val="0"/>
          <w:numId w:val="0"/>
        </w:numPr>
        <w:jc w:val="center"/>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lang w:val="en-US" w:eastAsia="zh-CN"/>
        </w:rPr>
        <w:t>绿化养护服务</w:t>
      </w:r>
      <w:r>
        <w:rPr>
          <w:rFonts w:hint="eastAsia" w:asciiTheme="minorEastAsia" w:hAnsiTheme="minorEastAsia" w:eastAsiaTheme="minorEastAsia" w:cstheme="minorEastAsia"/>
          <w:color w:val="000000"/>
        </w:rPr>
        <w:t>采购合同</w:t>
      </w:r>
    </w:p>
    <w:p w14:paraId="16A5BA56">
      <w:pPr>
        <w:rPr>
          <w:rFonts w:hint="eastAsia" w:asciiTheme="minorEastAsia" w:hAnsiTheme="minorEastAsia" w:eastAsiaTheme="minorEastAsia" w:cstheme="minorEastAsia"/>
          <w:color w:val="000000"/>
        </w:rPr>
      </w:pPr>
    </w:p>
    <w:p w14:paraId="462D6775">
      <w:pPr>
        <w:spacing w:line="360" w:lineRule="auto"/>
        <w:jc w:val="center"/>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eastAsiaTheme="minorEastAsia" w:cstheme="minorEastAsia"/>
          <w:color w:val="000000"/>
          <w:sz w:val="24"/>
          <w:szCs w:val="24"/>
          <w:lang w:eastAsia="zh-CN"/>
        </w:rPr>
        <w:t>（若采购合同主要条款与以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文件要求出现不一致的，以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文件要求为准；若</w:t>
      </w:r>
      <w:r>
        <w:rPr>
          <w:rFonts w:hint="eastAsia" w:asciiTheme="minorEastAsia" w:hAnsiTheme="minorEastAsia" w:eastAsiaTheme="minorEastAsia" w:cstheme="minorEastAsia"/>
          <w:color w:val="000000"/>
          <w:sz w:val="24"/>
          <w:szCs w:val="24"/>
          <w:lang w:val="en-US" w:eastAsia="zh-CN"/>
        </w:rPr>
        <w:t>竞价</w:t>
      </w:r>
      <w:r>
        <w:rPr>
          <w:rFonts w:hint="eastAsia" w:asciiTheme="minorEastAsia" w:hAnsiTheme="minorEastAsia" w:eastAsiaTheme="minorEastAsia" w:cstheme="minorEastAsia"/>
          <w:color w:val="000000"/>
          <w:sz w:val="24"/>
          <w:szCs w:val="24"/>
          <w:lang w:eastAsia="zh-CN"/>
        </w:rPr>
        <w:t>文件没有细化的条款，以本采购合同细化的条款为准）</w:t>
      </w:r>
    </w:p>
    <w:p w14:paraId="2C58A555">
      <w:pPr>
        <w:pStyle w:val="10"/>
        <w:spacing w:line="360" w:lineRule="auto"/>
        <w:ind w:firstLine="482" w:firstLineChars="200"/>
        <w:outlineLvl w:val="9"/>
        <w:rPr>
          <w:rFonts w:hint="eastAsia" w:asciiTheme="minorEastAsia" w:hAnsiTheme="minorEastAsia" w:eastAsiaTheme="minorEastAsia" w:cstheme="minorEastAsia"/>
          <w:b/>
          <w:color w:val="000000"/>
          <w:sz w:val="24"/>
        </w:rPr>
      </w:pPr>
      <w:bookmarkStart w:id="2" w:name="_GoBack"/>
      <w:bookmarkEnd w:id="2"/>
    </w:p>
    <w:p w14:paraId="67786991">
      <w:pPr>
        <w:pStyle w:val="3"/>
        <w:widowControl/>
        <w:numPr>
          <w:ilvl w:val="0"/>
          <w:numId w:val="2"/>
        </w:numPr>
        <w:adjustRightInd/>
        <w:spacing w:before="75" w:after="75" w:line="360" w:lineRule="auto"/>
        <w:textAlignment w:val="auto"/>
        <w:rPr>
          <w:rStyle w:val="8"/>
          <w:rFonts w:hint="eastAsia" w:asciiTheme="minorEastAsia" w:hAnsiTheme="minorEastAsia" w:eastAsiaTheme="minorEastAsia" w:cstheme="minorEastAsia"/>
          <w:b/>
          <w:bCs w:val="0"/>
          <w:color w:val="000000"/>
          <w:sz w:val="24"/>
          <w:szCs w:val="24"/>
        </w:rPr>
      </w:pPr>
      <w:r>
        <w:rPr>
          <w:rStyle w:val="8"/>
          <w:rFonts w:hint="eastAsia" w:asciiTheme="minorEastAsia" w:hAnsiTheme="minorEastAsia" w:eastAsiaTheme="minorEastAsia" w:cstheme="minorEastAsia"/>
          <w:b/>
          <w:bCs w:val="0"/>
          <w:color w:val="000000"/>
          <w:kern w:val="2"/>
          <w:sz w:val="24"/>
          <w:szCs w:val="24"/>
          <w:lang w:bidi="ar-SA"/>
        </w:rPr>
        <w:t>签订合同应遵守《中华人民共和国民法典》等法律法规。</w:t>
      </w:r>
    </w:p>
    <w:p w14:paraId="13C073F8">
      <w:pPr>
        <w:pStyle w:val="3"/>
        <w:widowControl/>
        <w:numPr>
          <w:ilvl w:val="0"/>
          <w:numId w:val="2"/>
        </w:numPr>
        <w:adjustRightInd/>
        <w:spacing w:before="75" w:after="75" w:line="360" w:lineRule="auto"/>
        <w:textAlignment w:val="auto"/>
        <w:rPr>
          <w:rFonts w:hint="eastAsia" w:asciiTheme="minorEastAsia" w:hAnsiTheme="minorEastAsia" w:eastAsiaTheme="minorEastAsia" w:cstheme="minorEastAsia"/>
          <w:b/>
          <w:color w:val="000000"/>
          <w:sz w:val="28"/>
          <w:szCs w:val="28"/>
        </w:rPr>
      </w:pPr>
      <w:r>
        <w:rPr>
          <w:rStyle w:val="8"/>
          <w:rFonts w:hint="eastAsia" w:asciiTheme="minorEastAsia" w:hAnsiTheme="minorEastAsia" w:eastAsiaTheme="minorEastAsia" w:cstheme="minorEastAsia"/>
          <w:b/>
          <w:bCs w:val="0"/>
          <w:i w:val="0"/>
          <w:caps w:val="0"/>
          <w:color w:val="000000"/>
          <w:spacing w:val="0"/>
          <w:kern w:val="2"/>
          <w:sz w:val="24"/>
          <w:szCs w:val="24"/>
          <w:lang w:bidi="ar-SA"/>
        </w:rPr>
        <w:t>本章节所附的合同主要条款及格式为参考文本，如果因为项目实际特点不能适用，则可由甲乙双方在合同签订阶段可通过友好协商进行约定。</w:t>
      </w:r>
    </w:p>
    <w:p w14:paraId="3C03639C">
      <w:pPr>
        <w:spacing w:line="360" w:lineRule="auto"/>
        <w:jc w:val="both"/>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lang w:val="en-US" w:eastAsia="zh-CN"/>
        </w:rPr>
        <w:t>甲</w:t>
      </w:r>
      <w:r>
        <w:rPr>
          <w:rFonts w:hint="eastAsia" w:asciiTheme="minorEastAsia" w:hAnsiTheme="minorEastAsia" w:eastAsiaTheme="minorEastAsia" w:cstheme="minorEastAsia"/>
          <w:color w:val="000000"/>
          <w:spacing w:val="0"/>
          <w:sz w:val="24"/>
          <w:szCs w:val="24"/>
          <w:lang w:eastAsia="zh-CN"/>
        </w:rPr>
        <w:t>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u w:val="single"/>
        </w:rPr>
        <w:t>连城连聚物业服务公司</w:t>
      </w:r>
    </w:p>
    <w:p w14:paraId="412E2AF1">
      <w:pPr>
        <w:pStyle w:val="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pacing w:val="0"/>
          <w:sz w:val="24"/>
          <w:szCs w:val="24"/>
          <w:lang w:eastAsia="zh-CN"/>
        </w:rPr>
        <w:t>乙方</w:t>
      </w:r>
      <w:r>
        <w:rPr>
          <w:rFonts w:hint="eastAsia" w:asciiTheme="minorEastAsia" w:hAnsiTheme="minorEastAsia" w:eastAsiaTheme="minorEastAsia" w:cstheme="minorEastAsia"/>
          <w:color w:val="000000"/>
          <w:spacing w:val="0"/>
          <w:sz w:val="24"/>
          <w:szCs w:val="24"/>
        </w:rPr>
        <w:t>：</w:t>
      </w:r>
      <w:r>
        <w:rPr>
          <w:rFonts w:hint="eastAsia" w:asciiTheme="minorEastAsia" w:hAnsiTheme="minorEastAsia" w:eastAsiaTheme="minorEastAsia" w:cstheme="minorEastAsia"/>
          <w:color w:val="000000"/>
          <w:spacing w:val="0"/>
          <w:sz w:val="24"/>
          <w:szCs w:val="24"/>
          <w:u w:val="single"/>
        </w:rPr>
        <w:t>（</w:t>
      </w:r>
      <w:r>
        <w:rPr>
          <w:rFonts w:hint="eastAsia" w:asciiTheme="minorEastAsia" w:hAnsiTheme="minorEastAsia" w:eastAsiaTheme="minorEastAsia" w:cstheme="minorEastAsia"/>
          <w:color w:val="000000"/>
          <w:spacing w:val="0"/>
          <w:sz w:val="24"/>
          <w:szCs w:val="24"/>
          <w:u w:val="single"/>
          <w:lang w:eastAsia="zh-CN"/>
        </w:rPr>
        <w:t>乙方</w:t>
      </w:r>
      <w:r>
        <w:rPr>
          <w:rFonts w:hint="eastAsia" w:asciiTheme="minorEastAsia" w:hAnsiTheme="minorEastAsia" w:eastAsiaTheme="minorEastAsia" w:cstheme="minorEastAsia"/>
          <w:color w:val="000000"/>
          <w:spacing w:val="0"/>
          <w:sz w:val="24"/>
          <w:szCs w:val="24"/>
          <w:u w:val="single"/>
        </w:rPr>
        <w:t>全称）</w:t>
      </w:r>
      <w:r>
        <w:rPr>
          <w:rFonts w:hint="eastAsia" w:asciiTheme="minorEastAsia" w:hAnsiTheme="minorEastAsia" w:eastAsiaTheme="minorEastAsia" w:cstheme="minorEastAsia"/>
          <w:color w:val="000000"/>
          <w:spacing w:val="0"/>
          <w:sz w:val="24"/>
          <w:szCs w:val="24"/>
          <w:u w:val="single"/>
          <w:lang w:val="en-US" w:eastAsia="zh-CN"/>
        </w:rPr>
        <w:t xml:space="preserve">         </w:t>
      </w:r>
    </w:p>
    <w:p w14:paraId="4BC96109">
      <w:pPr>
        <w:pStyle w:val="3"/>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pacing w:val="0"/>
          <w:sz w:val="24"/>
          <w:szCs w:val="24"/>
        </w:rPr>
        <w:t> </w:t>
      </w:r>
    </w:p>
    <w:p w14:paraId="7AF61AE9">
      <w:pPr>
        <w:pStyle w:val="3"/>
        <w:keepNext w:val="0"/>
        <w:keepLines w:val="0"/>
        <w:pageBreakBefore w:val="0"/>
        <w:widowControl/>
        <w:suppressLineNumbers w:val="0"/>
        <w:kinsoku/>
        <w:wordWrap/>
        <w:topLinePunct w:val="0"/>
        <w:bidi w:val="0"/>
        <w:spacing w:before="0" w:beforeAutospacing="0" w:after="0" w:afterAutospacing="0" w:line="440" w:lineRule="exact"/>
        <w:ind w:left="0" w:right="0" w:firstLine="480" w:firstLineChars="200"/>
        <w:jc w:val="both"/>
        <w:textAlignment w:val="auto"/>
        <w:outlineLvl w:val="9"/>
        <w:rPr>
          <w:rFonts w:hint="eastAsia" w:ascii="宋体" w:hAnsi="宋体" w:eastAsia="宋体" w:cs="宋体"/>
          <w:color w:val="000000"/>
          <w:sz w:val="24"/>
          <w:szCs w:val="24"/>
        </w:rPr>
      </w:pPr>
      <w:r>
        <w:rPr>
          <w:rFonts w:hint="eastAsia" w:ascii="宋体" w:hAnsi="宋体" w:eastAsia="宋体" w:cs="宋体"/>
          <w:color w:val="000000"/>
          <w:spacing w:val="0"/>
          <w:sz w:val="24"/>
          <w:szCs w:val="24"/>
        </w:rPr>
        <w:t>根据</w:t>
      </w:r>
      <w:r>
        <w:rPr>
          <w:rFonts w:hint="eastAsia" w:ascii="宋体" w:hAnsi="宋体" w:eastAsia="宋体" w:cs="宋体"/>
          <w:color w:val="000000"/>
          <w:spacing w:val="0"/>
          <w:sz w:val="24"/>
          <w:szCs w:val="24"/>
          <w:lang w:val="en-US" w:eastAsia="zh-CN"/>
        </w:rPr>
        <w:t>项目</w:t>
      </w:r>
      <w:r>
        <w:rPr>
          <w:rFonts w:hint="eastAsia" w:ascii="宋体" w:hAnsi="宋体" w:eastAsia="宋体" w:cs="宋体"/>
          <w:color w:val="000000"/>
          <w:spacing w:val="0"/>
          <w:sz w:val="24"/>
          <w:szCs w:val="24"/>
        </w:rPr>
        <w:t>编号为</w:t>
      </w:r>
      <w:r>
        <w:rPr>
          <w:rFonts w:hint="eastAsia" w:ascii="宋体" w:hAnsi="宋体" w:eastAsia="宋体" w:cs="宋体"/>
          <w:color w:val="000000"/>
          <w:spacing w:val="0"/>
          <w:sz w:val="24"/>
          <w:szCs w:val="24"/>
          <w:u w:val="single"/>
          <w:lang w:val="en-US" w:eastAsia="zh-CN"/>
        </w:rPr>
        <w:t xml:space="preserve">    </w:t>
      </w:r>
      <w:r>
        <w:rPr>
          <w:rFonts w:hint="eastAsia" w:ascii="宋体" w:hAnsi="宋体" w:eastAsia="宋体" w:cs="宋体"/>
          <w:color w:val="000000"/>
          <w:spacing w:val="0"/>
          <w:sz w:val="24"/>
          <w:szCs w:val="24"/>
          <w:u w:val="single"/>
        </w:rPr>
        <w:t> </w:t>
      </w:r>
      <w:r>
        <w:rPr>
          <w:rFonts w:hint="eastAsia" w:ascii="宋体" w:hAnsi="宋体" w:eastAsia="宋体" w:cs="宋体"/>
          <w:color w:val="000000"/>
          <w:spacing w:val="0"/>
          <w:sz w:val="24"/>
          <w:szCs w:val="24"/>
        </w:rPr>
        <w:t>的</w:t>
      </w:r>
      <w:r>
        <w:rPr>
          <w:rFonts w:hint="eastAsia" w:ascii="宋体" w:hAnsi="宋体" w:eastAsia="宋体" w:cs="宋体"/>
          <w:color w:val="000000"/>
          <w:spacing w:val="0"/>
          <w:sz w:val="24"/>
          <w:szCs w:val="24"/>
          <w:u w:val="single"/>
          <w:lang w:val="en-US" w:eastAsia="zh-CN"/>
        </w:rPr>
        <w:t xml:space="preserve"> 2025年连城连聚物业服务公司绿化养护服务采购项目  </w:t>
      </w:r>
      <w:r>
        <w:rPr>
          <w:rFonts w:hint="eastAsia" w:ascii="宋体" w:hAnsi="宋体" w:eastAsia="宋体" w:cs="宋体"/>
          <w:color w:val="000000"/>
          <w:spacing w:val="0"/>
          <w:sz w:val="24"/>
          <w:szCs w:val="24"/>
        </w:rPr>
        <w:t>项目（以下简称：“本项目”）的</w:t>
      </w:r>
      <w:r>
        <w:rPr>
          <w:rFonts w:hint="eastAsia" w:ascii="宋体" w:hAnsi="宋体" w:eastAsia="宋体" w:cs="宋体"/>
          <w:color w:val="000000"/>
          <w:spacing w:val="0"/>
          <w:sz w:val="24"/>
          <w:szCs w:val="24"/>
          <w:lang w:val="en-US" w:eastAsia="zh-CN"/>
        </w:rPr>
        <w:t>公开竞价</w:t>
      </w:r>
      <w:r>
        <w:rPr>
          <w:rFonts w:hint="eastAsia" w:ascii="宋体" w:hAnsi="宋体" w:eastAsia="宋体" w:cs="宋体"/>
          <w:color w:val="000000"/>
          <w:spacing w:val="0"/>
          <w:sz w:val="24"/>
          <w:szCs w:val="24"/>
        </w:rPr>
        <w:t>结果，</w:t>
      </w:r>
      <w:r>
        <w:rPr>
          <w:rFonts w:hint="eastAsia" w:ascii="宋体" w:hAnsi="宋体" w:eastAsia="宋体" w:cs="宋体"/>
          <w:color w:val="000000"/>
          <w:spacing w:val="0"/>
          <w:sz w:val="24"/>
          <w:szCs w:val="24"/>
          <w:lang w:val="en-US" w:eastAsia="zh-CN"/>
        </w:rPr>
        <w:t>中标人</w:t>
      </w:r>
      <w:r>
        <w:rPr>
          <w:rFonts w:hint="eastAsia" w:ascii="宋体" w:hAnsi="宋体" w:eastAsia="宋体" w:cs="宋体"/>
          <w:color w:val="000000"/>
          <w:spacing w:val="0"/>
          <w:sz w:val="24"/>
          <w:szCs w:val="24"/>
        </w:rPr>
        <w:t>为</w:t>
      </w:r>
      <w:r>
        <w:rPr>
          <w:rFonts w:hint="eastAsia" w:ascii="宋体" w:hAnsi="宋体" w:eastAsia="宋体" w:cs="宋体"/>
          <w:color w:val="000000"/>
          <w:spacing w:val="0"/>
          <w:sz w:val="24"/>
          <w:szCs w:val="24"/>
          <w:lang w:eastAsia="zh-CN"/>
        </w:rPr>
        <w:t>乙方</w:t>
      </w:r>
      <w:r>
        <w:rPr>
          <w:rFonts w:hint="eastAsia" w:ascii="宋体" w:hAnsi="宋体" w:eastAsia="宋体" w:cs="宋体"/>
          <w:color w:val="000000"/>
          <w:spacing w:val="0"/>
          <w:sz w:val="24"/>
          <w:szCs w:val="24"/>
        </w:rPr>
        <w:t>。现经甲乙双方友好协商，就以下事项达成一致并签订本合同：</w:t>
      </w:r>
    </w:p>
    <w:p w14:paraId="4A409E4F">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一、下列合同文件是构成本合同不可分割的部分：</w:t>
      </w:r>
    </w:p>
    <w:p w14:paraId="779C3570">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1.合同条款；</w:t>
      </w:r>
    </w:p>
    <w:p w14:paraId="22F973C1">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2.招标文件、乙方的投标文件；</w:t>
      </w:r>
    </w:p>
    <w:p w14:paraId="0AE8CA4F">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3.其他文件或材料：☑无。□（若有联合协议或分包意向协议）。</w:t>
      </w:r>
    </w:p>
    <w:p w14:paraId="67C1F012">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000000"/>
          <w:spacing w:val="0"/>
          <w:sz w:val="24"/>
          <w:szCs w:val="24"/>
          <w:lang w:val="en-US" w:eastAsia="zh-CN"/>
        </w:rPr>
      </w:pPr>
      <w:r>
        <w:rPr>
          <w:rFonts w:hint="eastAsia" w:ascii="宋体" w:hAnsi="宋体" w:eastAsia="宋体" w:cs="宋体"/>
          <w:color w:val="auto"/>
          <w:spacing w:val="0"/>
          <w:kern w:val="0"/>
          <w:sz w:val="24"/>
          <w:szCs w:val="24"/>
          <w:highlight w:val="none"/>
          <w:lang w:val="en-US" w:eastAsia="zh-CN" w:bidi="ar-SA"/>
        </w:rPr>
        <w:t>二、合同标的</w:t>
      </w:r>
    </w:p>
    <w:tbl>
      <w:tblPr>
        <w:tblStyle w:val="6"/>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34"/>
        <w:gridCol w:w="2465"/>
      </w:tblGrid>
      <w:tr w14:paraId="28FC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14:paraId="38423DD6">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合同标的</w:t>
            </w:r>
          </w:p>
        </w:tc>
        <w:tc>
          <w:tcPr>
            <w:tcW w:w="2465" w:type="dxa"/>
            <w:noWrap w:val="0"/>
            <w:vAlign w:val="center"/>
          </w:tcPr>
          <w:p w14:paraId="66D21AF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服务期限</w:t>
            </w:r>
          </w:p>
        </w:tc>
      </w:tr>
      <w:tr w14:paraId="5B72B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5734" w:type="dxa"/>
            <w:noWrap w:val="0"/>
            <w:vAlign w:val="center"/>
          </w:tcPr>
          <w:p w14:paraId="2B4E4CF3">
            <w:pPr>
              <w:pageBreakBefore w:val="0"/>
              <w:kinsoku/>
              <w:wordWrap/>
              <w:topLinePunct w:val="0"/>
              <w:bidi w:val="0"/>
              <w:spacing w:line="440" w:lineRule="exact"/>
              <w:ind w:right="0" w:rightChars="0"/>
              <w:jc w:val="center"/>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连城连聚物业服务有限公司年度绿化养护服务</w:t>
            </w:r>
          </w:p>
        </w:tc>
        <w:tc>
          <w:tcPr>
            <w:tcW w:w="2465" w:type="dxa"/>
            <w:noWrap w:val="0"/>
            <w:vAlign w:val="center"/>
          </w:tcPr>
          <w:p w14:paraId="430BEC4A">
            <w:pPr>
              <w:pageBreakBefore w:val="0"/>
              <w:kinsoku/>
              <w:wordWrap/>
              <w:topLinePunct w:val="0"/>
              <w:bidi w:val="0"/>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12个月</w:t>
            </w:r>
          </w:p>
        </w:tc>
      </w:tr>
    </w:tbl>
    <w:p w14:paraId="4F06B311">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三、合同总金额</w:t>
      </w:r>
    </w:p>
    <w:p w14:paraId="74B4375D">
      <w:pPr>
        <w:keepNext w:val="0"/>
        <w:keepLines w:val="0"/>
        <w:pageBreakBefore w:val="0"/>
        <w:widowControl/>
        <w:shd w:val="clear" w:color="auto" w:fill="auto"/>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lang w:eastAsia="zh-CN"/>
        </w:rPr>
      </w:pPr>
      <w:r>
        <w:rPr>
          <w:rFonts w:hint="eastAsia" w:ascii="宋体" w:hAnsi="宋体" w:eastAsia="宋体" w:cs="宋体"/>
          <w:color w:val="000000"/>
          <w:spacing w:val="0"/>
          <w:sz w:val="24"/>
          <w:szCs w:val="24"/>
          <w:lang w:val="en-US" w:eastAsia="zh-CN"/>
        </w:rPr>
        <w:t>1.</w:t>
      </w:r>
      <w:r>
        <w:rPr>
          <w:rFonts w:hint="eastAsia" w:ascii="宋体" w:hAnsi="宋体" w:eastAsia="宋体" w:cs="宋体"/>
          <w:color w:val="0000FF"/>
          <w:spacing w:val="0"/>
          <w:sz w:val="24"/>
          <w:szCs w:val="24"/>
          <w:lang w:val="en-US" w:eastAsia="zh-CN"/>
        </w:rPr>
        <w:t>包干</w:t>
      </w:r>
      <w:r>
        <w:rPr>
          <w:rFonts w:hint="eastAsia" w:ascii="宋体" w:hAnsi="宋体" w:eastAsia="宋体" w:cs="宋体"/>
          <w:color w:val="auto"/>
          <w:spacing w:val="0"/>
          <w:kern w:val="0"/>
          <w:sz w:val="24"/>
          <w:szCs w:val="24"/>
          <w:highlight w:val="none"/>
          <w:lang w:val="en-US" w:eastAsia="zh-CN" w:bidi="ar-SA"/>
        </w:rPr>
        <w:t>合同总金额（</w:t>
      </w:r>
      <w:r>
        <w:rPr>
          <w:rFonts w:hint="eastAsia" w:ascii="宋体" w:hAnsi="宋体" w:eastAsia="宋体" w:cs="宋体"/>
          <w:color w:val="0000FF"/>
          <w:spacing w:val="0"/>
          <w:kern w:val="0"/>
          <w:sz w:val="24"/>
          <w:szCs w:val="24"/>
          <w:highlight w:val="none"/>
          <w:lang w:val="en-US" w:eastAsia="zh-CN" w:bidi="ar-SA"/>
        </w:rPr>
        <w:t>含税、开</w:t>
      </w:r>
      <w:r>
        <w:rPr>
          <w:rFonts w:hint="eastAsia" w:ascii="宋体" w:hAnsi="宋体" w:eastAsia="宋体" w:cs="宋体"/>
          <w:color w:val="0000FF"/>
          <w:sz w:val="24"/>
          <w:szCs w:val="24"/>
          <w:lang w:bidi="ar"/>
        </w:rPr>
        <w:t>增值税专用发票</w:t>
      </w:r>
      <w:r>
        <w:rPr>
          <w:rFonts w:hint="eastAsia" w:ascii="宋体" w:hAnsi="宋体" w:eastAsia="宋体" w:cs="宋体"/>
          <w:color w:val="auto"/>
          <w:spacing w:val="0"/>
          <w:kern w:val="0"/>
          <w:sz w:val="24"/>
          <w:szCs w:val="24"/>
          <w:highlight w:val="none"/>
          <w:lang w:val="en-US" w:eastAsia="zh-CN" w:bidi="ar-SA"/>
        </w:rPr>
        <w:t>）：人民币</w:t>
      </w:r>
      <w:r>
        <w:rPr>
          <w:rFonts w:hint="eastAsia" w:ascii="宋体" w:hAnsi="宋体" w:eastAsia="宋体" w:cs="宋体"/>
          <w:color w:val="auto"/>
          <w:spacing w:val="0"/>
          <w:kern w:val="0"/>
          <w:sz w:val="24"/>
          <w:szCs w:val="24"/>
          <w:highlight w:val="none"/>
          <w:u w:val="single"/>
          <w:lang w:val="en-US" w:eastAsia="zh-CN" w:bidi="ar-SA"/>
        </w:rPr>
        <w:t>大写：元整</w:t>
      </w:r>
      <w:r>
        <w:rPr>
          <w:rFonts w:hint="eastAsia" w:ascii="宋体" w:hAnsi="宋体" w:eastAsia="宋体" w:cs="宋体"/>
          <w:color w:val="auto"/>
          <w:spacing w:val="0"/>
          <w:kern w:val="0"/>
          <w:sz w:val="24"/>
          <w:szCs w:val="24"/>
          <w:highlight w:val="none"/>
          <w:lang w:val="en-US" w:eastAsia="zh-CN" w:bidi="ar-SA"/>
        </w:rPr>
        <w:t xml:space="preserve">，小写：￥ </w:t>
      </w:r>
      <w:r>
        <w:rPr>
          <w:rFonts w:hint="eastAsia" w:ascii="宋体" w:hAnsi="宋体" w:eastAsia="宋体" w:cs="宋体"/>
          <w:color w:val="auto"/>
          <w:spacing w:val="0"/>
          <w:kern w:val="0"/>
          <w:sz w:val="24"/>
          <w:szCs w:val="24"/>
          <w:highlight w:val="none"/>
          <w:u w:val="single"/>
          <w:lang w:val="en-US" w:eastAsia="zh-CN" w:bidi="ar-SA"/>
        </w:rPr>
        <w:t>。</w:t>
      </w:r>
      <w:r>
        <w:rPr>
          <w:rFonts w:hint="eastAsia" w:ascii="宋体" w:hAnsi="宋体" w:eastAsia="宋体" w:cs="宋体"/>
          <w:color w:val="000000"/>
          <w:sz w:val="24"/>
          <w:szCs w:val="24"/>
        </w:rPr>
        <w:t>承包费用包含内容：包工包料</w:t>
      </w:r>
      <w:r>
        <w:rPr>
          <w:rFonts w:hint="eastAsia" w:ascii="宋体" w:hAnsi="宋体" w:eastAsia="宋体" w:cs="宋体"/>
          <w:color w:val="000000"/>
          <w:sz w:val="24"/>
          <w:szCs w:val="24"/>
          <w:lang w:eastAsia="zh-CN"/>
        </w:rPr>
        <w:t>包安全风险</w:t>
      </w:r>
      <w:r>
        <w:rPr>
          <w:rFonts w:hint="eastAsia" w:ascii="宋体" w:hAnsi="宋体" w:eastAsia="宋体" w:cs="宋体"/>
          <w:color w:val="000000"/>
          <w:sz w:val="24"/>
          <w:szCs w:val="24"/>
        </w:rPr>
        <w:t>全包的方式，即承包总费用中包含各种直接和间接费用，如</w:t>
      </w:r>
      <w:r>
        <w:rPr>
          <w:rFonts w:hint="eastAsia" w:ascii="宋体" w:hAnsi="宋体" w:cs="宋体"/>
          <w:color w:val="FF0000"/>
          <w:sz w:val="24"/>
          <w:szCs w:val="24"/>
          <w:lang w:val="en-US" w:eastAsia="zh-CN"/>
        </w:rPr>
        <w:t>公司税费、</w:t>
      </w:r>
      <w:r>
        <w:rPr>
          <w:rFonts w:hint="eastAsia" w:ascii="宋体" w:hAnsi="宋体" w:eastAsia="宋体" w:cs="宋体"/>
          <w:color w:val="000000"/>
          <w:sz w:val="24"/>
          <w:szCs w:val="24"/>
        </w:rPr>
        <w:t>服务人员的工资和教育福利费、服装费、各项社会医疗劳动保险、意外伤害保险项目</w:t>
      </w:r>
      <w:r>
        <w:rPr>
          <w:rFonts w:hint="eastAsia" w:ascii="宋体" w:hAnsi="宋体" w:eastAsia="宋体" w:cs="宋体"/>
          <w:color w:val="000000"/>
          <w:sz w:val="24"/>
          <w:szCs w:val="24"/>
          <w:lang w:eastAsia="zh-CN"/>
        </w:rPr>
        <w:t>、绿化日常修剪垃圾的清运处理，</w:t>
      </w:r>
      <w:r>
        <w:rPr>
          <w:rFonts w:hint="eastAsia" w:ascii="宋体" w:hAnsi="宋体" w:eastAsia="宋体" w:cs="宋体"/>
          <w:color w:val="000000"/>
          <w:sz w:val="24"/>
          <w:szCs w:val="24"/>
        </w:rPr>
        <w:t>绿化</w:t>
      </w:r>
      <w:r>
        <w:rPr>
          <w:rFonts w:hint="eastAsia" w:ascii="宋体" w:hAnsi="宋体" w:eastAsia="宋体" w:cs="宋体"/>
          <w:color w:val="000000"/>
          <w:sz w:val="24"/>
          <w:szCs w:val="24"/>
          <w:lang w:eastAsia="zh-CN"/>
        </w:rPr>
        <w:t>养护</w:t>
      </w:r>
      <w:r>
        <w:rPr>
          <w:rFonts w:hint="eastAsia" w:ascii="宋体" w:hAnsi="宋体" w:eastAsia="宋体" w:cs="宋体"/>
          <w:color w:val="000000"/>
          <w:sz w:val="24"/>
          <w:szCs w:val="24"/>
        </w:rPr>
        <w:t>所有工具、</w:t>
      </w:r>
      <w:r>
        <w:rPr>
          <w:rFonts w:hint="eastAsia" w:ascii="宋体" w:hAnsi="宋体" w:eastAsia="宋体" w:cs="宋体"/>
          <w:color w:val="000000"/>
          <w:sz w:val="24"/>
          <w:szCs w:val="24"/>
          <w:lang w:eastAsia="zh-CN"/>
        </w:rPr>
        <w:t>机器、</w:t>
      </w:r>
      <w:r>
        <w:rPr>
          <w:rFonts w:hint="eastAsia" w:ascii="宋体" w:hAnsi="宋体" w:eastAsia="宋体" w:cs="宋体"/>
          <w:color w:val="000000"/>
          <w:sz w:val="24"/>
          <w:szCs w:val="24"/>
        </w:rPr>
        <w:t>肥料</w:t>
      </w:r>
      <w:r>
        <w:rPr>
          <w:rFonts w:hint="eastAsia" w:ascii="宋体" w:hAnsi="宋体" w:eastAsia="宋体" w:cs="宋体"/>
          <w:color w:val="000000"/>
          <w:sz w:val="24"/>
          <w:szCs w:val="24"/>
          <w:lang w:eastAsia="zh-CN"/>
        </w:rPr>
        <w:t>、农药</w:t>
      </w:r>
      <w:r>
        <w:rPr>
          <w:rFonts w:hint="eastAsia" w:ascii="宋体" w:hAnsi="宋体" w:eastAsia="宋体" w:cs="宋体"/>
          <w:color w:val="000000"/>
          <w:sz w:val="24"/>
          <w:szCs w:val="24"/>
        </w:rPr>
        <w:t>等等，以及在服务过程中所需的低值易耗品等所有均包含在承包费中</w:t>
      </w:r>
      <w:r>
        <w:rPr>
          <w:rFonts w:hint="eastAsia" w:ascii="宋体" w:hAnsi="宋体" w:eastAsia="宋体" w:cs="宋体"/>
          <w:color w:val="000000"/>
          <w:sz w:val="24"/>
          <w:szCs w:val="24"/>
          <w:lang w:eastAsia="zh-CN"/>
        </w:rPr>
        <w:t>。</w:t>
      </w:r>
    </w:p>
    <w:p w14:paraId="7B229A9F">
      <w:pPr>
        <w:pageBreakBefore w:val="0"/>
        <w:kinsoku/>
        <w:wordWrap/>
        <w:topLinePunct w:val="0"/>
        <w:bidi w:val="0"/>
        <w:spacing w:line="440" w:lineRule="exact"/>
        <w:ind w:left="0" w:leftChars="0" w:right="0" w:rightChars="0" w:firstLine="456"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spacing w:val="-6"/>
          <w:kern w:val="0"/>
          <w:sz w:val="24"/>
          <w:szCs w:val="24"/>
          <w:highlight w:val="none"/>
          <w:lang w:val="en-US" w:eastAsia="zh-CN" w:bidi="ar-SA"/>
        </w:rPr>
        <w:t>2.合同期内涉及新增或减少绿化养护面积的，合同价按实结算</w:t>
      </w:r>
      <w:r>
        <w:rPr>
          <w:rFonts w:hint="eastAsia" w:ascii="宋体" w:hAnsi="宋体" w:eastAsia="宋体" w:cs="宋体"/>
          <w:b w:val="0"/>
          <w:bCs w:val="0"/>
          <w:color w:val="auto"/>
          <w:kern w:val="2"/>
          <w:sz w:val="24"/>
          <w:szCs w:val="24"/>
          <w:highlight w:val="none"/>
          <w:lang w:val="en-US" w:eastAsia="zh-CN" w:bidi="ar-SA"/>
        </w:rPr>
        <w:t>。</w:t>
      </w:r>
    </w:p>
    <w:p w14:paraId="02432B85">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四、合同标的交付时间、地点和条件</w:t>
      </w:r>
    </w:p>
    <w:p w14:paraId="0A8E6C9A">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1.整体服务期限：</w:t>
      </w:r>
      <w:r>
        <w:rPr>
          <w:rFonts w:hint="eastAsia" w:ascii="宋体" w:hAnsi="宋体" w:eastAsia="宋体" w:cs="宋体"/>
          <w:color w:val="auto"/>
          <w:spacing w:val="0"/>
          <w:kern w:val="0"/>
          <w:sz w:val="24"/>
          <w:szCs w:val="24"/>
          <w:highlight w:val="none"/>
          <w:u w:val="single"/>
          <w:lang w:val="en-US" w:eastAsia="zh-CN" w:bidi="ar-SA"/>
        </w:rPr>
        <w:t>12个月；                  </w:t>
      </w:r>
      <w:r>
        <w:rPr>
          <w:rFonts w:hint="eastAsia" w:ascii="宋体" w:hAnsi="宋体" w:eastAsia="宋体" w:cs="宋体"/>
          <w:color w:val="auto"/>
          <w:spacing w:val="0"/>
          <w:kern w:val="0"/>
          <w:sz w:val="24"/>
          <w:szCs w:val="24"/>
          <w:highlight w:val="none"/>
          <w:lang w:val="en-US" w:eastAsia="zh-CN" w:bidi="ar-SA"/>
        </w:rPr>
        <w:t>；</w:t>
      </w:r>
    </w:p>
    <w:p w14:paraId="6FC64AB3">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2.服务地点：</w:t>
      </w:r>
      <w:r>
        <w:rPr>
          <w:rFonts w:hint="eastAsia" w:ascii="宋体" w:hAnsi="宋体" w:eastAsia="宋体" w:cs="宋体"/>
          <w:color w:val="auto"/>
          <w:spacing w:val="0"/>
          <w:kern w:val="0"/>
          <w:sz w:val="24"/>
          <w:szCs w:val="24"/>
          <w:highlight w:val="none"/>
          <w:u w:val="single"/>
          <w:lang w:val="en-US" w:eastAsia="zh-CN" w:bidi="ar-SA"/>
        </w:rPr>
        <w:t> 甲方指定的地点（</w:t>
      </w:r>
      <w:r>
        <w:rPr>
          <w:rFonts w:hint="eastAsia" w:ascii="宋体" w:hAnsi="宋体" w:eastAsia="宋体" w:cs="宋体"/>
          <w:color w:val="0000FF"/>
          <w:spacing w:val="0"/>
          <w:kern w:val="0"/>
          <w:sz w:val="24"/>
          <w:szCs w:val="24"/>
          <w:highlight w:val="none"/>
          <w:u w:val="single"/>
          <w:lang w:val="en-US" w:eastAsia="zh-CN" w:bidi="ar-SA"/>
        </w:rPr>
        <w:t>详见招标内容及要求</w:t>
      </w:r>
      <w:r>
        <w:rPr>
          <w:rFonts w:hint="eastAsia" w:ascii="宋体" w:hAnsi="宋体" w:eastAsia="宋体" w:cs="宋体"/>
          <w:color w:val="auto"/>
          <w:spacing w:val="0"/>
          <w:kern w:val="0"/>
          <w:sz w:val="24"/>
          <w:szCs w:val="24"/>
          <w:highlight w:val="none"/>
          <w:u w:val="single"/>
          <w:lang w:val="en-US" w:eastAsia="zh-CN" w:bidi="ar-SA"/>
        </w:rPr>
        <w:t>）</w:t>
      </w:r>
      <w:r>
        <w:rPr>
          <w:rFonts w:hint="eastAsia" w:ascii="宋体" w:hAnsi="宋体" w:eastAsia="宋体" w:cs="宋体"/>
          <w:color w:val="auto"/>
          <w:spacing w:val="0"/>
          <w:kern w:val="0"/>
          <w:sz w:val="24"/>
          <w:szCs w:val="24"/>
          <w:highlight w:val="none"/>
          <w:lang w:val="en-US" w:eastAsia="zh-CN" w:bidi="ar-SA"/>
        </w:rPr>
        <w:t>；</w:t>
      </w:r>
    </w:p>
    <w:p w14:paraId="433BFE9D">
      <w:pPr>
        <w:keepNext w:val="0"/>
        <w:keepLines w:val="0"/>
        <w:pageBreakBefore w:val="0"/>
        <w:widowControl/>
        <w:suppressLineNumbers w:val="0"/>
        <w:kinsoku/>
        <w:wordWrap/>
        <w:topLinePunct w:val="0"/>
        <w:bidi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pacing w:val="0"/>
          <w:kern w:val="0"/>
          <w:sz w:val="24"/>
          <w:szCs w:val="24"/>
          <w:highlight w:val="none"/>
          <w:lang w:val="en-US" w:eastAsia="zh-CN" w:bidi="ar-SA"/>
        </w:rPr>
        <w:t>3.交付条件：</w:t>
      </w:r>
      <w:r>
        <w:rPr>
          <w:rFonts w:hint="eastAsia" w:ascii="宋体" w:hAnsi="宋体" w:eastAsia="宋体" w:cs="宋体"/>
          <w:color w:val="auto"/>
          <w:spacing w:val="0"/>
          <w:kern w:val="0"/>
          <w:sz w:val="24"/>
          <w:szCs w:val="24"/>
          <w:highlight w:val="none"/>
          <w:u w:val="single"/>
          <w:lang w:val="en-US" w:eastAsia="zh-CN" w:bidi="ar-SA"/>
        </w:rPr>
        <w:t xml:space="preserve"> 乙方在合同签订后5天内人员到岗 </w:t>
      </w:r>
      <w:r>
        <w:rPr>
          <w:rFonts w:hint="eastAsia" w:ascii="宋体" w:hAnsi="宋体" w:eastAsia="宋体" w:cs="宋体"/>
          <w:color w:val="auto"/>
          <w:spacing w:val="0"/>
          <w:kern w:val="0"/>
          <w:sz w:val="24"/>
          <w:szCs w:val="24"/>
          <w:highlight w:val="none"/>
          <w:lang w:val="en-US" w:eastAsia="zh-CN" w:bidi="ar-SA"/>
        </w:rPr>
        <w:t>。</w:t>
      </w:r>
    </w:p>
    <w:p w14:paraId="3BA5411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五、服务要求如下：</w:t>
      </w:r>
    </w:p>
    <w:p w14:paraId="1BBBF6A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1.绿地养护作业要求：</w:t>
      </w:r>
    </w:p>
    <w:p w14:paraId="075CDF0A">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（1）乙方应严格按照甲方提出的要求进行绿化养护工作，对甲方的树木、花卉、草皮进行定期浇水、除草、松土、施肥、整形修剪、防治病虫害等，保证苗木、草地长势良好无虫害和枯黄现象的发生。 </w:t>
      </w:r>
    </w:p>
    <w:p w14:paraId="4FBB1C4A">
      <w:pPr>
        <w:pageBreakBefore w:val="0"/>
        <w:kinsoku/>
        <w:wordWrap/>
        <w:topLinePunct w:val="0"/>
        <w:bidi w:val="0"/>
        <w:spacing w:line="440" w:lineRule="exact"/>
        <w:ind w:left="0" w:right="0" w:firstLine="480" w:firstLineChars="200"/>
        <w:jc w:val="both"/>
        <w:outlineLvl w:val="9"/>
        <w:rPr>
          <w:rFonts w:hint="eastAsia" w:ascii="宋体" w:hAnsi="宋体" w:eastAsia="宋体" w:cs="Times New Roman"/>
          <w:b w:val="0"/>
          <w:bCs/>
          <w:color w:val="auto"/>
          <w:sz w:val="24"/>
          <w:szCs w:val="24"/>
          <w:lang w:eastAsia="zh-CN"/>
        </w:rPr>
      </w:pPr>
      <w:r>
        <w:rPr>
          <w:rFonts w:hint="eastAsia" w:ascii="宋体" w:hAnsi="宋体" w:eastAsia="宋体" w:cs="Times New Roman"/>
          <w:b w:val="0"/>
          <w:bCs/>
          <w:color w:val="auto"/>
          <w:sz w:val="24"/>
          <w:szCs w:val="24"/>
          <w:lang w:val="en-US" w:eastAsia="zh-CN"/>
        </w:rPr>
        <w:t>（2）</w:t>
      </w:r>
      <w:r>
        <w:rPr>
          <w:rFonts w:hint="eastAsia" w:ascii="宋体" w:hAnsi="宋体" w:eastAsia="宋体" w:cs="Times New Roman"/>
          <w:b w:val="0"/>
          <w:bCs/>
          <w:color w:val="auto"/>
          <w:sz w:val="24"/>
          <w:szCs w:val="24"/>
          <w:lang w:eastAsia="zh-CN"/>
        </w:rPr>
        <w:t>施肥:</w:t>
      </w:r>
    </w:p>
    <w:p w14:paraId="6A7E7728">
      <w:pPr>
        <w:pageBreakBefore w:val="0"/>
        <w:kinsoku/>
        <w:wordWrap/>
        <w:topLinePunct w:val="0"/>
        <w:bidi w:val="0"/>
        <w:spacing w:line="440" w:lineRule="exact"/>
        <w:ind w:left="0" w:right="0" w:firstLine="240" w:firstLineChars="100"/>
        <w:jc w:val="both"/>
        <w:outlineLvl w:val="9"/>
        <w:rPr>
          <w:rFonts w:hint="default" w:ascii="宋体" w:hAnsi="宋体" w:eastAsia="宋体" w:cs="Times New Roman"/>
          <w:b w:val="0"/>
          <w:bCs/>
          <w:color w:val="auto"/>
          <w:sz w:val="24"/>
          <w:szCs w:val="24"/>
          <w:lang w:val="en-US" w:eastAsia="zh-CN"/>
        </w:rPr>
      </w:pPr>
      <w:r>
        <w:rPr>
          <w:rFonts w:hint="eastAsia" w:ascii="宋体" w:hAnsi="宋体" w:eastAsia="宋体" w:cs="Times New Roman"/>
          <w:b w:val="0"/>
          <w:bCs/>
          <w:color w:val="auto"/>
          <w:sz w:val="24"/>
          <w:szCs w:val="24"/>
          <w:lang w:val="en-US" w:eastAsia="zh-CN"/>
        </w:rPr>
        <w:t>①</w:t>
      </w:r>
      <w:r>
        <w:rPr>
          <w:rFonts w:hint="eastAsia" w:ascii="宋体" w:hAnsi="宋体" w:eastAsia="宋体" w:cs="Times New Roman"/>
          <w:b w:val="0"/>
          <w:bCs/>
          <w:color w:val="auto"/>
          <w:sz w:val="24"/>
          <w:szCs w:val="24"/>
          <w:lang w:eastAsia="zh-CN"/>
        </w:rPr>
        <w:t>草皮每年施复合肥3次（第1次春季返春肥吨；第2次夏秋季追肥；第3次冬季施肥）。</w:t>
      </w:r>
    </w:p>
    <w:p w14:paraId="2C36E1D6">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lang w:eastAsia="zh-CN"/>
        </w:rPr>
      </w:pPr>
      <w:r>
        <w:rPr>
          <w:rFonts w:hint="eastAsia" w:ascii="宋体" w:hAnsi="宋体" w:eastAsia="宋体" w:cs="Times New Roman"/>
          <w:b w:val="0"/>
          <w:bCs/>
          <w:color w:val="auto"/>
          <w:sz w:val="24"/>
          <w:szCs w:val="24"/>
          <w:lang w:val="en-US" w:eastAsia="zh-CN"/>
        </w:rPr>
        <w:t>②</w:t>
      </w:r>
      <w:r>
        <w:rPr>
          <w:rFonts w:hint="eastAsia" w:ascii="宋体" w:hAnsi="宋体" w:eastAsia="宋体" w:cs="Times New Roman"/>
          <w:b w:val="0"/>
          <w:bCs/>
          <w:color w:val="auto"/>
          <w:sz w:val="24"/>
          <w:szCs w:val="24"/>
          <w:lang w:eastAsia="zh-CN"/>
        </w:rPr>
        <w:t>每年松土1次，深度5--10cm，。</w:t>
      </w:r>
    </w:p>
    <w:p w14:paraId="0E38889F">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lang w:eastAsia="zh-CN"/>
        </w:rPr>
      </w:pPr>
      <w:r>
        <w:rPr>
          <w:rFonts w:hint="eastAsia" w:ascii="宋体" w:hAnsi="宋体" w:eastAsia="宋体" w:cs="Times New Roman"/>
          <w:b w:val="0"/>
          <w:bCs/>
          <w:color w:val="auto"/>
          <w:sz w:val="24"/>
          <w:szCs w:val="24"/>
          <w:lang w:val="en-US" w:eastAsia="zh-CN"/>
        </w:rPr>
        <w:t>③</w:t>
      </w:r>
      <w:r>
        <w:rPr>
          <w:rFonts w:hint="eastAsia" w:ascii="宋体" w:hAnsi="宋体" w:eastAsia="宋体" w:cs="Times New Roman"/>
          <w:b w:val="0"/>
          <w:bCs/>
          <w:color w:val="auto"/>
          <w:sz w:val="24"/>
          <w:szCs w:val="24"/>
          <w:lang w:eastAsia="zh-CN"/>
        </w:rPr>
        <w:t>乔灌木每年施复合肥2次。（第1次7-8月夏秋追肥；第2次冬季）。</w:t>
      </w:r>
    </w:p>
    <w:p w14:paraId="2967D970">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④</w:t>
      </w:r>
      <w:r>
        <w:rPr>
          <w:rFonts w:hint="eastAsia" w:ascii="宋体" w:hAnsi="宋体" w:eastAsia="宋体"/>
          <w:color w:val="auto"/>
          <w:sz w:val="24"/>
          <w:szCs w:val="24"/>
        </w:rPr>
        <w:t>每年冬季施改良土壤有机肥1次。</w:t>
      </w:r>
    </w:p>
    <w:p w14:paraId="519F1CA8">
      <w:pPr>
        <w:pageBreakBefore w:val="0"/>
        <w:kinsoku/>
        <w:wordWrap/>
        <w:topLinePunct w:val="0"/>
        <w:bidi w:val="0"/>
        <w:spacing w:line="440" w:lineRule="exact"/>
        <w:ind w:left="0" w:right="0" w:firstLine="480" w:firstLineChars="200"/>
        <w:jc w:val="both"/>
        <w:outlineLvl w:val="9"/>
        <w:rPr>
          <w:rFonts w:ascii="宋体" w:hAnsi="宋体" w:eastAsia="宋体"/>
          <w:color w:val="auto"/>
          <w:sz w:val="24"/>
          <w:szCs w:val="24"/>
        </w:rPr>
      </w:pP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3</w:t>
      </w:r>
      <w:r>
        <w:rPr>
          <w:rFonts w:hint="eastAsia" w:ascii="宋体" w:hAnsi="宋体" w:eastAsia="宋体"/>
          <w:color w:val="auto"/>
          <w:sz w:val="24"/>
          <w:szCs w:val="24"/>
          <w:lang w:eastAsia="zh-CN"/>
        </w:rPr>
        <w:t>）</w:t>
      </w:r>
      <w:r>
        <w:rPr>
          <w:rFonts w:hint="eastAsia" w:ascii="宋体" w:hAnsi="宋体" w:eastAsia="宋体"/>
          <w:color w:val="auto"/>
          <w:sz w:val="24"/>
          <w:szCs w:val="24"/>
        </w:rPr>
        <w:t>修剪:</w:t>
      </w:r>
    </w:p>
    <w:p w14:paraId="50CD3E3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①</w:t>
      </w:r>
      <w:r>
        <w:rPr>
          <w:rFonts w:hint="eastAsia" w:ascii="宋体" w:hAnsi="宋体" w:eastAsia="宋体"/>
          <w:color w:val="auto"/>
          <w:sz w:val="24"/>
          <w:szCs w:val="24"/>
        </w:rPr>
        <w:t>草皮适时修剪</w:t>
      </w:r>
      <w:r>
        <w:rPr>
          <w:rFonts w:hint="eastAsia" w:ascii="宋体" w:hAnsi="宋体" w:eastAsia="宋体"/>
          <w:color w:val="auto"/>
          <w:sz w:val="24"/>
          <w:szCs w:val="24"/>
          <w:lang w:eastAsia="zh-CN"/>
        </w:rPr>
        <w:t>，</w:t>
      </w:r>
      <w:r>
        <w:rPr>
          <w:rFonts w:hint="eastAsia" w:ascii="宋体" w:hAnsi="宋体" w:eastAsia="宋体"/>
          <w:color w:val="auto"/>
          <w:sz w:val="24"/>
          <w:szCs w:val="24"/>
        </w:rPr>
        <w:t>每年</w:t>
      </w:r>
      <w:r>
        <w:rPr>
          <w:rFonts w:hint="eastAsia" w:ascii="宋体" w:hAnsi="宋体" w:eastAsia="宋体"/>
          <w:color w:val="auto"/>
          <w:sz w:val="24"/>
          <w:szCs w:val="24"/>
          <w:lang w:eastAsia="zh-CN"/>
        </w:rPr>
        <w:t>至少</w:t>
      </w:r>
      <w:r>
        <w:rPr>
          <w:rFonts w:hint="eastAsia" w:ascii="宋体" w:hAnsi="宋体" w:eastAsia="宋体"/>
          <w:color w:val="auto"/>
          <w:sz w:val="24"/>
          <w:szCs w:val="24"/>
        </w:rPr>
        <w:t>修剪</w:t>
      </w:r>
      <w:r>
        <w:rPr>
          <w:rFonts w:hint="eastAsia" w:ascii="宋体" w:hAnsi="宋体" w:eastAsia="宋体"/>
          <w:color w:val="auto"/>
          <w:sz w:val="24"/>
          <w:szCs w:val="24"/>
          <w:lang w:val="en-US" w:eastAsia="zh-CN"/>
        </w:rPr>
        <w:t>3</w:t>
      </w:r>
      <w:r>
        <w:rPr>
          <w:rFonts w:hint="eastAsia" w:ascii="宋体" w:hAnsi="宋体" w:eastAsia="宋体"/>
          <w:color w:val="auto"/>
          <w:sz w:val="24"/>
          <w:szCs w:val="24"/>
        </w:rPr>
        <w:t>次。</w:t>
      </w:r>
    </w:p>
    <w:p w14:paraId="57A75242">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②</w:t>
      </w:r>
      <w:r>
        <w:rPr>
          <w:rFonts w:hint="eastAsia" w:ascii="宋体" w:hAnsi="宋体" w:eastAsia="宋体"/>
          <w:color w:val="auto"/>
          <w:sz w:val="24"/>
          <w:szCs w:val="24"/>
        </w:rPr>
        <w:t>乔灌木适时修剪。</w:t>
      </w:r>
    </w:p>
    <w:p w14:paraId="3C659C80">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③</w:t>
      </w:r>
      <w:r>
        <w:rPr>
          <w:rFonts w:hint="eastAsia" w:ascii="宋体" w:hAnsi="宋体" w:eastAsia="宋体"/>
          <w:color w:val="auto"/>
          <w:sz w:val="24"/>
          <w:szCs w:val="24"/>
        </w:rPr>
        <w:t>适时对</w:t>
      </w:r>
      <w:r>
        <w:rPr>
          <w:rFonts w:hint="eastAsia" w:ascii="宋体" w:hAnsi="宋体" w:eastAsia="宋体"/>
          <w:color w:val="0000FF"/>
          <w:sz w:val="24"/>
          <w:szCs w:val="24"/>
          <w:highlight w:val="yellow"/>
        </w:rPr>
        <w:t>大型乔木</w:t>
      </w:r>
      <w:r>
        <w:rPr>
          <w:rFonts w:hint="eastAsia" w:ascii="宋体" w:hAnsi="宋体" w:eastAsia="宋体"/>
          <w:color w:val="auto"/>
          <w:sz w:val="24"/>
          <w:szCs w:val="24"/>
        </w:rPr>
        <w:t>进行斩根，以减少根系对路沿石、路面、墙体造成破坏。</w:t>
      </w:r>
    </w:p>
    <w:p w14:paraId="127CD616">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（4）病虫害防治:</w:t>
      </w:r>
    </w:p>
    <w:p w14:paraId="33CD06E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①根据根据不同病虫害发生规律,预防为主、综合治理，适时对病虫害进行监控及防治。</w:t>
      </w:r>
    </w:p>
    <w:p w14:paraId="2AD8D2A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②根据情况进行杀虫作业，保证植株健壮，无明显生理性病症。</w:t>
      </w:r>
    </w:p>
    <w:p w14:paraId="507504B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（5）做好日常养护工作，及时浇水，及时清扫并运走绿地上的枯枝落叶及杂物（绿化带内的垃圾清理属绿化养护范围），及时拔除杂草，保证绿地的整洁、美观。同时保证人工湖湖面清洁。</w:t>
      </w:r>
    </w:p>
    <w:p w14:paraId="53DFF4F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 乙方应对养护范围内的大型植物进行特殊的护理，保证其不干不涝、不缺肥等，长势良好。</w:t>
      </w:r>
    </w:p>
    <w:p w14:paraId="534B15C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cs="宋体"/>
          <w:color w:val="auto"/>
          <w:sz w:val="24"/>
          <w:szCs w:val="24"/>
          <w:lang w:val="en-US" w:eastAsia="zh-CN"/>
        </w:rPr>
        <w:t>养护</w:t>
      </w:r>
      <w:r>
        <w:rPr>
          <w:rFonts w:hint="eastAsia" w:ascii="宋体" w:hAnsi="宋体" w:eastAsia="宋体" w:cs="宋体"/>
          <w:color w:val="auto"/>
          <w:sz w:val="24"/>
          <w:szCs w:val="24"/>
          <w:lang w:val="en-US" w:eastAsia="zh-CN"/>
        </w:rPr>
        <w:t>范围内的高价值树种（包括但不限于高杆加拿利海枣、榕树、香樟、金桂、银杏等）按特殊树种进行养护。</w:t>
      </w:r>
    </w:p>
    <w:p w14:paraId="5178191F">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（8）冬季对乔木底部进行刷白处理。</w:t>
      </w:r>
    </w:p>
    <w:p w14:paraId="27957E8C">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（9）绿地与道路边缘要修整出边沟。</w:t>
      </w:r>
    </w:p>
    <w:p w14:paraId="02D819C8">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2.草坪养护要求：生长旺盛，无黄化现象，无杂草、无斑秃、无裸露地面，杂草率低于5%。</w:t>
      </w:r>
    </w:p>
    <w:p w14:paraId="5DB5AA3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乔木养护要求：生长旺盛，枝干健壮，树形美观，无倾斜、倒歪现象；高大乔木在大风来临时应采取防倒有效措施，因台风等灾害天气造成树木倒伏时，应及时扶正支撑倒伏树木；因极端天气（如低温冻害天气）来临时提前做好防护措施，因极端天气过后造成的枯枝落叶及时修剪清除。</w:t>
      </w:r>
    </w:p>
    <w:p w14:paraId="06EE6F7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4.灌木养护要求：生长旺盛，花繁叶茂，造型美观。灌木无残缺，绿篱无断层；灌木丛中无垃圾、无病枝枯枝和落叶堆积，无厚重粉尘覆盖。</w:t>
      </w:r>
    </w:p>
    <w:p w14:paraId="13706E8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5其他要求</w:t>
      </w:r>
    </w:p>
    <w:p w14:paraId="1DCEF48E">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使用的绿化养护药品必须是以安全、环保、微毒为主的环保生物杀虫剂。</w:t>
      </w:r>
    </w:p>
    <w:p w14:paraId="6AB83DF7">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（2）施</w:t>
      </w:r>
      <w:r>
        <w:rPr>
          <w:rFonts w:hint="eastAsia" w:ascii="宋体" w:hAnsi="宋体" w:eastAsia="宋体"/>
          <w:color w:val="auto"/>
          <w:sz w:val="24"/>
          <w:szCs w:val="24"/>
        </w:rPr>
        <w:t>肥时</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应先</w:t>
      </w:r>
      <w:r>
        <w:rPr>
          <w:rFonts w:hint="eastAsia" w:ascii="宋体" w:hAnsi="宋体" w:eastAsia="宋体"/>
          <w:color w:val="auto"/>
          <w:sz w:val="24"/>
          <w:szCs w:val="24"/>
          <w:lang w:val="en-US" w:eastAsia="zh-CN"/>
        </w:rPr>
        <w:t>将肥料类型上报甲方</w:t>
      </w:r>
      <w:r>
        <w:rPr>
          <w:rFonts w:hint="eastAsia" w:ascii="宋体" w:hAnsi="宋体" w:eastAsia="宋体"/>
          <w:color w:val="auto"/>
          <w:sz w:val="24"/>
          <w:szCs w:val="24"/>
        </w:rPr>
        <w:t>，由</w:t>
      </w:r>
      <w:r>
        <w:rPr>
          <w:rFonts w:hint="eastAsia" w:ascii="宋体" w:hAnsi="宋体" w:eastAsia="宋体"/>
          <w:color w:val="auto"/>
          <w:sz w:val="24"/>
          <w:szCs w:val="24"/>
          <w:lang w:val="en-US" w:eastAsia="zh-CN"/>
        </w:rPr>
        <w:t>甲方</w:t>
      </w:r>
      <w:r>
        <w:rPr>
          <w:rFonts w:hint="eastAsia" w:ascii="宋体" w:hAnsi="宋体" w:eastAsia="宋体"/>
          <w:color w:val="auto"/>
          <w:sz w:val="24"/>
          <w:szCs w:val="24"/>
        </w:rPr>
        <w:t xml:space="preserve">确定后方可施工； </w:t>
      </w:r>
    </w:p>
    <w:p w14:paraId="0A88490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应如实填写《绿地养护工作日志》</w:t>
      </w:r>
      <w:r>
        <w:rPr>
          <w:rFonts w:hint="eastAsia" w:ascii="宋体" w:hAnsi="宋体" w:eastAsia="宋体"/>
          <w:color w:val="auto"/>
          <w:sz w:val="24"/>
          <w:szCs w:val="24"/>
          <w:lang w:eastAsia="zh-CN"/>
        </w:rPr>
        <w:t>，日志必须记录详实（含并不限作业人数、作业内容，</w:t>
      </w:r>
      <w:r>
        <w:rPr>
          <w:rFonts w:hint="eastAsia" w:ascii="宋体" w:hAnsi="宋体" w:eastAsia="宋体"/>
          <w:color w:val="auto"/>
          <w:sz w:val="24"/>
          <w:szCs w:val="24"/>
        </w:rPr>
        <w:t>按月提供给</w:t>
      </w:r>
      <w:r>
        <w:rPr>
          <w:rFonts w:hint="eastAsia" w:ascii="宋体" w:hAnsi="宋体" w:eastAsia="宋体"/>
          <w:color w:val="auto"/>
          <w:sz w:val="24"/>
          <w:szCs w:val="24"/>
          <w:lang w:eastAsia="zh-CN"/>
        </w:rPr>
        <w:t>甲方）</w:t>
      </w:r>
      <w:r>
        <w:rPr>
          <w:rFonts w:hint="eastAsia" w:ascii="宋体" w:hAnsi="宋体" w:eastAsia="宋体"/>
          <w:color w:val="auto"/>
          <w:sz w:val="24"/>
          <w:szCs w:val="24"/>
        </w:rPr>
        <w:t>。</w:t>
      </w:r>
    </w:p>
    <w:p w14:paraId="6C4F3EF6">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s="Times New Roman"/>
          <w:b w:val="0"/>
          <w:bCs/>
          <w:color w:val="auto"/>
          <w:sz w:val="24"/>
          <w:szCs w:val="24"/>
          <w:lang w:eastAsia="zh-CN"/>
        </w:rPr>
        <w:t>（</w:t>
      </w:r>
      <w:r>
        <w:rPr>
          <w:rFonts w:hint="eastAsia" w:ascii="宋体" w:hAnsi="宋体" w:eastAsia="宋体" w:cs="Times New Roman"/>
          <w:b w:val="0"/>
          <w:bCs/>
          <w:color w:val="auto"/>
          <w:sz w:val="24"/>
          <w:szCs w:val="24"/>
          <w:lang w:val="en-US" w:eastAsia="zh-CN"/>
        </w:rPr>
        <w:t>4</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需对员工做好相关方安全等管理培训。</w:t>
      </w:r>
    </w:p>
    <w:p w14:paraId="15CC3886">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rPr>
      </w:pPr>
      <w:r>
        <w:rPr>
          <w:rFonts w:hint="eastAsia" w:ascii="宋体" w:hAnsi="宋体" w:eastAsia="宋体"/>
          <w:color w:val="auto"/>
          <w:sz w:val="24"/>
          <w:szCs w:val="24"/>
          <w:lang w:val="en-US" w:eastAsia="zh-CN"/>
        </w:rPr>
        <w:t>（5）</w:t>
      </w:r>
      <w:r>
        <w:rPr>
          <w:rFonts w:hint="eastAsia" w:ascii="宋体" w:hAnsi="宋体" w:eastAsia="宋体"/>
          <w:color w:val="auto"/>
          <w:sz w:val="24"/>
          <w:szCs w:val="24"/>
        </w:rPr>
        <w:t>在杀虫前，</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应事先通知</w:t>
      </w:r>
      <w:r>
        <w:rPr>
          <w:rFonts w:hint="eastAsia" w:ascii="宋体" w:hAnsi="宋体" w:eastAsia="宋体"/>
          <w:color w:val="auto"/>
          <w:sz w:val="24"/>
          <w:szCs w:val="24"/>
          <w:lang w:eastAsia="zh-CN"/>
        </w:rPr>
        <w:t>甲方</w:t>
      </w:r>
      <w:r>
        <w:rPr>
          <w:rFonts w:hint="eastAsia" w:ascii="宋体" w:hAnsi="宋体" w:eastAsia="宋体"/>
          <w:color w:val="auto"/>
          <w:sz w:val="24"/>
          <w:szCs w:val="24"/>
        </w:rPr>
        <w:t>，经</w:t>
      </w:r>
      <w:r>
        <w:rPr>
          <w:rFonts w:hint="eastAsia" w:ascii="宋体" w:hAnsi="宋体" w:eastAsia="宋体"/>
          <w:color w:val="auto"/>
          <w:sz w:val="24"/>
          <w:szCs w:val="24"/>
          <w:lang w:eastAsia="zh-CN"/>
        </w:rPr>
        <w:t>甲方</w:t>
      </w:r>
      <w:r>
        <w:rPr>
          <w:rFonts w:hint="eastAsia" w:ascii="宋体" w:hAnsi="宋体" w:eastAsia="宋体"/>
          <w:color w:val="auto"/>
          <w:sz w:val="24"/>
          <w:szCs w:val="24"/>
        </w:rPr>
        <w:t>同意后方可杀虫喷药。另喷洒杀虫剂时应特别注意风向，防止对周边的污染。</w:t>
      </w:r>
    </w:p>
    <w:p w14:paraId="72D54317">
      <w:pPr>
        <w:pageBreakBefore w:val="0"/>
        <w:widowControl w:val="0"/>
        <w:kinsoku/>
        <w:wordWrap/>
        <w:topLinePunct w:val="0"/>
        <w:bidi w:val="0"/>
        <w:spacing w:line="440" w:lineRule="exact"/>
        <w:ind w:left="0" w:right="0" w:firstLine="240" w:firstLineChars="100"/>
        <w:jc w:val="both"/>
        <w:outlineLvl w:val="9"/>
        <w:rPr>
          <w:rFonts w:hint="default" w:ascii="Calibri" w:hAnsi="Calibri" w:eastAsia="宋体" w:cs="Arial"/>
          <w:kern w:val="2"/>
          <w:sz w:val="24"/>
          <w:szCs w:val="24"/>
          <w:highlight w:val="yellow"/>
          <w:lang w:val="en-US" w:eastAsia="zh-CN" w:bidi="ar-SA"/>
        </w:rPr>
      </w:pPr>
      <w:r>
        <w:rPr>
          <w:rFonts w:hint="eastAsia" w:ascii="宋体" w:hAnsi="宋体" w:eastAsia="宋体" w:cs="Arial"/>
          <w:color w:val="auto"/>
          <w:kern w:val="2"/>
          <w:sz w:val="24"/>
          <w:szCs w:val="24"/>
          <w:highlight w:val="yellow"/>
          <w:lang w:val="en-US" w:eastAsia="zh-CN" w:bidi="ar-SA"/>
        </w:rPr>
        <w:t>（6）乙方</w:t>
      </w:r>
      <w:r>
        <w:rPr>
          <w:rFonts w:hint="eastAsia" w:ascii="宋体" w:hAnsi="宋体" w:eastAsia="宋体" w:cs="宋体"/>
          <w:color w:val="auto"/>
          <w:kern w:val="2"/>
          <w:sz w:val="24"/>
          <w:szCs w:val="24"/>
          <w:highlight w:val="yellow"/>
          <w:lang w:val="en-US" w:eastAsia="zh-CN" w:bidi="ar-SA"/>
        </w:rPr>
        <w:t>须具备：小货车一部、草坪机一部、绿篱机一部、浇灌类作业车一部、喷药机一部、打孔机一部等设备。</w:t>
      </w:r>
    </w:p>
    <w:p w14:paraId="39A3BA95">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rPr>
      </w:pPr>
      <w:r>
        <w:rPr>
          <w:rFonts w:hint="eastAsia" w:ascii="宋体" w:hAnsi="宋体" w:eastAsia="宋体"/>
          <w:color w:val="auto"/>
          <w:sz w:val="24"/>
          <w:szCs w:val="24"/>
          <w:lang w:val="en-US" w:eastAsia="zh-CN"/>
        </w:rPr>
        <w:t>（7）</w:t>
      </w:r>
      <w:r>
        <w:rPr>
          <w:rFonts w:hint="eastAsia" w:ascii="宋体" w:hAnsi="宋体" w:eastAsia="宋体"/>
          <w:color w:val="auto"/>
          <w:sz w:val="24"/>
          <w:szCs w:val="24"/>
        </w:rPr>
        <w:t>遇应急任务时，</w:t>
      </w:r>
      <w:r>
        <w:rPr>
          <w:rFonts w:hint="eastAsia" w:ascii="宋体" w:hAnsi="宋体" w:eastAsia="宋体" w:cs="Times New Roman"/>
          <w:b w:val="0"/>
          <w:bCs/>
          <w:color w:val="auto"/>
          <w:sz w:val="24"/>
          <w:szCs w:val="24"/>
          <w:lang w:eastAsia="zh-CN"/>
        </w:rPr>
        <w:t>乙方</w:t>
      </w:r>
      <w:r>
        <w:rPr>
          <w:rFonts w:hint="eastAsia" w:ascii="宋体" w:hAnsi="宋体" w:eastAsia="宋体"/>
          <w:color w:val="auto"/>
          <w:sz w:val="24"/>
          <w:szCs w:val="24"/>
        </w:rPr>
        <w:t>应无条件服从</w:t>
      </w:r>
      <w:r>
        <w:rPr>
          <w:rFonts w:hint="eastAsia" w:ascii="宋体" w:hAnsi="宋体" w:eastAsia="宋体"/>
          <w:color w:val="auto"/>
          <w:sz w:val="24"/>
          <w:szCs w:val="24"/>
          <w:lang w:val="en-US" w:eastAsia="zh-CN"/>
        </w:rPr>
        <w:t>甲方</w:t>
      </w:r>
      <w:r>
        <w:rPr>
          <w:rFonts w:hint="eastAsia" w:ascii="宋体" w:hAnsi="宋体" w:eastAsia="宋体"/>
          <w:color w:val="auto"/>
          <w:sz w:val="24"/>
          <w:szCs w:val="24"/>
        </w:rPr>
        <w:t>安排协助工作，不另计费。</w:t>
      </w:r>
    </w:p>
    <w:p w14:paraId="476E8D56">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（8）甲方定期对养护质量进行考核评定，不合格将扣罚违约金。</w:t>
      </w:r>
    </w:p>
    <w:p w14:paraId="637D0B09">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s="宋体"/>
          <w:b w:val="0"/>
          <w:bCs/>
          <w:color w:val="000000"/>
          <w:kern w:val="2"/>
          <w:sz w:val="24"/>
          <w:szCs w:val="24"/>
          <w:lang w:val="en-US" w:eastAsia="zh-CN" w:bidi="ar-SA"/>
        </w:rPr>
      </w:pPr>
      <w:r>
        <w:rPr>
          <w:rFonts w:hint="eastAsia" w:ascii="宋体" w:hAnsi="宋体" w:eastAsia="宋体" w:cs="宋体"/>
          <w:b w:val="0"/>
          <w:bCs/>
          <w:color w:val="000000"/>
          <w:kern w:val="2"/>
          <w:sz w:val="24"/>
          <w:szCs w:val="24"/>
          <w:lang w:val="en-US" w:eastAsia="zh-CN" w:bidi="ar-SA"/>
        </w:rPr>
        <w:t>6.人员要求</w:t>
      </w:r>
    </w:p>
    <w:p w14:paraId="586D4CC9">
      <w:pPr>
        <w:pageBreakBefore w:val="0"/>
        <w:kinsoku/>
        <w:wordWrap/>
        <w:topLinePunct w:val="0"/>
        <w:bidi w:val="0"/>
        <w:spacing w:line="440" w:lineRule="exact"/>
        <w:ind w:left="0" w:leftChars="0" w:right="0" w:rightChars="0" w:firstLine="240" w:firstLineChars="100"/>
        <w:jc w:val="both"/>
        <w:textAlignment w:val="auto"/>
        <w:outlineLvl w:val="9"/>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（1）乙方必须按劳动法规定聘请各绿化养护工作人员，保证合法合规用工。男员工年龄≤60周岁，女员工年龄≤55周岁。为员工购买团体意外伤害保险，优先选择原有团队人员</w:t>
      </w:r>
      <w:r>
        <w:rPr>
          <w:rFonts w:hint="eastAsia" w:ascii="宋体" w:hAnsi="宋体" w:eastAsia="宋体" w:cs="宋体"/>
          <w:b w:val="0"/>
          <w:bCs/>
          <w:color w:val="0000FF"/>
          <w:kern w:val="2"/>
          <w:sz w:val="24"/>
          <w:szCs w:val="24"/>
          <w:lang w:val="en-US" w:eastAsia="zh-CN" w:bidi="ar-SA"/>
        </w:rPr>
        <w:t>，费用由乙方自行承担</w:t>
      </w:r>
      <w:r>
        <w:rPr>
          <w:rFonts w:hint="eastAsia" w:ascii="宋体" w:hAnsi="宋体" w:eastAsia="宋体" w:cs="宋体"/>
          <w:b w:val="0"/>
          <w:bCs/>
          <w:color w:val="auto"/>
          <w:kern w:val="2"/>
          <w:sz w:val="24"/>
          <w:szCs w:val="24"/>
          <w:lang w:val="en-US" w:eastAsia="zh-CN" w:bidi="ar-SA"/>
        </w:rPr>
        <w:t>。</w:t>
      </w:r>
    </w:p>
    <w:p w14:paraId="6ECE877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color w:val="auto"/>
          <w:spacing w:val="0"/>
          <w:kern w:val="0"/>
          <w:sz w:val="24"/>
          <w:szCs w:val="24"/>
          <w:lang w:val="en-US" w:eastAsia="zh-CN" w:bidi="ar-SA"/>
        </w:rPr>
      </w:pPr>
      <w:r>
        <w:rPr>
          <w:rFonts w:hint="eastAsia" w:ascii="宋体" w:hAnsi="宋体" w:eastAsia="宋体" w:cs="宋体"/>
          <w:color w:val="auto"/>
          <w:kern w:val="2"/>
          <w:sz w:val="24"/>
          <w:szCs w:val="24"/>
          <w:lang w:val="en-US" w:eastAsia="zh-CN" w:bidi="ar-SA"/>
        </w:rPr>
        <w:t>（2）乙方</w:t>
      </w:r>
      <w:r>
        <w:rPr>
          <w:rFonts w:hint="eastAsia" w:ascii="宋体" w:hAnsi="宋体" w:eastAsia="宋体" w:cs="宋体"/>
          <w:color w:val="auto"/>
          <w:spacing w:val="0"/>
          <w:kern w:val="0"/>
          <w:sz w:val="24"/>
          <w:szCs w:val="24"/>
          <w:lang w:val="en-US" w:eastAsia="zh-CN" w:bidi="ar-SA"/>
        </w:rPr>
        <w:t>设立项目负责人，具备绿化养护相关经验，负责各小区绿化养护问题的协调及处理，遇突发情况（如政府检查）需在接到通知2小时内抵达现场进行绿化处理。</w:t>
      </w:r>
    </w:p>
    <w:p w14:paraId="7FEC810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kern w:val="2"/>
          <w:sz w:val="24"/>
          <w:szCs w:val="24"/>
          <w:highlight w:val="none"/>
          <w:lang w:val="en-US" w:eastAsia="zh-CN" w:bidi="ar-SA"/>
        </w:rPr>
        <w:t>7.</w:t>
      </w:r>
      <w:r>
        <w:rPr>
          <w:rFonts w:hint="eastAsia" w:ascii="宋体" w:hAnsi="宋体" w:eastAsia="宋体" w:cs="宋体"/>
          <w:b/>
          <w:bCs/>
          <w:color w:val="auto"/>
          <w:sz w:val="24"/>
          <w:szCs w:val="24"/>
          <w:highlight w:val="none"/>
          <w:lang w:val="en-US" w:eastAsia="zh-CN"/>
        </w:rPr>
        <w:t>日常绿化养护方案</w:t>
      </w:r>
      <w:r>
        <w:rPr>
          <w:rFonts w:hint="eastAsia" w:ascii="宋体" w:hAnsi="宋体" w:eastAsia="宋体" w:cs="宋体"/>
          <w:b w:val="0"/>
          <w:bCs w:val="0"/>
          <w:color w:val="auto"/>
          <w:sz w:val="24"/>
          <w:szCs w:val="24"/>
          <w:highlight w:val="none"/>
          <w:lang w:val="en-US" w:eastAsia="zh-CN"/>
        </w:rPr>
        <w:t>：乙方应提供针对本项目的日常绿化养护方案(含并不限于工作计划、养护方法、技术措施、人员设备配备、农药化肥使用管理等)。</w:t>
      </w:r>
    </w:p>
    <w:p w14:paraId="7CDC9737">
      <w:pPr>
        <w:pageBreakBefore w:val="0"/>
        <w:widowControl w:val="0"/>
        <w:kinsoku/>
        <w:wordWrap/>
        <w:overflowPunct/>
        <w:topLinePunct w:val="0"/>
        <w:autoSpaceDE/>
        <w:autoSpaceDN/>
        <w:bidi w:val="0"/>
        <w:adjustRightInd/>
        <w:snapToGrid/>
        <w:spacing w:before="0" w:after="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病虫害预防治理方案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应提供</w:t>
      </w:r>
      <w:r>
        <w:rPr>
          <w:rFonts w:hint="eastAsia" w:ascii="宋体" w:hAnsi="宋体" w:eastAsia="宋体" w:cs="宋体"/>
          <w:b w:val="0"/>
          <w:bCs w:val="0"/>
          <w:color w:val="auto"/>
          <w:sz w:val="24"/>
          <w:szCs w:val="24"/>
          <w:highlight w:val="none"/>
        </w:rPr>
        <w:t>针对本项目的</w:t>
      </w:r>
      <w:r>
        <w:rPr>
          <w:rFonts w:hint="eastAsia" w:ascii="宋体" w:hAnsi="宋体" w:eastAsia="宋体" w:cs="宋体"/>
          <w:b w:val="0"/>
          <w:bCs w:val="0"/>
          <w:color w:val="auto"/>
          <w:sz w:val="24"/>
          <w:szCs w:val="24"/>
          <w:highlight w:val="none"/>
          <w:lang w:eastAsia="zh-CN"/>
        </w:rPr>
        <w:t>病虫害预防治理方案。</w:t>
      </w:r>
    </w:p>
    <w:p w14:paraId="632DFD45">
      <w:pPr>
        <w:pageBreakBefore w:val="0"/>
        <w:widowControl w:val="0"/>
        <w:kinsoku/>
        <w:wordWrap/>
        <w:overflowPunct/>
        <w:topLinePunct w:val="0"/>
        <w:autoSpaceDE/>
        <w:autoSpaceDN/>
        <w:bidi w:val="0"/>
        <w:adjustRightInd/>
        <w:snapToGrid/>
        <w:spacing w:line="440" w:lineRule="exact"/>
        <w:ind w:left="0" w:right="0" w:firstLine="241" w:firstLineChars="100"/>
        <w:jc w:val="both"/>
        <w:textAlignment w:val="auto"/>
        <w:outlineLvl w:val="9"/>
        <w:rPr>
          <w:rFonts w:hint="eastAsia" w:eastAsia="宋体"/>
          <w:highlight w:val="none"/>
          <w:lang w:val="en-US" w:eastAsia="zh-CN"/>
        </w:rPr>
      </w:pPr>
      <w:r>
        <w:rPr>
          <w:rFonts w:hint="eastAsia" w:ascii="宋体" w:hAnsi="宋体" w:eastAsia="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eastAsia="zh-CN"/>
        </w:rPr>
        <w:t>极端天气养护方案及应急预案</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乙方</w:t>
      </w:r>
      <w:r>
        <w:rPr>
          <w:rFonts w:hint="eastAsia" w:ascii="宋体" w:hAnsi="宋体" w:eastAsia="宋体" w:cs="宋体"/>
          <w:b w:val="0"/>
          <w:bCs w:val="0"/>
          <w:color w:val="auto"/>
          <w:sz w:val="24"/>
          <w:szCs w:val="24"/>
          <w:highlight w:val="none"/>
          <w:lang w:eastAsia="zh-CN"/>
        </w:rPr>
        <w:t>应提供</w:t>
      </w:r>
      <w:r>
        <w:rPr>
          <w:rFonts w:hint="eastAsia" w:ascii="宋体" w:hAnsi="宋体" w:eastAsia="宋体" w:cs="宋体"/>
          <w:b w:val="0"/>
          <w:bCs w:val="0"/>
          <w:color w:val="auto"/>
          <w:sz w:val="24"/>
          <w:szCs w:val="24"/>
          <w:highlight w:val="none"/>
        </w:rPr>
        <w:t>针对本</w:t>
      </w:r>
      <w:r>
        <w:rPr>
          <w:rFonts w:hint="eastAsia" w:ascii="宋体" w:hAnsi="宋体" w:eastAsia="宋体" w:cs="宋体"/>
          <w:b w:val="0"/>
          <w:bCs w:val="0"/>
          <w:color w:val="auto"/>
          <w:sz w:val="24"/>
          <w:szCs w:val="24"/>
          <w:highlight w:val="none"/>
          <w:lang w:val="en-US" w:eastAsia="zh-CN" w:bidi="ar-SA"/>
        </w:rPr>
        <w:t>项目的极端天气养护方案及应急预案。</w:t>
      </w:r>
    </w:p>
    <w:p w14:paraId="7809FD84">
      <w:pPr>
        <w:pStyle w:val="11"/>
        <w:pageBreakBefore w:val="0"/>
        <w:kinsoku/>
        <w:wordWrap/>
        <w:overflowPunct/>
        <w:topLinePunct w:val="0"/>
        <w:autoSpaceDE/>
        <w:autoSpaceDN/>
        <w:bidi w:val="0"/>
        <w:adjustRightInd/>
        <w:snapToGrid/>
        <w:spacing w:beforeAutospacing="0" w:afterAutospacing="0" w:line="440" w:lineRule="exact"/>
        <w:ind w:right="0" w:rightChars="0" w:firstLine="241" w:firstLineChars="100"/>
        <w:jc w:val="both"/>
        <w:textAlignment w:val="auto"/>
        <w:outlineLvl w:val="9"/>
        <w:rPr>
          <w:rFonts w:hint="eastAsia" w:ascii="宋体" w:hAnsi="宋体" w:eastAsia="宋体" w:cs="宋体"/>
          <w:b/>
          <w:bCs/>
          <w:color w:val="000000"/>
          <w:sz w:val="24"/>
          <w:szCs w:val="24"/>
        </w:rPr>
      </w:pPr>
      <w:r>
        <w:rPr>
          <w:rFonts w:hint="eastAsia" w:ascii="宋体" w:hAnsi="宋体" w:eastAsia="宋体" w:cs="Times New Roman"/>
          <w:b/>
          <w:bCs/>
          <w:color w:val="auto"/>
          <w:sz w:val="24"/>
          <w:szCs w:val="24"/>
          <w:lang w:val="en-US" w:eastAsia="zh-CN"/>
        </w:rPr>
        <w:t>10.</w:t>
      </w:r>
      <w:r>
        <w:rPr>
          <w:rFonts w:hint="eastAsia" w:ascii="宋体" w:hAnsi="宋体" w:eastAsia="宋体" w:cs="宋体"/>
          <w:b/>
          <w:bCs/>
          <w:color w:val="000000"/>
          <w:sz w:val="24"/>
          <w:szCs w:val="24"/>
          <w:lang w:eastAsia="zh-CN"/>
        </w:rPr>
        <w:t>绿化服务</w:t>
      </w:r>
      <w:r>
        <w:rPr>
          <w:rFonts w:hint="eastAsia" w:ascii="宋体" w:hAnsi="宋体" w:eastAsia="宋体" w:cs="宋体"/>
          <w:b/>
          <w:bCs/>
          <w:color w:val="000000"/>
          <w:sz w:val="24"/>
          <w:szCs w:val="24"/>
        </w:rPr>
        <w:t>质量考核管理办法</w:t>
      </w:r>
    </w:p>
    <w:p w14:paraId="56F43B0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lang w:val="en-US" w:eastAsia="zh-CN"/>
        </w:rPr>
        <w:t>甲方</w:t>
      </w:r>
      <w:r>
        <w:rPr>
          <w:rFonts w:hint="eastAsia" w:ascii="宋体" w:hAnsi="宋体" w:eastAsia="宋体" w:cs="宋体"/>
          <w:b w:val="0"/>
          <w:bCs/>
          <w:color w:val="000000"/>
          <w:sz w:val="24"/>
          <w:szCs w:val="24"/>
        </w:rPr>
        <w:t>将根据</w:t>
      </w:r>
      <w:r>
        <w:rPr>
          <w:rFonts w:hint="eastAsia" w:ascii="宋体" w:hAnsi="宋体" w:eastAsia="宋体" w:cs="宋体"/>
          <w:b w:val="0"/>
          <w:bCs/>
          <w:color w:val="000000"/>
          <w:sz w:val="24"/>
          <w:szCs w:val="24"/>
          <w:lang w:eastAsia="zh-CN"/>
        </w:rPr>
        <w:t>物业</w:t>
      </w:r>
      <w:r>
        <w:rPr>
          <w:rFonts w:hint="eastAsia" w:ascii="宋体" w:hAnsi="宋体" w:eastAsia="宋体" w:cs="宋体"/>
          <w:b w:val="0"/>
          <w:bCs/>
          <w:color w:val="000000"/>
          <w:sz w:val="24"/>
          <w:szCs w:val="24"/>
        </w:rPr>
        <w:t>相关管理规定对绿化养护服务整体情况进行考评。检查分为</w:t>
      </w:r>
      <w:r>
        <w:rPr>
          <w:rFonts w:hint="eastAsia" w:ascii="宋体" w:hAnsi="宋体" w:eastAsia="宋体" w:cs="宋体"/>
          <w:b w:val="0"/>
          <w:bCs/>
          <w:color w:val="000000"/>
          <w:sz w:val="24"/>
          <w:szCs w:val="24"/>
          <w:lang w:eastAsia="zh-CN"/>
        </w:rPr>
        <w:t>季度</w:t>
      </w:r>
      <w:r>
        <w:rPr>
          <w:rFonts w:hint="eastAsia" w:ascii="宋体" w:hAnsi="宋体" w:eastAsia="宋体" w:cs="宋体"/>
          <w:b w:val="0"/>
          <w:bCs/>
          <w:color w:val="000000"/>
          <w:sz w:val="24"/>
          <w:szCs w:val="24"/>
        </w:rPr>
        <w:t>检查及抽查。检查考核的结果将作为对</w:t>
      </w:r>
      <w:r>
        <w:rPr>
          <w:rFonts w:hint="eastAsia" w:ascii="宋体" w:hAnsi="宋体" w:eastAsia="宋体" w:cs="宋体"/>
          <w:b w:val="0"/>
          <w:bCs/>
          <w:color w:val="000000"/>
          <w:sz w:val="24"/>
          <w:szCs w:val="24"/>
          <w:lang w:eastAsia="zh-CN"/>
        </w:rPr>
        <w:t>乙方</w:t>
      </w:r>
      <w:r>
        <w:rPr>
          <w:rFonts w:hint="eastAsia" w:ascii="宋体" w:hAnsi="宋体" w:eastAsia="宋体" w:cs="宋体"/>
          <w:b w:val="0"/>
          <w:bCs/>
          <w:color w:val="000000"/>
          <w:sz w:val="24"/>
          <w:szCs w:val="24"/>
        </w:rPr>
        <w:t>的养护质量评价、合同价款支付以及其他奖惩的依据。</w:t>
      </w:r>
    </w:p>
    <w:p w14:paraId="1EA07FDB">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center"/>
        <w:textAlignment w:val="auto"/>
        <w:outlineLvl w:val="9"/>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lang w:val="en-US" w:eastAsia="zh-CN" w:bidi="ar"/>
        </w:rPr>
        <w:t>绿化养护工作季度考核表</w:t>
      </w:r>
    </w:p>
    <w:p w14:paraId="0199E004">
      <w:pPr>
        <w:keepNext w:val="0"/>
        <w:keepLines w:val="0"/>
        <w:pageBreakBefore w:val="0"/>
        <w:widowControl w:val="0"/>
        <w:suppressLineNumbers w:val="0"/>
        <w:kinsoku/>
        <w:wordWrap/>
        <w:topLinePunct w:val="0"/>
        <w:bidi w:val="0"/>
        <w:spacing w:beforeAutospacing="0" w:afterAutospacing="0" w:line="440" w:lineRule="exact"/>
        <w:ind w:left="0" w:leftChars="0" w:right="0" w:rightChars="0" w:firstLine="482" w:firstLineChars="200"/>
        <w:jc w:val="both"/>
        <w:textAlignment w:val="auto"/>
        <w:outlineLvl w:val="9"/>
        <w:rPr>
          <w:rFonts w:hint="eastAsia" w:ascii="宋体" w:hAnsi="宋体" w:eastAsia="宋体" w:cs="宋体"/>
          <w:bCs/>
          <w:color w:val="000000"/>
          <w:kern w:val="2"/>
          <w:sz w:val="24"/>
          <w:szCs w:val="24"/>
        </w:rPr>
      </w:pP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 xml:space="preserve"> 项目            </w:t>
      </w:r>
      <w:r>
        <w:rPr>
          <w:rFonts w:hint="eastAsia" w:ascii="宋体" w:hAnsi="宋体" w:eastAsia="宋体" w:cs="宋体"/>
          <w:b/>
          <w:color w:val="000000"/>
          <w:kern w:val="0"/>
          <w:sz w:val="24"/>
          <w:szCs w:val="24"/>
          <w:lang w:eastAsia="zh-CN" w:bidi="ar"/>
        </w:rPr>
        <w:t xml:space="preserve">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年</w:t>
      </w:r>
      <w:r>
        <w:rPr>
          <w:rFonts w:hint="eastAsia" w:ascii="宋体" w:hAnsi="宋体" w:eastAsia="宋体" w:cs="宋体"/>
          <w:b/>
          <w:color w:val="000000"/>
          <w:kern w:val="0"/>
          <w:sz w:val="24"/>
          <w:szCs w:val="24"/>
          <w:u w:val="single"/>
          <w:lang w:val="en-US" w:eastAsia="zh-CN" w:bidi="ar"/>
        </w:rPr>
        <w:t xml:space="preserve">       </w:t>
      </w:r>
      <w:r>
        <w:rPr>
          <w:rFonts w:hint="eastAsia" w:ascii="宋体" w:hAnsi="宋体" w:eastAsia="宋体" w:cs="宋体"/>
          <w:b/>
          <w:color w:val="000000"/>
          <w:kern w:val="0"/>
          <w:sz w:val="24"/>
          <w:szCs w:val="24"/>
          <w:lang w:val="en-US" w:eastAsia="zh-CN" w:bidi="ar"/>
        </w:rPr>
        <w:t>月</w:t>
      </w:r>
    </w:p>
    <w:tbl>
      <w:tblPr>
        <w:tblStyle w:val="6"/>
        <w:tblW w:w="9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35"/>
        <w:gridCol w:w="780"/>
        <w:gridCol w:w="1079"/>
        <w:gridCol w:w="1336"/>
        <w:gridCol w:w="1091"/>
        <w:gridCol w:w="1272"/>
        <w:gridCol w:w="999"/>
      </w:tblGrid>
      <w:tr w14:paraId="71B7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14:paraId="1153D6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巡 视 内 容</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6DB4CA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分 值</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526033A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检 查 情 况</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E0367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得 分</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7B08760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备  注</w:t>
            </w:r>
          </w:p>
        </w:tc>
      </w:tr>
      <w:tr w14:paraId="3B893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14:paraId="5958522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绿化员的言行是否符合行为规范</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D170D7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2FF125F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125839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6DAD9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61CB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14:paraId="1AC921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绿化员的仪容仪表是否符合有关规定</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1B151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5</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70FB09B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7E7106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5F60179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282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14:paraId="7F9E24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草</w:t>
            </w:r>
          </w:p>
          <w:p w14:paraId="50D593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p w14:paraId="0F012C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坪</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0178B5B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eastAsia="zh-CN"/>
              </w:rPr>
              <w:t>杂草率在</w:t>
            </w:r>
            <w:r>
              <w:rPr>
                <w:rFonts w:hint="eastAsia" w:ascii="宋体" w:hAnsi="宋体" w:eastAsia="宋体" w:cs="宋体"/>
                <w:color w:val="000000"/>
                <w:kern w:val="2"/>
                <w:sz w:val="24"/>
                <w:szCs w:val="24"/>
                <w:lang w:val="en-US" w:eastAsia="zh-CN"/>
              </w:rPr>
              <w:t>3%以上</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B42BD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3CEB9E7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B8F2EC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1F1FEB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1A9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69DE828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531C751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草地长势不良</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013619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07070F8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EC3A31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A5B23B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FEB0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0E7359F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405E961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在规定时间内未修边或修边不合格</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6C6380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6A4FE4E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0006A3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A8C3B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6F8B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77101B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5AB00C5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裸露绿地补种后养护不力，导致皮恢复缓慢或者死亡草</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C89157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4945A65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2D5BC2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C72013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D38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14:paraId="6CD7BFA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绿</w:t>
            </w:r>
          </w:p>
          <w:p w14:paraId="55AA1EA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p w14:paraId="3AEFDD9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篱</w:t>
            </w:r>
          </w:p>
          <w:p w14:paraId="7BAFCDD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1C0CA3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sz w:val="24"/>
                <w:szCs w:val="24"/>
              </w:rPr>
            </w:pPr>
            <w:r>
              <w:rPr>
                <w:rFonts w:hint="eastAsia" w:ascii="宋体" w:hAnsi="宋体" w:eastAsia="宋体" w:cs="宋体"/>
                <w:color w:val="000000"/>
                <w:kern w:val="2"/>
                <w:sz w:val="24"/>
                <w:szCs w:val="24"/>
                <w:lang w:val="en-US" w:eastAsia="zh-CN" w:bidi="ar"/>
              </w:rPr>
              <w:t>灌木未按植物生长特性修剪</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153A17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2D66E6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B1430B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8B8474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392CA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720345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7B6F5B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未及时施肥、浇水或施肥、浇水不当，导致植物生长不良</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9A0BE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0673014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B0E07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196D9F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BC1B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3A349EA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656BC70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lang w:val="en-US"/>
              </w:rPr>
            </w:pPr>
            <w:r>
              <w:rPr>
                <w:rFonts w:hint="eastAsia" w:ascii="宋体" w:hAnsi="宋体" w:eastAsia="宋体" w:cs="宋体"/>
                <w:color w:val="000000"/>
                <w:kern w:val="2"/>
                <w:sz w:val="24"/>
                <w:szCs w:val="24"/>
                <w:lang w:val="en-US" w:eastAsia="zh-CN" w:bidi="ar"/>
              </w:rPr>
              <w:t>病虫害在5%以上</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5DEF4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78AA7C6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E08163E">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66AA38D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16CC3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5251B4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3AEFBCE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严重超过绿篱高度未及时修剪</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979AFF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4DF336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D64B62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6E035F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A3B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restart"/>
            <w:tcBorders>
              <w:top w:val="nil"/>
              <w:left w:val="single" w:color="auto" w:sz="4" w:space="0"/>
              <w:bottom w:val="single" w:color="auto" w:sz="4" w:space="0"/>
              <w:right w:val="single" w:color="auto" w:sz="4" w:space="0"/>
            </w:tcBorders>
            <w:noWrap w:val="0"/>
            <w:vAlign w:val="center"/>
          </w:tcPr>
          <w:p w14:paraId="0501B2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乔</w:t>
            </w:r>
          </w:p>
          <w:p w14:paraId="00FE6E4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p w14:paraId="292F49F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木</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2A2D22D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未按要求修剪或下缘线修剪不整齐</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EFCAA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8</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2228755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59FCD4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81FC61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019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260B04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6D0158E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eastAsia="zh-CN"/>
              </w:rPr>
              <w:t>死树及下缘线萌蘖条未清除</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F4DA3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44ACF6B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5C557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2DC5FB8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5E33E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32F414D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4A82F7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施肥、浇水不及时</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4A30931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5C490EE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A7F01F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4C11B3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20AA6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vMerge w:val="continue"/>
            <w:tcBorders>
              <w:top w:val="nil"/>
              <w:left w:val="single" w:color="auto" w:sz="4" w:space="0"/>
              <w:bottom w:val="single" w:color="auto" w:sz="4" w:space="0"/>
              <w:right w:val="single" w:color="auto" w:sz="4" w:space="0"/>
            </w:tcBorders>
            <w:noWrap w:val="0"/>
            <w:vAlign w:val="center"/>
          </w:tcPr>
          <w:p w14:paraId="583A113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rPr>
            </w:pP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0A65EC8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有明显干撅、枯枝和吊枝，严重影响景观，存在安全隐患</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0430042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6</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235E30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B2A4B7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5207B8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31C58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14:paraId="7BAFAFC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上次检查提出整改的问题</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105A3BB1">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7</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3B5E6B0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1272" w:type="dxa"/>
            <w:tcBorders>
              <w:top w:val="single" w:color="auto" w:sz="4" w:space="0"/>
              <w:left w:val="single" w:color="auto" w:sz="4" w:space="0"/>
              <w:bottom w:val="single" w:color="auto" w:sz="4" w:space="0"/>
              <w:right w:val="single" w:color="auto" w:sz="4" w:space="0"/>
            </w:tcBorders>
            <w:noWrap w:val="0"/>
            <w:vAlign w:val="center"/>
          </w:tcPr>
          <w:p w14:paraId="6ECCE4F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0BCFF61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074B0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3975" w:type="dxa"/>
            <w:gridSpan w:val="3"/>
            <w:tcBorders>
              <w:top w:val="single" w:color="auto" w:sz="4" w:space="0"/>
              <w:left w:val="single" w:color="auto" w:sz="4" w:space="0"/>
              <w:bottom w:val="single" w:color="auto" w:sz="4" w:space="0"/>
              <w:right w:val="single" w:color="auto" w:sz="4" w:space="0"/>
            </w:tcBorders>
            <w:noWrap w:val="0"/>
            <w:vAlign w:val="center"/>
          </w:tcPr>
          <w:p w14:paraId="01B80AD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合 计</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3E91CC3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100</w:t>
            </w:r>
          </w:p>
        </w:tc>
        <w:tc>
          <w:tcPr>
            <w:tcW w:w="2427" w:type="dxa"/>
            <w:gridSpan w:val="2"/>
            <w:tcBorders>
              <w:top w:val="single" w:color="auto" w:sz="4" w:space="0"/>
              <w:left w:val="single" w:color="auto" w:sz="4" w:space="0"/>
              <w:bottom w:val="single" w:color="auto" w:sz="4" w:space="0"/>
              <w:right w:val="single" w:color="auto" w:sz="4" w:space="0"/>
            </w:tcBorders>
            <w:noWrap w:val="0"/>
            <w:vAlign w:val="center"/>
          </w:tcPr>
          <w:p w14:paraId="7C8BEE2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7D22E08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3C65ED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2B9ED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1CFF58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检查</w:t>
            </w:r>
          </w:p>
          <w:p w14:paraId="735911B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项目</w:t>
            </w:r>
          </w:p>
        </w:tc>
        <w:tc>
          <w:tcPr>
            <w:tcW w:w="3015" w:type="dxa"/>
            <w:gridSpan w:val="2"/>
            <w:tcBorders>
              <w:top w:val="single" w:color="auto" w:sz="4" w:space="0"/>
              <w:left w:val="single" w:color="auto" w:sz="4" w:space="0"/>
              <w:bottom w:val="single" w:color="auto" w:sz="4" w:space="0"/>
              <w:right w:val="single" w:color="auto" w:sz="4" w:space="0"/>
            </w:tcBorders>
            <w:noWrap w:val="0"/>
            <w:vAlign w:val="center"/>
          </w:tcPr>
          <w:p w14:paraId="1B83D49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标准要求</w:t>
            </w:r>
          </w:p>
        </w:tc>
        <w:tc>
          <w:tcPr>
            <w:tcW w:w="3506" w:type="dxa"/>
            <w:gridSpan w:val="3"/>
            <w:tcBorders>
              <w:top w:val="single" w:color="auto" w:sz="4" w:space="0"/>
              <w:left w:val="single" w:color="auto" w:sz="4" w:space="0"/>
              <w:bottom w:val="single" w:color="auto" w:sz="4" w:space="0"/>
              <w:right w:val="single" w:color="auto" w:sz="4" w:space="0"/>
            </w:tcBorders>
            <w:noWrap w:val="0"/>
            <w:vAlign w:val="center"/>
          </w:tcPr>
          <w:p w14:paraId="5DF7190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center"/>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扣款</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386F908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扣款说明</w:t>
            </w:r>
          </w:p>
        </w:tc>
        <w:tc>
          <w:tcPr>
            <w:tcW w:w="999" w:type="dxa"/>
            <w:tcBorders>
              <w:top w:val="single" w:color="auto" w:sz="4" w:space="0"/>
              <w:left w:val="single" w:color="auto" w:sz="4" w:space="0"/>
              <w:bottom w:val="single" w:color="auto" w:sz="4" w:space="0"/>
              <w:right w:val="single" w:color="auto" w:sz="4" w:space="0"/>
            </w:tcBorders>
            <w:noWrap w:val="0"/>
            <w:vAlign w:val="center"/>
          </w:tcPr>
          <w:p w14:paraId="3EBA265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备 注</w:t>
            </w:r>
          </w:p>
        </w:tc>
      </w:tr>
      <w:tr w14:paraId="34BA8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3668FE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Cs/>
                <w:color w:val="000000"/>
                <w:kern w:val="2"/>
                <w:sz w:val="24"/>
                <w:szCs w:val="24"/>
                <w:lang w:val="en-US" w:eastAsia="zh-CN" w:bidi="ar"/>
              </w:rPr>
            </w:pPr>
            <w:r>
              <w:rPr>
                <w:rFonts w:hint="eastAsia" w:ascii="宋体" w:hAnsi="宋体" w:eastAsia="宋体" w:cs="宋体"/>
                <w:bCs/>
                <w:color w:val="000000"/>
                <w:kern w:val="2"/>
                <w:sz w:val="24"/>
                <w:szCs w:val="24"/>
                <w:lang w:val="en-US" w:eastAsia="zh-CN" w:bidi="ar"/>
              </w:rPr>
              <w:t>有效</w:t>
            </w:r>
          </w:p>
          <w:p w14:paraId="7460C79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投诉</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14:paraId="44AC7D2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服务质量问题的投诉未及时正确处理和解决的，两次（含两次）以上。</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14:paraId="1D8A834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1.有效投诉一次扣200元              2.两次扣除1%-5%的绿化维护服务费</w:t>
            </w:r>
          </w:p>
        </w:tc>
        <w:tc>
          <w:tcPr>
            <w:tcW w:w="1272" w:type="dxa"/>
            <w:tcBorders>
              <w:top w:val="single" w:color="auto" w:sz="4" w:space="0"/>
              <w:left w:val="single" w:color="auto" w:sz="4" w:space="0"/>
              <w:bottom w:val="single" w:color="auto" w:sz="4" w:space="0"/>
              <w:right w:val="single" w:color="auto" w:sz="4" w:space="0"/>
            </w:tcBorders>
            <w:noWrap w:val="0"/>
            <w:vAlign w:val="top"/>
          </w:tcPr>
          <w:p w14:paraId="6EE1995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2" w:firstLineChars="200"/>
              <w:jc w:val="left"/>
              <w:textAlignment w:val="auto"/>
              <w:outlineLvl w:val="9"/>
              <w:rPr>
                <w:rFonts w:hint="eastAsia" w:ascii="宋体" w:hAnsi="宋体" w:eastAsia="宋体" w:cs="宋体"/>
                <w:b/>
                <w:color w:val="000000"/>
                <w:kern w:val="0"/>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3F9F83C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42D4F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C07BA1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修剪</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14:paraId="20848DA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未及时对园林植物进行修剪造成效果差且情节严重的。</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14:paraId="30DFDE1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bCs/>
                <w:color w:val="000000"/>
                <w:kern w:val="2"/>
                <w:sz w:val="24"/>
                <w:szCs w:val="24"/>
                <w:lang w:val="en-US" w:eastAsia="zh-CN" w:bidi="ar"/>
              </w:rPr>
              <w:t>扣除当月绿化维护服务费500元，情节严重的扣除当月绿化维护服务费的3%-5%。</w:t>
            </w:r>
          </w:p>
        </w:tc>
        <w:tc>
          <w:tcPr>
            <w:tcW w:w="1272" w:type="dxa"/>
            <w:tcBorders>
              <w:top w:val="single" w:color="auto" w:sz="4" w:space="0"/>
              <w:left w:val="single" w:color="auto" w:sz="4" w:space="0"/>
              <w:bottom w:val="single" w:color="auto" w:sz="4" w:space="0"/>
              <w:right w:val="single" w:color="auto" w:sz="4" w:space="0"/>
            </w:tcBorders>
            <w:noWrap w:val="0"/>
            <w:vAlign w:val="top"/>
          </w:tcPr>
          <w:p w14:paraId="105F599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462298A5">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1DE5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09B254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施肥</w:t>
            </w:r>
          </w:p>
        </w:tc>
        <w:tc>
          <w:tcPr>
            <w:tcW w:w="3015" w:type="dxa"/>
            <w:gridSpan w:val="2"/>
            <w:tcBorders>
              <w:top w:val="single" w:color="auto" w:sz="4" w:space="0"/>
              <w:left w:val="single" w:color="auto" w:sz="4" w:space="0"/>
              <w:bottom w:val="single" w:color="auto" w:sz="4" w:space="0"/>
              <w:right w:val="single" w:color="auto" w:sz="4" w:space="0"/>
            </w:tcBorders>
            <w:noWrap w:val="0"/>
            <w:vAlign w:val="top"/>
          </w:tcPr>
          <w:p w14:paraId="1EF7457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bCs/>
                <w:color w:val="000000"/>
                <w:kern w:val="2"/>
                <w:sz w:val="24"/>
                <w:szCs w:val="24"/>
              </w:rPr>
            </w:pPr>
            <w:r>
              <w:rPr>
                <w:rFonts w:hint="eastAsia" w:ascii="宋体" w:hAnsi="宋体" w:eastAsia="宋体" w:cs="宋体"/>
                <w:color w:val="000000"/>
                <w:kern w:val="2"/>
                <w:sz w:val="24"/>
                <w:szCs w:val="24"/>
                <w:lang w:val="en-US" w:eastAsia="zh-CN" w:bidi="ar"/>
              </w:rPr>
              <w:t>乙方每年要定期对绿化进行全面施肥，</w:t>
            </w:r>
            <w:r>
              <w:rPr>
                <w:rFonts w:hint="eastAsia" w:ascii="宋体" w:hAnsi="宋体" w:eastAsia="宋体" w:cs="宋体"/>
                <w:b w:val="0"/>
                <w:bCs/>
                <w:color w:val="000000"/>
                <w:sz w:val="24"/>
                <w:szCs w:val="24"/>
                <w:shd w:val="clear" w:color="auto" w:fill="FFFFFF"/>
              </w:rPr>
              <w:t>复合肥与有机肥各一半</w:t>
            </w:r>
            <w:r>
              <w:rPr>
                <w:rFonts w:hint="eastAsia" w:ascii="宋体" w:hAnsi="宋体" w:eastAsia="宋体" w:cs="宋体"/>
                <w:b w:val="0"/>
                <w:bCs/>
                <w:color w:val="000000"/>
                <w:sz w:val="24"/>
                <w:szCs w:val="24"/>
                <w:shd w:val="clear" w:color="auto" w:fill="FFFFFF"/>
                <w:lang w:eastAsia="zh-CN"/>
              </w:rPr>
              <w:t>，</w:t>
            </w:r>
            <w:r>
              <w:rPr>
                <w:rFonts w:hint="eastAsia" w:ascii="宋体" w:hAnsi="宋体" w:eastAsia="宋体" w:cs="宋体"/>
                <w:color w:val="000000"/>
                <w:kern w:val="2"/>
                <w:sz w:val="24"/>
                <w:szCs w:val="24"/>
                <w:lang w:val="en-US" w:eastAsia="zh-CN" w:bidi="ar"/>
              </w:rPr>
              <w:t>乔木每年肥料一次；灌木、绿篱每年施肥一次；草坪每年施肥一次</w:t>
            </w:r>
          </w:p>
        </w:tc>
        <w:tc>
          <w:tcPr>
            <w:tcW w:w="3506" w:type="dxa"/>
            <w:gridSpan w:val="3"/>
            <w:tcBorders>
              <w:top w:val="single" w:color="auto" w:sz="4" w:space="0"/>
              <w:left w:val="single" w:color="auto" w:sz="4" w:space="0"/>
              <w:bottom w:val="single" w:color="auto" w:sz="4" w:space="0"/>
              <w:right w:val="single" w:color="auto" w:sz="4" w:space="0"/>
            </w:tcBorders>
            <w:noWrap w:val="0"/>
            <w:vAlign w:val="top"/>
          </w:tcPr>
          <w:p w14:paraId="690E67A9">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未按年度工作计划施肥的扣除维护服务费500元，情节严重的扣除当月绿化维护服务费的3%-5%。</w:t>
            </w:r>
          </w:p>
          <w:p w14:paraId="58C74C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bCs/>
                <w:color w:val="000000"/>
                <w:kern w:val="2"/>
                <w:sz w:val="24"/>
                <w:szCs w:val="24"/>
              </w:rPr>
            </w:pPr>
            <w:r>
              <w:rPr>
                <w:rFonts w:hint="eastAsia" w:ascii="宋体" w:hAnsi="宋体" w:eastAsia="宋体" w:cs="宋体"/>
                <w:bCs/>
                <w:color w:val="000000"/>
                <w:kern w:val="2"/>
                <w:sz w:val="24"/>
                <w:szCs w:val="24"/>
                <w:lang w:val="en-US" w:eastAsia="zh-CN" w:bidi="ar"/>
              </w:rPr>
              <w:t>乙方未按前述约定为该项目足额提供肥料的，甲方有权从履约保证金中扣除支付购置肥料费用。</w:t>
            </w:r>
          </w:p>
        </w:tc>
        <w:tc>
          <w:tcPr>
            <w:tcW w:w="1272" w:type="dxa"/>
            <w:tcBorders>
              <w:top w:val="single" w:color="auto" w:sz="4" w:space="0"/>
              <w:left w:val="single" w:color="auto" w:sz="4" w:space="0"/>
              <w:bottom w:val="single" w:color="auto" w:sz="4" w:space="0"/>
              <w:right w:val="single" w:color="auto" w:sz="4" w:space="0"/>
            </w:tcBorders>
            <w:noWrap w:val="0"/>
            <w:vAlign w:val="top"/>
          </w:tcPr>
          <w:p w14:paraId="04A49668">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c>
          <w:tcPr>
            <w:tcW w:w="999" w:type="dxa"/>
            <w:tcBorders>
              <w:top w:val="single" w:color="auto" w:sz="4" w:space="0"/>
              <w:left w:val="single" w:color="auto" w:sz="4" w:space="0"/>
              <w:bottom w:val="single" w:color="auto" w:sz="4" w:space="0"/>
              <w:right w:val="single" w:color="auto" w:sz="4" w:space="0"/>
            </w:tcBorders>
            <w:noWrap w:val="0"/>
            <w:vAlign w:val="center"/>
          </w:tcPr>
          <w:p w14:paraId="7DC0DA4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p>
        </w:tc>
      </w:tr>
      <w:tr w14:paraId="796B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60" w:type="dxa"/>
            <w:vMerge w:val="restart"/>
            <w:tcBorders>
              <w:top w:val="single" w:color="auto" w:sz="4" w:space="0"/>
              <w:left w:val="single" w:color="auto" w:sz="4" w:space="0"/>
              <w:right w:val="single" w:color="auto" w:sz="4" w:space="0"/>
            </w:tcBorders>
            <w:noWrap w:val="0"/>
            <w:vAlign w:val="center"/>
          </w:tcPr>
          <w:p w14:paraId="1330CA2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甲 方</w:t>
            </w:r>
          </w:p>
          <w:p w14:paraId="3A02CF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意 见</w:t>
            </w: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26DB8D2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12CD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60" w:type="dxa"/>
            <w:vMerge w:val="continue"/>
            <w:tcBorders>
              <w:left w:val="single" w:color="auto" w:sz="4" w:space="0"/>
              <w:right w:val="single" w:color="auto" w:sz="4" w:space="0"/>
            </w:tcBorders>
            <w:noWrap w:val="0"/>
            <w:vAlign w:val="center"/>
          </w:tcPr>
          <w:p w14:paraId="6DE390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13F8F13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1053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60" w:type="dxa"/>
            <w:vMerge w:val="continue"/>
            <w:tcBorders>
              <w:left w:val="single" w:color="auto" w:sz="4" w:space="0"/>
              <w:right w:val="single" w:color="auto" w:sz="4" w:space="0"/>
            </w:tcBorders>
            <w:noWrap w:val="0"/>
            <w:vAlign w:val="center"/>
          </w:tcPr>
          <w:p w14:paraId="5A9F85B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007194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2AF86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960" w:type="dxa"/>
            <w:vMerge w:val="continue"/>
            <w:tcBorders>
              <w:left w:val="single" w:color="auto" w:sz="4" w:space="0"/>
              <w:right w:val="single" w:color="auto" w:sz="4" w:space="0"/>
            </w:tcBorders>
            <w:noWrap w:val="0"/>
            <w:vAlign w:val="center"/>
          </w:tcPr>
          <w:p w14:paraId="63F3BD8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4E09BC0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r>
      <w:tr w14:paraId="541DC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960" w:type="dxa"/>
            <w:vMerge w:val="continue"/>
            <w:tcBorders>
              <w:left w:val="single" w:color="auto" w:sz="4" w:space="0"/>
              <w:bottom w:val="single" w:color="auto" w:sz="4" w:space="0"/>
              <w:right w:val="single" w:color="auto" w:sz="4" w:space="0"/>
            </w:tcBorders>
            <w:noWrap w:val="0"/>
            <w:vAlign w:val="center"/>
          </w:tcPr>
          <w:p w14:paraId="4764443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4A876A6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highlight w:val="none"/>
                <w:lang w:val="en-US" w:eastAsia="zh-CN" w:bidi="ar-SA"/>
              </w:rPr>
              <w:t>（       ）小区物业管理中心负责人：</w:t>
            </w:r>
          </w:p>
        </w:tc>
      </w:tr>
      <w:tr w14:paraId="55152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FDD7456">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right="0" w:rightChars="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合计</w:t>
            </w:r>
          </w:p>
        </w:tc>
        <w:tc>
          <w:tcPr>
            <w:tcW w:w="8792" w:type="dxa"/>
            <w:gridSpan w:val="7"/>
            <w:tcBorders>
              <w:top w:val="single" w:color="auto" w:sz="4" w:space="0"/>
              <w:left w:val="single" w:color="auto" w:sz="4" w:space="0"/>
              <w:bottom w:val="single" w:color="auto" w:sz="4" w:space="0"/>
              <w:right w:val="single" w:color="auto" w:sz="4" w:space="0"/>
            </w:tcBorders>
            <w:noWrap w:val="0"/>
            <w:vAlign w:val="center"/>
          </w:tcPr>
          <w:p w14:paraId="6E00136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bidi="ar"/>
              </w:rPr>
              <w:t>本月应付款：</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元；  扣款：</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元；  实际付款：</w:t>
            </w:r>
            <w:r>
              <w:rPr>
                <w:rFonts w:hint="eastAsia" w:ascii="宋体" w:hAnsi="宋体" w:eastAsia="宋体" w:cs="宋体"/>
                <w:color w:val="000000"/>
                <w:kern w:val="2"/>
                <w:sz w:val="24"/>
                <w:szCs w:val="24"/>
                <w:u w:val="single"/>
                <w:lang w:val="en-US" w:eastAsia="zh-CN" w:bidi="ar"/>
              </w:rPr>
              <w:t xml:space="preserve">        </w:t>
            </w:r>
            <w:r>
              <w:rPr>
                <w:rFonts w:hint="eastAsia" w:ascii="宋体" w:hAnsi="宋体" w:eastAsia="宋体" w:cs="宋体"/>
                <w:color w:val="000000"/>
                <w:kern w:val="2"/>
                <w:sz w:val="24"/>
                <w:szCs w:val="24"/>
                <w:lang w:val="en-US" w:eastAsia="zh-CN" w:bidi="ar"/>
              </w:rPr>
              <w:t xml:space="preserve"> 元；</w:t>
            </w:r>
          </w:p>
        </w:tc>
      </w:tr>
      <w:tr w14:paraId="681C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95" w:type="dxa"/>
            <w:gridSpan w:val="2"/>
            <w:tcBorders>
              <w:top w:val="single" w:color="auto" w:sz="4" w:space="0"/>
              <w:left w:val="single" w:color="auto" w:sz="4" w:space="0"/>
              <w:bottom w:val="single" w:color="auto" w:sz="4" w:space="0"/>
              <w:right w:val="single" w:color="auto" w:sz="4" w:space="0"/>
            </w:tcBorders>
            <w:noWrap w:val="0"/>
            <w:vAlign w:val="top"/>
          </w:tcPr>
          <w:p w14:paraId="7E17C21E">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承揽方：</w:t>
            </w:r>
          </w:p>
          <w:p w14:paraId="18B16B5E">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p w14:paraId="0F5E6A9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签字：        日期：</w:t>
            </w:r>
          </w:p>
        </w:tc>
        <w:tc>
          <w:tcPr>
            <w:tcW w:w="3195" w:type="dxa"/>
            <w:gridSpan w:val="3"/>
            <w:tcBorders>
              <w:top w:val="single" w:color="auto" w:sz="4" w:space="0"/>
              <w:left w:val="single" w:color="auto" w:sz="4" w:space="0"/>
              <w:bottom w:val="single" w:color="auto" w:sz="4" w:space="0"/>
              <w:right w:val="single" w:color="auto" w:sz="4" w:space="0"/>
            </w:tcBorders>
            <w:noWrap w:val="0"/>
            <w:vAlign w:val="top"/>
          </w:tcPr>
          <w:p w14:paraId="21C63C6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社区/业委会：</w:t>
            </w:r>
          </w:p>
          <w:p w14:paraId="339EB1EC">
            <w:pPr>
              <w:keepNext w:val="0"/>
              <w:keepLines w:val="0"/>
              <w:pageBreakBefore w:val="0"/>
              <w:widowControl w:val="0"/>
              <w:kinsoku/>
              <w:wordWrap/>
              <w:overflowPunct/>
              <w:topLinePunct w:val="0"/>
              <w:autoSpaceDE/>
              <w:autoSpaceDN/>
              <w:bidi w:val="0"/>
              <w:adjustRightInd/>
              <w:snapToGrid/>
              <w:spacing w:after="0"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lang w:val="en-US" w:eastAsia="zh-CN" w:bidi="ar-SA"/>
              </w:rPr>
            </w:pPr>
          </w:p>
          <w:p w14:paraId="607A1D2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签字：        日期：</w:t>
            </w:r>
          </w:p>
        </w:tc>
        <w:tc>
          <w:tcPr>
            <w:tcW w:w="3362" w:type="dxa"/>
            <w:gridSpan w:val="3"/>
            <w:tcBorders>
              <w:top w:val="single" w:color="auto" w:sz="4" w:space="0"/>
              <w:left w:val="single" w:color="auto" w:sz="4" w:space="0"/>
              <w:bottom w:val="single" w:color="auto" w:sz="4" w:space="0"/>
              <w:right w:val="single" w:color="auto" w:sz="4" w:space="0"/>
            </w:tcBorders>
            <w:noWrap w:val="0"/>
            <w:vAlign w:val="top"/>
          </w:tcPr>
          <w:p w14:paraId="195BAC0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highlight w:val="none"/>
                <w:lang w:val="en-US" w:eastAsia="zh-CN"/>
              </w:rPr>
              <w:t>物业公司主任：</w:t>
            </w:r>
          </w:p>
          <w:p w14:paraId="2F9E1D6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sz w:val="24"/>
                <w:szCs w:val="24"/>
                <w:highlight w:val="none"/>
                <w:lang w:val="en-US" w:eastAsia="zh-CN"/>
              </w:rPr>
            </w:pPr>
          </w:p>
          <w:p w14:paraId="6165936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left"/>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szCs w:val="24"/>
                <w:highlight w:val="none"/>
                <w:lang w:val="en-US" w:eastAsia="zh-CN"/>
              </w:rPr>
              <w:t>签字：        日期：</w:t>
            </w:r>
          </w:p>
        </w:tc>
      </w:tr>
    </w:tbl>
    <w:p w14:paraId="0613D62A">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color w:val="000000"/>
          <w:kern w:val="2"/>
          <w:sz w:val="24"/>
          <w:szCs w:val="24"/>
          <w:highlight w:val="none"/>
          <w:lang w:val="en-US" w:eastAsia="zh-CN" w:bidi="ar-SA"/>
        </w:rPr>
      </w:pPr>
      <w:r>
        <w:rPr>
          <w:rFonts w:hint="eastAsia" w:ascii="宋体" w:hAnsi="宋体" w:eastAsia="宋体" w:cs="宋体"/>
          <w:b/>
          <w:bCs/>
          <w:color w:val="000000"/>
          <w:kern w:val="2"/>
          <w:sz w:val="24"/>
          <w:szCs w:val="24"/>
          <w:highlight w:val="none"/>
          <w:lang w:val="en-US" w:eastAsia="zh-CN" w:bidi="ar-SA"/>
        </w:rPr>
        <w:t>11.奖罚措施</w:t>
      </w:r>
    </w:p>
    <w:p w14:paraId="037BC4D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 xml:space="preserve">供应商季度得分=各小区每季度得分之和÷小区个数，采购人根据乙方每月的考核分数支付相应比例的服务费。供应商每月得分分为优秀（90分以上）、合格（89分～80分）、基本合格（79分～75分）、不合格（75分以下），并给予相应奖惩。 </w:t>
      </w:r>
    </w:p>
    <w:p w14:paraId="1C22B1D1">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（1）对成交供应商的奖惩规定：</w:t>
      </w:r>
    </w:p>
    <w:p w14:paraId="2A49A38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服务费处罚规定，按照下列比例扣除：</w:t>
      </w:r>
    </w:p>
    <w:p w14:paraId="709EDBA9">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①成交供应商月得分90分（含）以上为优秀，全额核拨当月服务费；</w:t>
      </w:r>
    </w:p>
    <w:p w14:paraId="41A9D19B">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②成交供应商月得分89分～80分的，扣当月服务费3%的标准进行扣除；</w:t>
      </w:r>
    </w:p>
    <w:p w14:paraId="14DB68C2">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③成交供应商月得分79分～75分的，扣当月服务费5%的标准进行扣除，同时对成交供应商发整改通知书通报批评；</w:t>
      </w:r>
    </w:p>
    <w:p w14:paraId="45BC695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④成交供应商月得分75分以下的扣当月服务费10%。</w:t>
      </w:r>
    </w:p>
    <w:p w14:paraId="18A0BCD0">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（2）终止合同规定：有下列情形之一的，采购人有权随时终止中标合同，并没收履约保证金。</w:t>
      </w:r>
    </w:p>
    <w:p w14:paraId="4A766C75">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①经考评，成交供应商连续三个月考评得分低于85分或连续二个月考评得分低于75分，采购人有权单方解除合同，责令成交供应商退出。</w:t>
      </w:r>
    </w:p>
    <w:p w14:paraId="04EB4687">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②如成交供应商聘任的养护员一年内出现三次以上违背小区物业管理等行为，经查属实的。</w:t>
      </w:r>
    </w:p>
    <w:p w14:paraId="4CF648B3">
      <w:pPr>
        <w:pStyle w:val="3"/>
        <w:keepNext w:val="0"/>
        <w:keepLines w:val="0"/>
        <w:pageBreakBefore w:val="0"/>
        <w:widowControl/>
        <w:suppressLineNumbers w:val="0"/>
        <w:kinsoku/>
        <w:wordWrap/>
        <w:topLinePunct w:val="0"/>
        <w:bidi w:val="0"/>
        <w:spacing w:before="0" w:beforeAutospacing="0" w:after="0" w:afterAutospacing="0" w:line="440" w:lineRule="exact"/>
        <w:ind w:left="0" w:leftChars="0" w:right="0" w:rightChars="0" w:firstLine="480" w:firstLineChars="200"/>
        <w:jc w:val="both"/>
        <w:textAlignment w:val="auto"/>
        <w:outlineLvl w:val="9"/>
        <w:rPr>
          <w:rFonts w:hint="eastAsia" w:ascii="宋体" w:hAnsi="宋体" w:eastAsia="宋体" w:cs="宋体"/>
          <w:b w:val="0"/>
          <w:bCs w:val="0"/>
          <w:color w:val="000000"/>
          <w:kern w:val="2"/>
          <w:sz w:val="24"/>
          <w:szCs w:val="24"/>
          <w:highlight w:val="none"/>
          <w:lang w:val="en-US" w:eastAsia="zh-CN" w:bidi="ar-SA"/>
        </w:rPr>
      </w:pPr>
      <w:r>
        <w:rPr>
          <w:rFonts w:hint="eastAsia" w:ascii="宋体" w:hAnsi="宋体" w:eastAsia="宋体" w:cs="宋体"/>
          <w:b w:val="0"/>
          <w:bCs w:val="0"/>
          <w:color w:val="000000"/>
          <w:kern w:val="2"/>
          <w:sz w:val="24"/>
          <w:szCs w:val="24"/>
          <w:highlight w:val="none"/>
          <w:lang w:val="en-US" w:eastAsia="zh-CN" w:bidi="ar-SA"/>
        </w:rPr>
        <w:t>③成交供应商非法转包、分包或以其它任何形式转分包的。</w:t>
      </w:r>
    </w:p>
    <w:p w14:paraId="429D0DDB">
      <w:pPr>
        <w:pageBreakBefore w:val="0"/>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lang w:eastAsia="zh-CN" w:bidi="ar"/>
        </w:rPr>
        <w:t>六</w:t>
      </w:r>
      <w:r>
        <w:rPr>
          <w:rFonts w:hint="eastAsia" w:ascii="宋体" w:hAnsi="宋体" w:eastAsia="宋体" w:cs="宋体"/>
          <w:b/>
          <w:bCs/>
          <w:color w:val="auto"/>
          <w:sz w:val="24"/>
          <w:szCs w:val="24"/>
          <w:lang w:bidi="ar"/>
        </w:rPr>
        <w:t>、合同的支付</w:t>
      </w:r>
    </w:p>
    <w:p w14:paraId="04CD6DE8">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 xml:space="preserve"> 币种：本合同项下所有费用均以人民币进行结算。</w:t>
      </w:r>
    </w:p>
    <w:p w14:paraId="4BC60864">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 xml:space="preserve"> 甲方付款方式：银行转账。</w:t>
      </w:r>
    </w:p>
    <w:p w14:paraId="4759154F">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 xml:space="preserve"> 支付方式：</w:t>
      </w:r>
      <w:r>
        <w:rPr>
          <w:rFonts w:hint="eastAsia" w:ascii="宋体" w:hAnsi="宋体" w:eastAsia="宋体" w:cs="宋体"/>
          <w:color w:val="0000FF"/>
          <w:sz w:val="24"/>
          <w:szCs w:val="24"/>
          <w:lang w:bidi="ar"/>
        </w:rPr>
        <w:t>按季度支付，</w:t>
      </w:r>
      <w:r>
        <w:rPr>
          <w:rFonts w:hint="eastAsia" w:ascii="宋体" w:hAnsi="宋体" w:cs="宋体"/>
          <w:color w:val="0000FF"/>
          <w:sz w:val="24"/>
          <w:szCs w:val="24"/>
          <w:lang w:val="en-US" w:eastAsia="zh-CN" w:bidi="ar"/>
        </w:rPr>
        <w:t>乙方</w:t>
      </w:r>
      <w:r>
        <w:rPr>
          <w:rFonts w:hint="eastAsia" w:ascii="宋体" w:hAnsi="宋体" w:eastAsia="宋体" w:cs="宋体"/>
          <w:color w:val="0000FF"/>
          <w:sz w:val="24"/>
          <w:szCs w:val="24"/>
          <w:lang w:bidi="ar"/>
        </w:rPr>
        <w:t>在次季度首月 15日前提供前一</w:t>
      </w:r>
      <w:r>
        <w:rPr>
          <w:rFonts w:hint="eastAsia" w:ascii="宋体" w:hAnsi="宋体" w:cs="宋体"/>
          <w:color w:val="0000FF"/>
          <w:sz w:val="24"/>
          <w:szCs w:val="24"/>
          <w:lang w:val="en-US" w:eastAsia="zh-CN" w:bidi="ar"/>
        </w:rPr>
        <w:t>季度</w:t>
      </w:r>
      <w:r>
        <w:rPr>
          <w:rFonts w:hint="eastAsia" w:ascii="宋体" w:hAnsi="宋体" w:eastAsia="宋体" w:cs="宋体"/>
          <w:color w:val="0000FF"/>
          <w:sz w:val="24"/>
          <w:szCs w:val="24"/>
          <w:lang w:bidi="ar"/>
        </w:rPr>
        <w:t>的服务费专用发票（根据考核情况，按照不同等级进行付款），</w:t>
      </w:r>
      <w:r>
        <w:rPr>
          <w:rFonts w:hint="eastAsia" w:ascii="宋体" w:hAnsi="宋体" w:cs="宋体"/>
          <w:color w:val="0000FF"/>
          <w:sz w:val="24"/>
          <w:szCs w:val="24"/>
          <w:lang w:val="en-US" w:eastAsia="zh-CN" w:bidi="ar"/>
        </w:rPr>
        <w:t>甲方</w:t>
      </w:r>
      <w:r>
        <w:rPr>
          <w:rFonts w:hint="eastAsia" w:ascii="宋体" w:hAnsi="宋体" w:eastAsia="宋体" w:cs="宋体"/>
          <w:color w:val="0000FF"/>
          <w:sz w:val="24"/>
          <w:szCs w:val="24"/>
          <w:lang w:bidi="ar"/>
        </w:rPr>
        <w:t>收到发票后15个工作日内支付。</w:t>
      </w:r>
      <w:r>
        <w:rPr>
          <w:rFonts w:hint="eastAsia" w:ascii="宋体" w:hAnsi="宋体" w:eastAsia="宋体" w:cs="宋体"/>
          <w:color w:val="auto"/>
          <w:sz w:val="24"/>
          <w:szCs w:val="24"/>
          <w:lang w:bidi="ar"/>
        </w:rPr>
        <w:t>。</w:t>
      </w:r>
    </w:p>
    <w:p w14:paraId="328A4702">
      <w:pPr>
        <w:pageBreakBefore w:val="0"/>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八、</w:t>
      </w:r>
      <w:r>
        <w:rPr>
          <w:rFonts w:hint="eastAsia" w:ascii="宋体" w:hAnsi="宋体" w:eastAsia="宋体" w:cs="宋体"/>
          <w:b/>
          <w:bCs/>
          <w:color w:val="auto"/>
          <w:sz w:val="24"/>
          <w:szCs w:val="24"/>
        </w:rPr>
        <w:t>履约保证金</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本合同</w:t>
      </w:r>
      <w:r>
        <w:rPr>
          <w:rFonts w:hint="eastAsia" w:ascii="宋体" w:hAnsi="宋体" w:eastAsia="宋体" w:cs="宋体"/>
          <w:b/>
          <w:bCs/>
          <w:color w:val="auto"/>
          <w:sz w:val="24"/>
          <w:szCs w:val="24"/>
          <w:lang w:val="en-US" w:eastAsia="zh-CN"/>
        </w:rPr>
        <w:sym w:font="Wingdings 2" w:char="0052"/>
      </w:r>
      <w:r>
        <w:rPr>
          <w:rFonts w:hint="eastAsia" w:ascii="宋体" w:hAnsi="宋体" w:eastAsia="宋体" w:cs="宋体"/>
          <w:b/>
          <w:bCs/>
          <w:color w:val="auto"/>
          <w:sz w:val="24"/>
          <w:szCs w:val="24"/>
          <w:lang w:val="en-US" w:eastAsia="zh-CN"/>
        </w:rPr>
        <w:t>适用/</w:t>
      </w:r>
      <w:r>
        <w:rPr>
          <w:rFonts w:hint="eastAsia" w:ascii="宋体" w:hAnsi="宋体" w:eastAsia="宋体" w:cs="宋体"/>
          <w:b/>
          <w:bCs/>
          <w:color w:val="auto"/>
          <w:sz w:val="24"/>
          <w:szCs w:val="24"/>
          <w:lang w:val="en-US" w:eastAsia="zh-CN"/>
        </w:rPr>
        <w:sym w:font="Wingdings 2" w:char="00A3"/>
      </w:r>
      <w:r>
        <w:rPr>
          <w:rFonts w:hint="eastAsia" w:ascii="宋体" w:hAnsi="宋体" w:eastAsia="宋体" w:cs="宋体"/>
          <w:b/>
          <w:bCs/>
          <w:color w:val="auto"/>
          <w:sz w:val="24"/>
          <w:szCs w:val="24"/>
          <w:lang w:val="en-US" w:eastAsia="zh-CN"/>
        </w:rPr>
        <w:t>不适用本条款</w:t>
      </w:r>
      <w:r>
        <w:rPr>
          <w:rFonts w:hint="eastAsia" w:ascii="宋体" w:hAnsi="宋体" w:eastAsia="宋体" w:cs="宋体"/>
          <w:b/>
          <w:bCs/>
          <w:color w:val="auto"/>
          <w:sz w:val="24"/>
          <w:szCs w:val="24"/>
          <w:lang w:eastAsia="zh-CN"/>
        </w:rPr>
        <w:t>）</w:t>
      </w:r>
    </w:p>
    <w:p w14:paraId="2A43741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jc w:val="both"/>
        <w:textAlignment w:val="auto"/>
        <w:outlineLvl w:val="9"/>
        <w:rPr>
          <w:rFonts w:hint="eastAsia"/>
          <w:sz w:val="24"/>
          <w:szCs w:val="24"/>
        </w:rPr>
      </w:pPr>
      <w:r>
        <w:rPr>
          <w:rFonts w:hint="eastAsia" w:ascii="宋体" w:hAnsi="宋体" w:eastAsia="宋体" w:cs="宋体"/>
          <w:color w:val="auto"/>
          <w:spacing w:val="0"/>
          <w:kern w:val="0"/>
          <w:sz w:val="24"/>
          <w:szCs w:val="24"/>
          <w:highlight w:val="none"/>
          <w:lang w:val="en-US" w:eastAsia="zh-CN" w:bidi="ar-SA"/>
        </w:rPr>
        <w:t>☑有，具体如下：</w:t>
      </w:r>
      <w:r>
        <w:rPr>
          <w:rFonts w:hint="eastAsia" w:ascii="宋体" w:hAnsi="宋体" w:eastAsia="宋体" w:cs="宋体"/>
          <w:color w:val="auto"/>
          <w:spacing w:val="0"/>
          <w:kern w:val="0"/>
          <w:sz w:val="24"/>
          <w:szCs w:val="24"/>
          <w:highlight w:val="none"/>
          <w:u w:val="none"/>
          <w:lang w:val="en-US" w:eastAsia="zh-CN" w:bidi="ar-SA"/>
        </w:rPr>
        <w:t>按中标金额的5%收取计人民币（</w:t>
      </w:r>
      <w:r>
        <w:rPr>
          <w:rFonts w:hint="eastAsia" w:ascii="宋体" w:hAnsi="宋体" w:eastAsia="宋体" w:cs="宋体"/>
          <w:color w:val="auto"/>
          <w:spacing w:val="0"/>
          <w:kern w:val="0"/>
          <w:sz w:val="24"/>
          <w:szCs w:val="24"/>
          <w:highlight w:val="none"/>
          <w:u w:val="single"/>
          <w:lang w:val="en-US" w:eastAsia="zh-CN" w:bidi="ar-SA"/>
        </w:rPr>
        <w:t>大写： 元整小写：￥.00</w:t>
      </w:r>
      <w:r>
        <w:rPr>
          <w:rFonts w:hint="eastAsia" w:ascii="宋体" w:hAnsi="宋体" w:eastAsia="宋体" w:cs="宋体"/>
          <w:color w:val="auto"/>
          <w:spacing w:val="0"/>
          <w:kern w:val="0"/>
          <w:sz w:val="24"/>
          <w:szCs w:val="24"/>
          <w:highlight w:val="none"/>
          <w:u w:val="none"/>
          <w:lang w:val="en-US" w:eastAsia="zh-CN" w:bidi="ar-SA"/>
        </w:rPr>
        <w:t>）。说明：乙方在与甲方签订合同前，向甲方提交中标总价的10%的履约保证金。</w:t>
      </w:r>
      <w:r>
        <w:rPr>
          <w:rFonts w:hint="eastAsia" w:ascii="宋体" w:hAnsi="宋体" w:eastAsia="宋体" w:cs="Times New Roman"/>
          <w:color w:val="auto"/>
          <w:kern w:val="2"/>
          <w:sz w:val="24"/>
          <w:szCs w:val="24"/>
          <w:highlight w:val="none"/>
          <w:lang w:val="en-US" w:eastAsia="zh-CN" w:bidi="ar-SA"/>
        </w:rPr>
        <w:t>退还方式：乙方签订合同后，履约保证金在合同期满后凭缴交履约保证金凭据、合同和甲方出具的书面意见（如有处罚，应按规定扣除相应处罚后）无息退还。提交方式：</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转账</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电汇</w:t>
      </w:r>
      <w:r>
        <w:rPr>
          <w:rFonts w:hint="eastAsia" w:ascii="宋体" w:hAnsi="宋体" w:eastAsia="宋体" w:cs="Times New Roman"/>
          <w:color w:val="auto"/>
          <w:kern w:val="2"/>
          <w:sz w:val="24"/>
          <w:szCs w:val="24"/>
          <w:highlight w:val="none"/>
          <w:lang w:val="en-US" w:eastAsia="zh-CN" w:bidi="ar-SA"/>
        </w:rPr>
        <w:sym w:font="Wingdings" w:char="00A8"/>
      </w:r>
      <w:r>
        <w:rPr>
          <w:rFonts w:hint="eastAsia" w:ascii="宋体" w:hAnsi="宋体" w:eastAsia="宋体" w:cs="Times New Roman"/>
          <w:color w:val="auto"/>
          <w:kern w:val="2"/>
          <w:sz w:val="24"/>
          <w:szCs w:val="24"/>
          <w:highlight w:val="none"/>
          <w:lang w:val="en-US" w:eastAsia="zh-CN" w:bidi="ar-SA"/>
        </w:rPr>
        <w:t>银行保函</w:t>
      </w:r>
      <w:r>
        <w:rPr>
          <w:rFonts w:hint="eastAsia" w:ascii="宋体" w:hAnsi="宋体" w:eastAsia="宋体" w:cs="宋体"/>
          <w:color w:val="auto"/>
          <w:spacing w:val="0"/>
          <w:sz w:val="24"/>
          <w:szCs w:val="24"/>
          <w:highlight w:val="none"/>
          <w:u w:val="none"/>
        </w:rPr>
        <w:t>。</w:t>
      </w:r>
    </w:p>
    <w:p w14:paraId="27730A63">
      <w:pPr>
        <w:pageBreakBefore w:val="0"/>
        <w:tabs>
          <w:tab w:val="left" w:pos="277"/>
        </w:tabs>
        <w:kinsoku/>
        <w:wordWrap/>
        <w:topLinePunct w:val="0"/>
        <w:bidi w:val="0"/>
        <w:adjustRightInd w:val="0"/>
        <w:snapToGrid w:val="0"/>
        <w:spacing w:line="440" w:lineRule="exact"/>
        <w:ind w:left="0" w:leftChars="0"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九、甲乙方权利义务</w:t>
      </w:r>
    </w:p>
    <w:p w14:paraId="7DA1ED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1.甲方的权利义务</w:t>
      </w:r>
    </w:p>
    <w:p w14:paraId="3102E52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（1）甲方有权不定期抽查乙方的绿化服务质量，如发现服务盲点或质量问题有权要求乙方予以整改。</w:t>
      </w:r>
    </w:p>
    <w:p w14:paraId="793B1FF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（2）作业过程中如发现乙方服务人员数量不符合作业要求，或存在违规操作等情形的，甲方有权要求乙方立即予以整改，安排新人员。</w:t>
      </w:r>
    </w:p>
    <w:p w14:paraId="7F62045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（3）因台风、暴雨、地震等不可抗力自然因素以及非乙方工作失误造成的苗木更换所产生的损失由甲方承担。</w:t>
      </w:r>
    </w:p>
    <w:p w14:paraId="56B4132B">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2.乙方的权利义务</w:t>
      </w:r>
    </w:p>
    <w:p w14:paraId="6205C67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（1）乙方服务人员在作业期间应严格遵守甲方的相关制度及规定，按照甲方所确定的养护工作内容、质量要求、养护标准进行绿化养护管理工作。</w:t>
      </w:r>
    </w:p>
    <w:p w14:paraId="1C52997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（2）乙方必须按照标准的技术规范要求进行养护管理工作。如遇到不可抗力（如台风、暴雨等）和外界因素，乙方应及时做好防抗台、抗涝的有关措施，以防造成更大损害。</w:t>
      </w:r>
    </w:p>
    <w:p w14:paraId="24FFD652">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（3）乙方应制定详尽的养护管理计划书面报送甲方备案，并按甲方要求提供配套足够的养护管理技术管理人员、机械设备、器具和材料。</w:t>
      </w:r>
    </w:p>
    <w:p w14:paraId="4BCA4165">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b w:val="0"/>
          <w:bCs/>
          <w:color w:val="auto"/>
          <w:sz w:val="24"/>
          <w:szCs w:val="24"/>
          <w:lang w:val="en-US" w:eastAsia="zh-CN"/>
        </w:rPr>
        <w:t>（4）因管理不善（如浇水不足、未及时治理虫害等）造成植物、草地伤害或死亡，补苗等费</w:t>
      </w:r>
      <w:r>
        <w:rPr>
          <w:rFonts w:hint="eastAsia" w:ascii="宋体" w:hAnsi="宋体" w:eastAsia="宋体" w:cs="宋体"/>
          <w:color w:val="auto"/>
          <w:sz w:val="24"/>
          <w:szCs w:val="24"/>
          <w:lang w:val="en-US" w:eastAsia="zh-CN"/>
        </w:rPr>
        <w:t>用均由乙方负责。乙方对此事应在3个工作日内作出响应，并按甲方要求及时补齐。</w:t>
      </w:r>
    </w:p>
    <w:p w14:paraId="5FE66714">
      <w:pPr>
        <w:keepNext w:val="0"/>
        <w:keepLines w:val="0"/>
        <w:pageBreakBefore w:val="0"/>
        <w:widowControl w:val="0"/>
        <w:tabs>
          <w:tab w:val="left" w:pos="6663"/>
        </w:tabs>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（5）高价值树种（包括但不限于高杆香樟、银杏等）因管理不善（如浇水不足、未及时治理虫害等）造成重大伤害或死亡的由乙方负责恢复原状，且养护期为一年（养护期不受合同有效期限制）。</w:t>
      </w:r>
    </w:p>
    <w:p w14:paraId="2FA1282E">
      <w:pPr>
        <w:spacing w:line="360" w:lineRule="auto"/>
        <w:ind w:firstLine="482" w:firstLineChars="200"/>
        <w:rPr>
          <w:rFonts w:hint="eastAsia" w:ascii="宋体" w:hAnsi="宋体" w:eastAsia="宋体" w:cs="宋体"/>
          <w:color w:val="auto"/>
          <w:sz w:val="24"/>
        </w:rPr>
      </w:pPr>
      <w:r>
        <w:rPr>
          <w:rFonts w:hint="eastAsia" w:ascii="宋体" w:hAnsi="宋体" w:eastAsia="宋体" w:cs="宋体"/>
          <w:b/>
          <w:bCs/>
          <w:color w:val="auto"/>
          <w:sz w:val="24"/>
          <w:lang w:eastAsia="zh-CN" w:bidi="ar"/>
        </w:rPr>
        <w:t>十</w:t>
      </w:r>
      <w:r>
        <w:rPr>
          <w:rFonts w:hint="eastAsia" w:ascii="宋体" w:hAnsi="宋体" w:eastAsia="宋体" w:cs="宋体"/>
          <w:b/>
          <w:bCs/>
          <w:color w:val="auto"/>
          <w:sz w:val="24"/>
          <w:lang w:bidi="ar"/>
        </w:rPr>
        <w:t>、违约责任</w:t>
      </w:r>
    </w:p>
    <w:p w14:paraId="087C862F">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eastAsia="宋体" w:cs="宋体"/>
          <w:color w:val="auto"/>
          <w:sz w:val="24"/>
          <w:szCs w:val="24"/>
          <w:lang w:bidi="ar"/>
        </w:rPr>
        <w:t>甲方负责喷灌系统的正常维修；乙方应合理利用，否则，由此造成的一切后果乙方负全责。</w:t>
      </w:r>
    </w:p>
    <w:p w14:paraId="74B66525">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2.</w:t>
      </w:r>
      <w:r>
        <w:rPr>
          <w:rFonts w:hint="eastAsia" w:ascii="宋体" w:hAnsi="宋体" w:eastAsia="宋体" w:cs="宋体"/>
          <w:color w:val="auto"/>
          <w:sz w:val="24"/>
          <w:szCs w:val="24"/>
          <w:lang w:bidi="ar"/>
        </w:rPr>
        <w:t>乙方应视养护范围内的植物及草皮是否积水提前作出合理排涝措施，无法解决时应及时向甲方作出书面报告，否则，由此造成的一切后果乙方负全责。</w:t>
      </w:r>
    </w:p>
    <w:p w14:paraId="09698DE0">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3.</w:t>
      </w:r>
      <w:r>
        <w:rPr>
          <w:rFonts w:hint="eastAsia" w:ascii="宋体" w:hAnsi="宋体" w:eastAsia="宋体" w:cs="宋体"/>
          <w:color w:val="auto"/>
          <w:sz w:val="24"/>
          <w:szCs w:val="24"/>
          <w:lang w:bidi="ar"/>
        </w:rPr>
        <w:t>乙方应注意安全防范，否则，由此造成的一切后果由乙方全权负责。</w:t>
      </w:r>
    </w:p>
    <w:p w14:paraId="30ED6267">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4.</w:t>
      </w:r>
      <w:r>
        <w:rPr>
          <w:rFonts w:hint="eastAsia" w:ascii="宋体" w:hAnsi="宋体" w:eastAsia="宋体" w:cs="宋体"/>
          <w:color w:val="auto"/>
          <w:sz w:val="24"/>
          <w:szCs w:val="24"/>
          <w:lang w:bidi="ar"/>
        </w:rPr>
        <w:t>乙方聘请的员工，需及时报甲方备案。</w:t>
      </w:r>
    </w:p>
    <w:p w14:paraId="3EBC5D63">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5.</w:t>
      </w:r>
      <w:r>
        <w:rPr>
          <w:rFonts w:hint="eastAsia" w:ascii="宋体" w:hAnsi="宋体" w:eastAsia="宋体" w:cs="宋体"/>
          <w:color w:val="auto"/>
          <w:sz w:val="24"/>
          <w:szCs w:val="24"/>
          <w:lang w:bidi="ar"/>
        </w:rPr>
        <w:t>甲方将不定期进行检查，若发现乙方：</w:t>
      </w:r>
    </w:p>
    <w:p w14:paraId="4E17B704">
      <w:pPr>
        <w:pageBreakBefore w:val="0"/>
        <w:kinsoku/>
        <w:wordWrap/>
        <w:topLinePunct w:val="0"/>
        <w:bidi w:val="0"/>
        <w:spacing w:line="440" w:lineRule="exact"/>
        <w:ind w:left="0" w:leftChars="0" w:right="0" w:rightChars="0" w:firstLine="720" w:firstLineChars="3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①</w:t>
      </w:r>
      <w:r>
        <w:rPr>
          <w:rFonts w:hint="eastAsia" w:ascii="宋体" w:hAnsi="宋体" w:eastAsia="宋体" w:cs="宋体"/>
          <w:color w:val="auto"/>
          <w:sz w:val="24"/>
          <w:szCs w:val="24"/>
          <w:lang w:bidi="ar"/>
        </w:rPr>
        <w:t>养护过程或人员配备不符合要求，第一次处以</w:t>
      </w:r>
      <w:r>
        <w:rPr>
          <w:rFonts w:hint="eastAsia" w:ascii="宋体" w:hAnsi="宋体" w:cs="宋体"/>
          <w:color w:val="auto"/>
          <w:sz w:val="24"/>
          <w:szCs w:val="24"/>
          <w:lang w:val="en-US" w:eastAsia="zh-CN" w:bidi="ar"/>
        </w:rPr>
        <w:t>1</w:t>
      </w:r>
      <w:r>
        <w:rPr>
          <w:rFonts w:hint="eastAsia" w:ascii="宋体" w:hAnsi="宋体" w:eastAsia="宋体" w:cs="宋体"/>
          <w:color w:val="auto"/>
          <w:sz w:val="24"/>
          <w:szCs w:val="24"/>
          <w:lang w:bidi="ar"/>
        </w:rPr>
        <w:t>000元违约金，第二次处以</w:t>
      </w:r>
      <w:r>
        <w:rPr>
          <w:rFonts w:hint="eastAsia" w:ascii="宋体" w:hAnsi="宋体" w:cs="宋体"/>
          <w:color w:val="auto"/>
          <w:sz w:val="24"/>
          <w:szCs w:val="24"/>
          <w:lang w:val="en-US" w:eastAsia="zh-CN" w:bidi="ar"/>
        </w:rPr>
        <w:t>2</w:t>
      </w:r>
      <w:r>
        <w:rPr>
          <w:rFonts w:hint="eastAsia" w:ascii="宋体" w:hAnsi="宋体" w:eastAsia="宋体" w:cs="宋体"/>
          <w:color w:val="auto"/>
          <w:sz w:val="24"/>
          <w:szCs w:val="24"/>
          <w:lang w:bidi="ar"/>
        </w:rPr>
        <w:t>000元违约金，第三次处以</w:t>
      </w:r>
      <w:r>
        <w:rPr>
          <w:rFonts w:hint="eastAsia" w:ascii="宋体" w:hAnsi="宋体" w:cs="宋体"/>
          <w:color w:val="auto"/>
          <w:sz w:val="24"/>
          <w:szCs w:val="24"/>
          <w:lang w:val="en-US" w:eastAsia="zh-CN" w:bidi="ar"/>
        </w:rPr>
        <w:t>5</w:t>
      </w:r>
      <w:r>
        <w:rPr>
          <w:rFonts w:hint="eastAsia" w:ascii="宋体" w:hAnsi="宋体" w:eastAsia="宋体" w:cs="宋体"/>
          <w:color w:val="auto"/>
          <w:sz w:val="24"/>
          <w:szCs w:val="24"/>
          <w:lang w:bidi="ar"/>
        </w:rPr>
        <w:t>000元违约金，且乙方必须及时整改。第四次甲方有权终止合同并不予退还履约保证金。</w:t>
      </w:r>
    </w:p>
    <w:p w14:paraId="3AA31CD0">
      <w:pPr>
        <w:pageBreakBefore w:val="0"/>
        <w:kinsoku/>
        <w:wordWrap/>
        <w:topLinePunct w:val="0"/>
        <w:bidi w:val="0"/>
        <w:spacing w:line="440" w:lineRule="exact"/>
        <w:ind w:left="0" w:leftChars="0" w:right="0" w:rightChars="0" w:firstLine="720" w:firstLineChars="3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eastAsia="zh-CN" w:bidi="ar"/>
        </w:rPr>
        <w:t>②</w:t>
      </w:r>
      <w:r>
        <w:rPr>
          <w:rFonts w:hint="eastAsia" w:ascii="宋体" w:hAnsi="宋体" w:eastAsia="宋体" w:cs="宋体"/>
          <w:color w:val="auto"/>
          <w:sz w:val="24"/>
          <w:szCs w:val="24"/>
          <w:lang w:bidi="ar"/>
        </w:rPr>
        <w:t>违反药品使用规定，甲方有权终止合同并不予退还履约保证金。</w:t>
      </w:r>
    </w:p>
    <w:p w14:paraId="2F0ABECB">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6.</w:t>
      </w:r>
      <w:r>
        <w:rPr>
          <w:rFonts w:hint="eastAsia" w:ascii="宋体" w:hAnsi="宋体" w:eastAsia="宋体" w:cs="宋体"/>
          <w:color w:val="auto"/>
          <w:sz w:val="24"/>
          <w:szCs w:val="24"/>
          <w:lang w:bidi="ar"/>
        </w:rPr>
        <w:t>绿化作业产生的枯枝杂草要求及时清理并运离作业现场，甲方发现一次未及时清运处违约金200元。若由于未及时清运造成火灾事故的，由乙方负全责，并赔偿由此造成的经济损失。</w:t>
      </w:r>
    </w:p>
    <w:p w14:paraId="54121D2A">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cs="宋体"/>
          <w:color w:val="auto"/>
          <w:sz w:val="24"/>
          <w:szCs w:val="24"/>
          <w:lang w:val="en-US" w:eastAsia="zh-CN" w:bidi="ar"/>
        </w:rPr>
        <w:t>7</w:t>
      </w:r>
      <w:r>
        <w:rPr>
          <w:rFonts w:hint="eastAsia" w:ascii="宋体" w:hAnsi="宋体" w:eastAsia="宋体" w:cs="宋体"/>
          <w:color w:val="auto"/>
          <w:sz w:val="24"/>
          <w:szCs w:val="24"/>
          <w:lang w:val="en-US" w:eastAsia="zh-CN" w:bidi="ar"/>
        </w:rPr>
        <w:t>.</w:t>
      </w:r>
      <w:r>
        <w:rPr>
          <w:rFonts w:hint="eastAsia" w:ascii="宋体" w:hAnsi="宋体" w:eastAsia="宋体" w:cs="宋体"/>
          <w:color w:val="auto"/>
          <w:sz w:val="24"/>
          <w:szCs w:val="24"/>
          <w:lang w:bidi="ar"/>
        </w:rPr>
        <w:t>乙方项目负责人在合同期内不得随意更换，确须更换项目负责人须经甲方书面同意，未经甲方书面同意的，甲方有权解除合同并不予退还其履约保证金。</w:t>
      </w:r>
    </w:p>
    <w:p w14:paraId="5DBB051D">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cs="宋体"/>
          <w:color w:val="auto"/>
          <w:sz w:val="24"/>
          <w:szCs w:val="24"/>
          <w:lang w:val="en-US" w:eastAsia="zh-CN" w:bidi="ar"/>
        </w:rPr>
        <w:t>8</w:t>
      </w:r>
      <w:r>
        <w:rPr>
          <w:rFonts w:hint="eastAsia" w:ascii="宋体" w:hAnsi="宋体" w:eastAsia="宋体" w:cs="宋体"/>
          <w:color w:val="auto"/>
          <w:sz w:val="24"/>
          <w:szCs w:val="24"/>
          <w:lang w:val="en-US" w:eastAsia="zh-CN" w:bidi="ar"/>
        </w:rPr>
        <w:t>.</w:t>
      </w:r>
      <w:r>
        <w:rPr>
          <w:rFonts w:hint="eastAsia" w:ascii="宋体" w:hAnsi="宋体" w:eastAsia="宋体" w:cs="宋体"/>
          <w:color w:val="auto"/>
          <w:sz w:val="24"/>
          <w:szCs w:val="24"/>
          <w:lang w:bidi="ar"/>
        </w:rPr>
        <w:t>除合同另有约定外，在甲方发出的违约通知后十日内（或经甲方书面确认的更长时间内），乙方仍未能纠正其任何一种违约行为的，则甲方有权解除本合同。</w:t>
      </w:r>
    </w:p>
    <w:p w14:paraId="560F4041">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cs="宋体"/>
          <w:color w:val="auto"/>
          <w:sz w:val="24"/>
          <w:szCs w:val="24"/>
          <w:lang w:val="en-US" w:eastAsia="zh-CN" w:bidi="ar"/>
        </w:rPr>
        <w:t>9.</w:t>
      </w:r>
      <w:r>
        <w:rPr>
          <w:rFonts w:hint="eastAsia" w:ascii="宋体" w:hAnsi="宋体" w:eastAsia="宋体" w:cs="宋体"/>
          <w:color w:val="auto"/>
          <w:sz w:val="24"/>
          <w:szCs w:val="24"/>
          <w:lang w:bidi="ar"/>
        </w:rPr>
        <w:t xml:space="preserve"> 乙方因违约所承担的违约金，甲方有权从应向乙方支付的款项或履约保证金中抵扣。</w:t>
      </w:r>
    </w:p>
    <w:p w14:paraId="4F24A335">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sz w:val="24"/>
          <w:szCs w:val="24"/>
          <w:lang w:bidi="ar"/>
        </w:rPr>
      </w:pPr>
      <w:r>
        <w:rPr>
          <w:rFonts w:hint="eastAsia" w:ascii="宋体" w:hAnsi="宋体" w:eastAsia="宋体" w:cs="宋体"/>
          <w:color w:val="auto"/>
          <w:sz w:val="24"/>
          <w:szCs w:val="24"/>
          <w:lang w:val="en-US" w:eastAsia="zh-CN" w:bidi="ar"/>
        </w:rPr>
        <w:t>1</w:t>
      </w:r>
      <w:r>
        <w:rPr>
          <w:rFonts w:hint="eastAsia" w:ascii="宋体" w:hAnsi="宋体" w:cs="宋体"/>
          <w:color w:val="auto"/>
          <w:sz w:val="24"/>
          <w:szCs w:val="24"/>
          <w:lang w:val="en-US" w:eastAsia="zh-CN" w:bidi="ar"/>
        </w:rPr>
        <w:t>0</w:t>
      </w:r>
      <w:r>
        <w:rPr>
          <w:rFonts w:hint="eastAsia" w:ascii="宋体" w:hAnsi="宋体" w:eastAsia="宋体" w:cs="宋体"/>
          <w:color w:val="auto"/>
          <w:sz w:val="24"/>
          <w:szCs w:val="24"/>
          <w:lang w:val="en-US" w:eastAsia="zh-CN" w:bidi="ar"/>
        </w:rPr>
        <w:t>.</w:t>
      </w:r>
      <w:r>
        <w:rPr>
          <w:rFonts w:hint="eastAsia" w:ascii="宋体" w:hAnsi="宋体" w:eastAsia="宋体" w:cs="宋体"/>
          <w:color w:val="auto"/>
          <w:sz w:val="24"/>
          <w:szCs w:val="24"/>
          <w:lang w:bidi="ar"/>
        </w:rPr>
        <w:t>乙方未能按服务规定的时间按期提供服务(不可抗力除外)，每延期1 天，按该次服务合同金额（含税）的0.05‰交付违约金。不满1天按1天计算，但是，违约金的数额不得超过该次服务合同金额（含税）的10％，如果乙方违约金的数额达到最高限额后仍未能交货和提供服务，甲方有权解除合同。</w:t>
      </w:r>
    </w:p>
    <w:p w14:paraId="21AA5C99">
      <w:pPr>
        <w:spacing w:line="360" w:lineRule="auto"/>
        <w:ind w:firstLine="480" w:firstLineChars="200"/>
        <w:rPr>
          <w:rFonts w:hint="eastAsia" w:eastAsia="宋体"/>
        </w:rPr>
      </w:pPr>
      <w:r>
        <w:rPr>
          <w:rFonts w:hint="eastAsia" w:ascii="宋体" w:hAnsi="宋体" w:eastAsia="宋体" w:cs="宋体"/>
          <w:color w:val="auto"/>
          <w:sz w:val="24"/>
          <w:lang w:val="en-US" w:eastAsia="zh-CN" w:bidi="ar"/>
        </w:rPr>
        <w:t>1</w:t>
      </w:r>
      <w:r>
        <w:rPr>
          <w:rFonts w:hint="eastAsia" w:ascii="宋体" w:hAnsi="宋体" w:cs="宋体"/>
          <w:color w:val="auto"/>
          <w:sz w:val="24"/>
          <w:lang w:val="en-US" w:eastAsia="zh-CN" w:bidi="ar"/>
        </w:rPr>
        <w:t>1</w:t>
      </w:r>
      <w:r>
        <w:rPr>
          <w:rFonts w:hint="eastAsia" w:ascii="宋体" w:hAnsi="宋体" w:eastAsia="宋体" w:cs="宋体"/>
          <w:color w:val="auto"/>
          <w:sz w:val="24"/>
          <w:lang w:val="en-US" w:eastAsia="zh-CN" w:bidi="ar"/>
        </w:rPr>
        <w:t>.</w:t>
      </w:r>
      <w:r>
        <w:rPr>
          <w:rFonts w:hint="eastAsia" w:ascii="宋体" w:hAnsi="宋体" w:eastAsia="宋体" w:cs="宋体"/>
          <w:color w:val="auto"/>
          <w:sz w:val="24"/>
          <w:lang w:bidi="ar"/>
        </w:rPr>
        <w:t>甲方违约责任：如果甲方无正当理由延迟履行付款义务时，在延付期内按照延付金额每日利率万分之二支付违约金，违约金最高限额为逾期付款金额（含税）的10%，但是因乙方原因导致甲方延迟付款或拒绝付款的除外。</w:t>
      </w:r>
    </w:p>
    <w:p w14:paraId="3A73FB8F">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lang w:eastAsia="zh-CN"/>
        </w:rPr>
        <w:t>十一</w:t>
      </w:r>
      <w:r>
        <w:rPr>
          <w:rFonts w:hint="eastAsia" w:ascii="宋体" w:hAnsi="宋体" w:eastAsia="宋体" w:cs="宋体"/>
          <w:b/>
          <w:color w:val="auto"/>
          <w:sz w:val="24"/>
          <w:szCs w:val="24"/>
        </w:rPr>
        <w:t>、</w:t>
      </w:r>
      <w:r>
        <w:rPr>
          <w:rFonts w:ascii="宋体" w:hAnsi="宋体" w:eastAsia="宋体" w:cs="宋体"/>
          <w:b/>
          <w:color w:val="auto"/>
          <w:sz w:val="24"/>
          <w:szCs w:val="24"/>
        </w:rPr>
        <w:t xml:space="preserve"> </w:t>
      </w:r>
      <w:r>
        <w:rPr>
          <w:rFonts w:hint="eastAsia" w:ascii="宋体" w:hAnsi="宋体" w:eastAsia="宋体" w:cs="宋体"/>
          <w:b/>
          <w:color w:val="auto"/>
          <w:sz w:val="24"/>
          <w:szCs w:val="24"/>
        </w:rPr>
        <w:t>知识产权</w:t>
      </w:r>
    </w:p>
    <w:p w14:paraId="6148951C">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rPr>
        <w:t>乙方保证，其向甲方提供的本合同项下的成果（包含软件、系统、平台等工具在内，下同）不侵犯任何第三方的知识产权及其他合法权益。否则，由此产生的一切责任和损失由乙方承担。若因乙方提供的成果存在权利瑕疵而影响甲方使用的，乙方应在7个工作日内自担费用并采取补救措施：为甲方获取继续使用该等成果的权利；或用不会造成侵权的同等技术水平的成果进行替换。否则，视为乙方严重违约，乙方应赔偿甲方因此所遭受的全部损失（包括但不限于罚款、第三方索赔、律师费、保全费、保全担保费、公证费、评估费、鉴定费、差旅费等），且甲方有权解除本合同，要求乙方退还甲方已支付的全部款项，并要求乙方按本合同总金额（含税）的30%支付违约金。</w:t>
      </w:r>
    </w:p>
    <w:p w14:paraId="2E230221">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rPr>
        <w:t>十</w:t>
      </w: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、保密条款</w:t>
      </w:r>
    </w:p>
    <w:p w14:paraId="1495A44D">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lang w:val="en-US" w:eastAsia="zh-CN"/>
        </w:rPr>
        <w:t>1.</w:t>
      </w:r>
      <w:r>
        <w:rPr>
          <w:rFonts w:ascii="宋体" w:hAnsi="宋体" w:eastAsia="宋体"/>
          <w:color w:val="auto"/>
          <w:sz w:val="24"/>
          <w:szCs w:val="24"/>
        </w:rPr>
        <w:t>保密信息是指乙方在签订及履行本协议过程中所获悉的属于</w:t>
      </w:r>
      <w:r>
        <w:rPr>
          <w:rFonts w:hint="eastAsia" w:ascii="宋体" w:hAnsi="宋体" w:eastAsia="宋体"/>
          <w:color w:val="auto"/>
          <w:sz w:val="24"/>
          <w:szCs w:val="24"/>
        </w:rPr>
        <w:t>甲方</w:t>
      </w:r>
      <w:r>
        <w:rPr>
          <w:rFonts w:ascii="宋体" w:hAnsi="宋体" w:eastAsia="宋体"/>
          <w:color w:val="auto"/>
          <w:sz w:val="24"/>
          <w:szCs w:val="24"/>
        </w:rPr>
        <w:t>的且无法自公开渠道获得的文件资料与信息（包括但不限于技术信息、经营信息、财务信息等），对该等资料或信息的任何泄露、扩散或不当利用，将会损害</w:t>
      </w:r>
      <w:r>
        <w:rPr>
          <w:rFonts w:hint="eastAsia" w:ascii="宋体" w:hAnsi="宋体" w:eastAsia="宋体"/>
          <w:color w:val="auto"/>
          <w:sz w:val="24"/>
          <w:szCs w:val="24"/>
        </w:rPr>
        <w:t>甲方</w:t>
      </w:r>
      <w:r>
        <w:rPr>
          <w:rFonts w:ascii="宋体" w:hAnsi="宋体" w:eastAsia="宋体"/>
          <w:color w:val="auto"/>
          <w:sz w:val="24"/>
          <w:szCs w:val="24"/>
        </w:rPr>
        <w:t>的利益，而不管</w:t>
      </w:r>
      <w:r>
        <w:rPr>
          <w:rFonts w:hint="eastAsia" w:ascii="宋体" w:hAnsi="宋体" w:eastAsia="宋体"/>
          <w:color w:val="auto"/>
          <w:sz w:val="24"/>
          <w:szCs w:val="24"/>
        </w:rPr>
        <w:t>甲方</w:t>
      </w:r>
      <w:r>
        <w:rPr>
          <w:rFonts w:ascii="宋体" w:hAnsi="宋体" w:eastAsia="宋体"/>
          <w:color w:val="auto"/>
          <w:sz w:val="24"/>
          <w:szCs w:val="24"/>
        </w:rPr>
        <w:t>透露时是否事先表明该等信息或资料是否应该保密或是否属机密资料。未经</w:t>
      </w:r>
      <w:r>
        <w:rPr>
          <w:rFonts w:hint="eastAsia" w:ascii="宋体" w:hAnsi="宋体" w:eastAsia="宋体"/>
          <w:color w:val="auto"/>
          <w:sz w:val="24"/>
          <w:szCs w:val="24"/>
        </w:rPr>
        <w:t>甲方</w:t>
      </w:r>
      <w:r>
        <w:rPr>
          <w:rFonts w:ascii="宋体" w:hAnsi="宋体" w:eastAsia="宋体"/>
          <w:color w:val="auto"/>
          <w:sz w:val="24"/>
          <w:szCs w:val="24"/>
        </w:rPr>
        <w:t>书面同意，乙方不得向</w:t>
      </w:r>
      <w:r>
        <w:rPr>
          <w:rFonts w:hint="eastAsia" w:ascii="宋体" w:hAnsi="宋体" w:eastAsia="宋体"/>
          <w:color w:val="auto"/>
          <w:sz w:val="24"/>
          <w:szCs w:val="24"/>
        </w:rPr>
        <w:t>甲方以外</w:t>
      </w:r>
      <w:r>
        <w:rPr>
          <w:rFonts w:ascii="宋体" w:hAnsi="宋体" w:eastAsia="宋体"/>
          <w:color w:val="auto"/>
          <w:sz w:val="24"/>
          <w:szCs w:val="24"/>
        </w:rPr>
        <w:t>任何第三方披露、泄漏或擅自利用该等保密信息。乙方违反本保密条款的，</w:t>
      </w:r>
      <w:r>
        <w:rPr>
          <w:rFonts w:hint="eastAsia" w:ascii="宋体" w:hAnsi="宋体" w:eastAsia="宋体"/>
          <w:color w:val="auto"/>
          <w:sz w:val="24"/>
          <w:szCs w:val="24"/>
        </w:rPr>
        <w:t>甲方</w:t>
      </w:r>
      <w:r>
        <w:rPr>
          <w:rFonts w:ascii="宋体" w:hAnsi="宋体" w:eastAsia="宋体"/>
          <w:color w:val="auto"/>
          <w:sz w:val="24"/>
          <w:szCs w:val="24"/>
        </w:rPr>
        <w:t>除有权要求乙方赔偿其所遭受的所有直接及间接损失外，还有权要求乙方按本合同总金额</w:t>
      </w:r>
      <w:r>
        <w:rPr>
          <w:rFonts w:hint="eastAsia" w:ascii="宋体" w:hAnsi="宋体" w:eastAsia="宋体"/>
          <w:color w:val="auto"/>
          <w:sz w:val="24"/>
          <w:szCs w:val="24"/>
        </w:rPr>
        <w:t>（含税）</w:t>
      </w:r>
      <w:r>
        <w:rPr>
          <w:rFonts w:ascii="宋体" w:hAnsi="宋体" w:eastAsia="宋体"/>
          <w:color w:val="auto"/>
          <w:sz w:val="24"/>
          <w:szCs w:val="24"/>
        </w:rPr>
        <w:t>的30%支付违</w:t>
      </w:r>
      <w:r>
        <w:rPr>
          <w:rFonts w:hint="eastAsia" w:ascii="宋体" w:hAnsi="宋体" w:eastAsia="宋体"/>
          <w:color w:val="auto"/>
          <w:sz w:val="24"/>
          <w:szCs w:val="24"/>
        </w:rPr>
        <w:t>约金。</w:t>
      </w:r>
    </w:p>
    <w:p w14:paraId="36EB2A42">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lang w:val="en-US" w:eastAsia="zh-CN"/>
        </w:rPr>
        <w:t>2.</w:t>
      </w:r>
      <w:r>
        <w:rPr>
          <w:rFonts w:ascii="宋体" w:hAnsi="宋体" w:eastAsia="宋体"/>
          <w:color w:val="auto"/>
          <w:sz w:val="24"/>
          <w:szCs w:val="24"/>
        </w:rPr>
        <w:t>保密期限自乙方接触</w:t>
      </w:r>
      <w:r>
        <w:rPr>
          <w:rFonts w:hint="eastAsia" w:ascii="宋体" w:hAnsi="宋体" w:eastAsia="宋体"/>
          <w:color w:val="auto"/>
          <w:sz w:val="24"/>
          <w:szCs w:val="24"/>
        </w:rPr>
        <w:t>甲方</w:t>
      </w:r>
      <w:r>
        <w:rPr>
          <w:rFonts w:ascii="宋体" w:hAnsi="宋体" w:eastAsia="宋体"/>
          <w:color w:val="auto"/>
          <w:sz w:val="24"/>
          <w:szCs w:val="24"/>
        </w:rPr>
        <w:t>的保密信息时起至</w:t>
      </w:r>
      <w:r>
        <w:rPr>
          <w:rFonts w:hint="eastAsia" w:ascii="宋体" w:hAnsi="宋体" w:eastAsia="宋体"/>
          <w:color w:val="auto"/>
          <w:sz w:val="24"/>
          <w:szCs w:val="24"/>
        </w:rPr>
        <w:t>甲方</w:t>
      </w:r>
      <w:r>
        <w:rPr>
          <w:rFonts w:ascii="宋体" w:hAnsi="宋体" w:eastAsia="宋体"/>
          <w:color w:val="auto"/>
          <w:sz w:val="24"/>
          <w:szCs w:val="24"/>
        </w:rPr>
        <w:t>宣布解密或者保密信息合法进入公有领域之日止；若保密信息经由非正常的渠道被</w:t>
      </w:r>
      <w:r>
        <w:rPr>
          <w:rFonts w:hint="eastAsia" w:ascii="宋体" w:hAnsi="宋体" w:eastAsia="宋体"/>
          <w:color w:val="auto"/>
          <w:sz w:val="24"/>
          <w:szCs w:val="24"/>
        </w:rPr>
        <w:t>甲方</w:t>
      </w:r>
      <w:r>
        <w:rPr>
          <w:rFonts w:ascii="宋体" w:hAnsi="宋体" w:eastAsia="宋体"/>
          <w:color w:val="auto"/>
          <w:sz w:val="24"/>
          <w:szCs w:val="24"/>
        </w:rPr>
        <w:t>以外的人公开的，乙方也应继续依本协议的约定承担保密义务。在保密信息的个别部分或个别要素已被公知，但尚未使保密信息的其他部分或整体成为公知知识时，乙方应按本协议的约定承担仍属秘密部分的保密信息的保密义务。</w:t>
      </w:r>
    </w:p>
    <w:p w14:paraId="3BB87431">
      <w:pPr>
        <w:pageBreakBefore w:val="0"/>
        <w:widowControl/>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lang w:val="en-US" w:eastAsia="zh-CN"/>
        </w:rPr>
        <w:t>3.</w:t>
      </w:r>
      <w:r>
        <w:rPr>
          <w:rFonts w:ascii="宋体" w:hAnsi="宋体" w:eastAsia="宋体"/>
          <w:color w:val="auto"/>
          <w:sz w:val="24"/>
          <w:szCs w:val="24"/>
        </w:rPr>
        <w:t>无论本合同是否有效、终止或解除，本保密条款效力独立有效，不受本合同整体或其他条款效力的影响。</w:t>
      </w:r>
    </w:p>
    <w:p w14:paraId="2E538CA4">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s="Arial"/>
          <w:color w:val="auto"/>
          <w:sz w:val="24"/>
          <w:szCs w:val="24"/>
          <w:lang w:val="en-US" w:eastAsia="zh-CN"/>
        </w:rPr>
        <w:t>4.</w:t>
      </w:r>
      <w:r>
        <w:rPr>
          <w:rFonts w:hint="eastAsia" w:ascii="宋体" w:hAnsi="宋体" w:eastAsia="宋体"/>
          <w:color w:val="auto"/>
          <w:sz w:val="24"/>
          <w:szCs w:val="24"/>
        </w:rPr>
        <w:t>若双方就保密事宜另行签订保密协议的，保密协议作为本合同的附件。</w:t>
      </w:r>
    </w:p>
    <w:p w14:paraId="31AC665B">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b/>
          <w:color w:val="auto"/>
          <w:sz w:val="24"/>
          <w:szCs w:val="24"/>
        </w:rPr>
      </w:pPr>
      <w:r>
        <w:rPr>
          <w:rFonts w:hint="eastAsia" w:ascii="宋体" w:hAnsi="宋体" w:eastAsia="宋体"/>
          <w:b/>
          <w:color w:val="auto"/>
          <w:sz w:val="24"/>
          <w:szCs w:val="24"/>
          <w:lang w:eastAsia="zh-CN"/>
        </w:rPr>
        <w:t>十三</w:t>
      </w:r>
      <w:r>
        <w:rPr>
          <w:rFonts w:hint="eastAsia" w:ascii="宋体" w:hAnsi="宋体" w:eastAsia="宋体"/>
          <w:b/>
          <w:color w:val="auto"/>
          <w:sz w:val="24"/>
          <w:szCs w:val="24"/>
        </w:rPr>
        <w:t>、不可抗力</w:t>
      </w:r>
    </w:p>
    <w:p w14:paraId="155D3BB5">
      <w:pPr>
        <w:pStyle w:val="12"/>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rPr>
      </w:pPr>
      <w:r>
        <w:rPr>
          <w:rFonts w:hint="eastAsia" w:ascii="宋体" w:hAnsi="宋体"/>
          <w:color w:val="auto"/>
          <w:kern w:val="2"/>
          <w:sz w:val="24"/>
          <w:szCs w:val="24"/>
          <w:lang w:val="en-US" w:eastAsia="zh-CN"/>
        </w:rPr>
        <w:t>1.</w:t>
      </w:r>
      <w:r>
        <w:rPr>
          <w:rFonts w:hint="eastAsia" w:ascii="宋体" w:hAnsi="宋体"/>
          <w:color w:val="auto"/>
          <w:kern w:val="2"/>
          <w:sz w:val="24"/>
          <w:szCs w:val="24"/>
        </w:rPr>
        <w:t xml:space="preserve"> 不可抗力是指不能预见、不能避免且不能克服的客观情况，包括但不限于下列事件：战争、政变、罢工、群体示威抗议、重大疫情、政府宣布进入紧急状态、政府发布特别命令或临时限制、地震、台风、水灾、火灾等等。遇有上述不可抗力的一方可以免除相关合同责任,但保险责任除外。</w:t>
      </w:r>
    </w:p>
    <w:p w14:paraId="3A574E8E">
      <w:pPr>
        <w:pStyle w:val="12"/>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color w:val="auto"/>
          <w:kern w:val="2"/>
          <w:sz w:val="24"/>
          <w:szCs w:val="24"/>
        </w:rPr>
      </w:pPr>
      <w:r>
        <w:rPr>
          <w:rFonts w:hint="eastAsia" w:ascii="宋体" w:hAnsi="宋体"/>
          <w:color w:val="auto"/>
          <w:kern w:val="2"/>
          <w:sz w:val="24"/>
          <w:szCs w:val="24"/>
          <w:lang w:val="en-US" w:eastAsia="zh-CN"/>
        </w:rPr>
        <w:t>2.</w:t>
      </w:r>
      <w:r>
        <w:rPr>
          <w:rFonts w:hint="eastAsia" w:ascii="宋体" w:hAnsi="宋体"/>
          <w:color w:val="auto"/>
          <w:kern w:val="2"/>
          <w:sz w:val="24"/>
          <w:szCs w:val="24"/>
        </w:rPr>
        <w:t xml:space="preserve"> 遇有不可抗力事件的一方，应在具备通信条件后立即通知另一方，并应在发出通知后7日内，提供不可抗力事件详情的书面说明及合同不能履行、或者部分不能履行、或者需要延期履行的后续处理方案；逾期未通知或未提供书面说明及方案的，应承担逾期期间对方为继续履行合同所付出的成本。</w:t>
      </w:r>
    </w:p>
    <w:p w14:paraId="77C93AD5">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lang w:val="en-US" w:eastAsia="zh-CN"/>
        </w:rPr>
        <w:t>3.</w:t>
      </w:r>
      <w:r>
        <w:rPr>
          <w:rFonts w:hint="eastAsia" w:ascii="宋体" w:hAnsi="宋体" w:eastAsia="宋体"/>
          <w:color w:val="auto"/>
          <w:sz w:val="24"/>
          <w:szCs w:val="24"/>
        </w:rPr>
        <w:t xml:space="preserve"> 收到通知及说明的一方，应当立即采取措施以防止损失扩大，否则应对扩大部分的损失负责。同时，被通知方有权要求通知方在合理期限内提供有效证明文件作为依据，并在收到通知后7日内回复是否同意通知方的处理方案；逾期未回复的，视为同意。</w:t>
      </w:r>
    </w:p>
    <w:p w14:paraId="36463CD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sz w:val="24"/>
          <w:szCs w:val="24"/>
        </w:rPr>
      </w:pPr>
      <w:r>
        <w:rPr>
          <w:rFonts w:hint="eastAsia" w:ascii="宋体" w:hAnsi="宋体" w:eastAsia="宋体" w:cs="宋体"/>
          <w:b/>
          <w:color w:val="auto"/>
          <w:sz w:val="24"/>
          <w:szCs w:val="24"/>
          <w:lang w:eastAsia="zh-CN"/>
        </w:rPr>
        <w:t>十四</w:t>
      </w:r>
      <w:r>
        <w:rPr>
          <w:rFonts w:hint="eastAsia" w:ascii="宋体" w:hAnsi="宋体" w:eastAsia="宋体" w:cs="宋体"/>
          <w:b/>
          <w:color w:val="auto"/>
          <w:sz w:val="24"/>
          <w:szCs w:val="24"/>
        </w:rPr>
        <w:t>、合同的变更</w:t>
      </w:r>
    </w:p>
    <w:p w14:paraId="21F482EE">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lang w:val="en-US" w:eastAsia="zh-CN"/>
        </w:rPr>
        <w:t>1.</w:t>
      </w:r>
      <w:r>
        <w:rPr>
          <w:rFonts w:hint="eastAsia" w:ascii="宋体" w:hAnsi="宋体" w:eastAsia="宋体"/>
          <w:color w:val="auto"/>
          <w:sz w:val="24"/>
          <w:szCs w:val="24"/>
        </w:rPr>
        <w:t>若一方要求变更合同条款，应按提前15天书面通知另一方，经双方协商达成一致后，签署补充合同或协议。</w:t>
      </w:r>
    </w:p>
    <w:p w14:paraId="1128BBE5">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rPr>
      </w:pPr>
      <w:r>
        <w:rPr>
          <w:rFonts w:hint="eastAsia" w:ascii="宋体" w:hAnsi="宋体" w:eastAsia="宋体"/>
          <w:color w:val="auto"/>
          <w:sz w:val="24"/>
          <w:szCs w:val="24"/>
          <w:lang w:val="en-US" w:eastAsia="zh-CN"/>
        </w:rPr>
        <w:t>2.</w:t>
      </w:r>
      <w:r>
        <w:rPr>
          <w:rFonts w:hint="eastAsia" w:ascii="宋体" w:hAnsi="宋体" w:eastAsia="宋体"/>
          <w:color w:val="auto"/>
          <w:sz w:val="24"/>
          <w:szCs w:val="24"/>
        </w:rPr>
        <w:t>补充合同或协议为本合同不可分割的组成部分，与本合同具有相同效力。补充合同或协议条款与本合同条款</w:t>
      </w:r>
      <w:r>
        <w:rPr>
          <w:rFonts w:hint="eastAsia" w:ascii="宋体" w:hAnsi="宋体" w:eastAsia="宋体" w:cs="宋体"/>
          <w:color w:val="auto"/>
          <w:sz w:val="24"/>
          <w:szCs w:val="24"/>
        </w:rPr>
        <w:t>有冲突之处，以补充合同或协议条款为准。</w:t>
      </w:r>
    </w:p>
    <w:p w14:paraId="17C76A94">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未就修改合同事宜达成一致并签署新的补充合同或协议之前，双方均应继续履行本合同。</w:t>
      </w:r>
    </w:p>
    <w:p w14:paraId="52AB28B0">
      <w:pPr>
        <w:pageBreakBefore w:val="0"/>
        <w:tabs>
          <w:tab w:val="left" w:pos="420"/>
        </w:tabs>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b/>
          <w:color w:val="auto"/>
          <w:kern w:val="0"/>
          <w:sz w:val="24"/>
          <w:szCs w:val="24"/>
        </w:rPr>
      </w:pPr>
      <w:r>
        <w:rPr>
          <w:rFonts w:hint="eastAsia" w:ascii="宋体" w:hAnsi="宋体" w:eastAsia="宋体" w:cs="宋体"/>
          <w:b/>
          <w:color w:val="auto"/>
          <w:kern w:val="0"/>
          <w:sz w:val="24"/>
          <w:szCs w:val="24"/>
          <w:lang w:eastAsia="zh-CN"/>
        </w:rPr>
        <w:t>十五</w:t>
      </w:r>
      <w:r>
        <w:rPr>
          <w:rFonts w:hint="eastAsia" w:ascii="宋体" w:hAnsi="宋体" w:eastAsia="宋体" w:cs="宋体"/>
          <w:b/>
          <w:color w:val="auto"/>
          <w:kern w:val="0"/>
          <w:sz w:val="24"/>
          <w:szCs w:val="24"/>
        </w:rPr>
        <w:t>、合同解除</w:t>
      </w:r>
    </w:p>
    <w:p w14:paraId="68C44A66">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rPr>
        <w:t>本合同在下列任一情形下解除：</w:t>
      </w:r>
    </w:p>
    <w:p w14:paraId="3E25F6CF">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双方通过书面协议解除本合同。</w:t>
      </w:r>
    </w:p>
    <w:p w14:paraId="4575C269">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因不可抗力致使合同目的不能实现的。</w:t>
      </w:r>
    </w:p>
    <w:p w14:paraId="41016855">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在合同期满之前，当事人一方明确表示或以自己的行为表明不履行合同主要义务的。</w:t>
      </w:r>
    </w:p>
    <w:p w14:paraId="27012D4D">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当事人一方迟延履行合同主要义务，经催告后在合理期限内仍未履行。</w:t>
      </w:r>
    </w:p>
    <w:p w14:paraId="4ABA7A0B">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当事人有其他违约或违法行为致使合同目的不能实现的。</w:t>
      </w:r>
    </w:p>
    <w:p w14:paraId="64889165">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6.</w:t>
      </w:r>
      <w:r>
        <w:rPr>
          <w:rFonts w:hint="eastAsia" w:ascii="宋体" w:hAnsi="宋体" w:eastAsia="宋体"/>
          <w:color w:val="auto"/>
          <w:sz w:val="24"/>
          <w:szCs w:val="24"/>
        </w:rPr>
        <w:t>合同约定的其他解除事由。</w:t>
      </w:r>
    </w:p>
    <w:p w14:paraId="520EF637">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s="宋体"/>
          <w:color w:val="auto"/>
          <w:sz w:val="24"/>
          <w:szCs w:val="24"/>
        </w:rPr>
      </w:pPr>
      <w:r>
        <w:rPr>
          <w:rFonts w:hint="eastAsia" w:ascii="宋体" w:hAnsi="宋体" w:eastAsia="宋体"/>
          <w:b/>
          <w:color w:val="auto"/>
          <w:sz w:val="24"/>
          <w:szCs w:val="24"/>
        </w:rPr>
        <w:t>十</w:t>
      </w:r>
      <w:r>
        <w:rPr>
          <w:rFonts w:hint="eastAsia" w:ascii="宋体" w:hAnsi="宋体" w:eastAsia="宋体"/>
          <w:b/>
          <w:color w:val="auto"/>
          <w:sz w:val="24"/>
          <w:szCs w:val="24"/>
          <w:lang w:eastAsia="zh-CN"/>
        </w:rPr>
        <w:t>六</w:t>
      </w:r>
      <w:r>
        <w:rPr>
          <w:rFonts w:hint="eastAsia" w:ascii="宋体" w:hAnsi="宋体" w:eastAsia="宋体"/>
          <w:b/>
          <w:color w:val="auto"/>
          <w:sz w:val="24"/>
          <w:szCs w:val="24"/>
        </w:rPr>
        <w:t>、争议解决条款</w:t>
      </w:r>
    </w:p>
    <w:p w14:paraId="3C48E444">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bookmarkStart w:id="0" w:name="_Toc177186368"/>
      <w:r>
        <w:rPr>
          <w:rFonts w:hint="eastAsia" w:ascii="宋体" w:hAnsi="宋体" w:eastAsia="宋体"/>
          <w:color w:val="auto"/>
          <w:sz w:val="24"/>
          <w:szCs w:val="24"/>
          <w:lang w:val="en-US" w:eastAsia="zh-CN"/>
        </w:rPr>
        <w:t>1.</w:t>
      </w:r>
      <w:r>
        <w:rPr>
          <w:rFonts w:hint="eastAsia" w:ascii="宋体" w:hAnsi="宋体" w:eastAsia="宋体"/>
          <w:color w:val="auto"/>
          <w:sz w:val="24"/>
          <w:szCs w:val="24"/>
        </w:rPr>
        <w:t xml:space="preserve"> </w:t>
      </w:r>
      <w:r>
        <w:rPr>
          <w:rFonts w:ascii="宋体" w:hAnsi="宋体" w:eastAsia="宋体"/>
          <w:color w:val="auto"/>
          <w:sz w:val="24"/>
          <w:szCs w:val="24"/>
        </w:rPr>
        <w:t>因执行本合同所发生的或者与本合同有关的一切争议</w:t>
      </w:r>
      <w:r>
        <w:rPr>
          <w:rFonts w:hint="eastAsia" w:ascii="宋体" w:hAnsi="宋体" w:eastAsia="宋体"/>
          <w:color w:val="auto"/>
          <w:sz w:val="24"/>
          <w:szCs w:val="24"/>
        </w:rPr>
        <w:t>，双方应首先采取友好协商的方式解决该争议</w:t>
      </w:r>
      <w:r>
        <w:rPr>
          <w:rFonts w:ascii="宋体" w:hAnsi="宋体" w:eastAsia="宋体"/>
          <w:color w:val="auto"/>
          <w:sz w:val="24"/>
          <w:szCs w:val="24"/>
        </w:rPr>
        <w:t>。如果不能协商一致，</w:t>
      </w:r>
      <w:r>
        <w:rPr>
          <w:rFonts w:hint="eastAsia" w:ascii="宋体" w:hAnsi="宋体" w:eastAsia="宋体"/>
          <w:color w:val="auto"/>
          <w:sz w:val="24"/>
          <w:szCs w:val="24"/>
        </w:rPr>
        <w:t>任何一方有权向甲方所在地有</w:t>
      </w:r>
      <w:r>
        <w:rPr>
          <w:rFonts w:ascii="宋体" w:hAnsi="宋体" w:eastAsia="宋体"/>
          <w:color w:val="auto"/>
          <w:sz w:val="24"/>
          <w:szCs w:val="24"/>
        </w:rPr>
        <w:t>管辖权的</w:t>
      </w:r>
      <w:r>
        <w:rPr>
          <w:rFonts w:hint="eastAsia" w:ascii="宋体" w:hAnsi="宋体" w:eastAsia="宋体"/>
          <w:color w:val="auto"/>
          <w:sz w:val="24"/>
          <w:szCs w:val="24"/>
        </w:rPr>
        <w:t>人民法院提起诉讼</w:t>
      </w:r>
      <w:bookmarkEnd w:id="0"/>
      <w:r>
        <w:rPr>
          <w:rFonts w:hint="eastAsia" w:ascii="宋体" w:hAnsi="宋体" w:eastAsia="宋体"/>
          <w:color w:val="auto"/>
          <w:sz w:val="24"/>
          <w:szCs w:val="24"/>
        </w:rPr>
        <w:t>，</w:t>
      </w:r>
      <w:r>
        <w:rPr>
          <w:rFonts w:ascii="宋体" w:hAnsi="宋体" w:eastAsia="宋体"/>
          <w:color w:val="auto"/>
          <w:sz w:val="24"/>
          <w:szCs w:val="24"/>
        </w:rPr>
        <w:t>由</w:t>
      </w:r>
      <w:r>
        <w:rPr>
          <w:rFonts w:hint="eastAsia" w:ascii="宋体" w:hAnsi="宋体" w:eastAsia="宋体"/>
          <w:color w:val="auto"/>
          <w:sz w:val="24"/>
          <w:szCs w:val="24"/>
        </w:rPr>
        <w:t>败</w:t>
      </w:r>
      <w:r>
        <w:rPr>
          <w:rFonts w:ascii="宋体" w:hAnsi="宋体" w:eastAsia="宋体"/>
          <w:color w:val="auto"/>
          <w:sz w:val="24"/>
          <w:szCs w:val="24"/>
        </w:rPr>
        <w:t>诉方承担律师费、差旅费</w:t>
      </w:r>
      <w:r>
        <w:rPr>
          <w:rFonts w:hint="eastAsia" w:ascii="宋体" w:hAnsi="宋体" w:eastAsia="宋体"/>
          <w:color w:val="auto"/>
          <w:sz w:val="24"/>
          <w:szCs w:val="24"/>
        </w:rPr>
        <w:t>、取</w:t>
      </w:r>
      <w:r>
        <w:rPr>
          <w:rFonts w:ascii="宋体" w:hAnsi="宋体" w:eastAsia="宋体"/>
          <w:color w:val="auto"/>
          <w:sz w:val="24"/>
          <w:szCs w:val="24"/>
        </w:rPr>
        <w:t>证费、诉讼</w:t>
      </w:r>
      <w:r>
        <w:rPr>
          <w:rFonts w:hint="eastAsia" w:ascii="宋体" w:hAnsi="宋体" w:eastAsia="宋体"/>
          <w:color w:val="auto"/>
          <w:sz w:val="24"/>
          <w:szCs w:val="24"/>
        </w:rPr>
        <w:t>费等一</w:t>
      </w:r>
      <w:r>
        <w:rPr>
          <w:rFonts w:ascii="宋体" w:hAnsi="宋体" w:eastAsia="宋体"/>
          <w:color w:val="auto"/>
          <w:sz w:val="24"/>
          <w:szCs w:val="24"/>
        </w:rPr>
        <w:t>切费用。</w:t>
      </w:r>
    </w:p>
    <w:p w14:paraId="30ADFE0A">
      <w:pPr>
        <w:pageBreakBefore w:val="0"/>
        <w:tabs>
          <w:tab w:val="left" w:pos="420"/>
        </w:tabs>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olor w:val="auto"/>
          <w:sz w:val="24"/>
          <w:szCs w:val="24"/>
        </w:rPr>
      </w:pPr>
      <w:bookmarkStart w:id="1" w:name="_Toc177186369"/>
      <w:r>
        <w:rPr>
          <w:rFonts w:hint="eastAsia" w:ascii="宋体" w:hAnsi="宋体" w:eastAsia="宋体"/>
          <w:color w:val="auto"/>
          <w:sz w:val="24"/>
          <w:szCs w:val="24"/>
          <w:lang w:val="en-US" w:eastAsia="zh-CN"/>
        </w:rPr>
        <w:t>2.</w:t>
      </w:r>
      <w:r>
        <w:rPr>
          <w:rFonts w:ascii="宋体" w:hAnsi="宋体" w:eastAsia="宋体"/>
          <w:color w:val="auto"/>
          <w:sz w:val="24"/>
          <w:szCs w:val="24"/>
        </w:rPr>
        <w:t>除非另有协议，诉诸</w:t>
      </w:r>
      <w:r>
        <w:rPr>
          <w:rFonts w:hint="eastAsia" w:ascii="宋体" w:hAnsi="宋体" w:eastAsia="宋体"/>
          <w:color w:val="auto"/>
          <w:sz w:val="24"/>
          <w:szCs w:val="24"/>
        </w:rPr>
        <w:t>法院</w:t>
      </w:r>
      <w:r>
        <w:rPr>
          <w:rFonts w:ascii="宋体" w:hAnsi="宋体" w:eastAsia="宋体"/>
          <w:color w:val="auto"/>
          <w:sz w:val="24"/>
          <w:szCs w:val="24"/>
        </w:rPr>
        <w:t>裁</w:t>
      </w:r>
      <w:r>
        <w:rPr>
          <w:rFonts w:hint="eastAsia" w:ascii="宋体" w:hAnsi="宋体" w:eastAsia="宋体"/>
          <w:color w:val="auto"/>
          <w:sz w:val="24"/>
          <w:szCs w:val="24"/>
        </w:rPr>
        <w:t>判</w:t>
      </w:r>
      <w:r>
        <w:rPr>
          <w:rFonts w:ascii="宋体" w:hAnsi="宋体" w:eastAsia="宋体"/>
          <w:color w:val="auto"/>
          <w:sz w:val="24"/>
          <w:szCs w:val="24"/>
        </w:rPr>
        <w:t>不影响合同双方继续履行合同项下</w:t>
      </w:r>
      <w:r>
        <w:rPr>
          <w:rFonts w:hint="eastAsia" w:ascii="宋体" w:hAnsi="宋体" w:eastAsia="宋体"/>
          <w:color w:val="auto"/>
          <w:sz w:val="24"/>
          <w:szCs w:val="24"/>
        </w:rPr>
        <w:t>争议</w:t>
      </w:r>
      <w:r>
        <w:rPr>
          <w:rFonts w:ascii="宋体" w:hAnsi="宋体" w:eastAsia="宋体"/>
          <w:color w:val="auto"/>
          <w:sz w:val="24"/>
          <w:szCs w:val="24"/>
        </w:rPr>
        <w:t>以外部分</w:t>
      </w:r>
      <w:r>
        <w:rPr>
          <w:rFonts w:hint="eastAsia" w:ascii="宋体" w:hAnsi="宋体" w:eastAsia="宋体"/>
          <w:color w:val="auto"/>
          <w:sz w:val="24"/>
          <w:szCs w:val="24"/>
        </w:rPr>
        <w:t>各自</w:t>
      </w:r>
      <w:r>
        <w:rPr>
          <w:rFonts w:ascii="宋体" w:hAnsi="宋体" w:eastAsia="宋体"/>
          <w:color w:val="auto"/>
          <w:sz w:val="24"/>
          <w:szCs w:val="24"/>
        </w:rPr>
        <w:t>的义务。</w:t>
      </w:r>
      <w:bookmarkEnd w:id="1"/>
      <w:r>
        <w:rPr>
          <w:rFonts w:ascii="宋体" w:hAnsi="宋体" w:eastAsia="宋体"/>
          <w:color w:val="auto"/>
          <w:sz w:val="24"/>
          <w:szCs w:val="24"/>
        </w:rPr>
        <w:t xml:space="preserve">     </w:t>
      </w:r>
    </w:p>
    <w:p w14:paraId="29D6451B">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color w:val="auto"/>
          <w:sz w:val="24"/>
          <w:szCs w:val="24"/>
        </w:rPr>
      </w:pPr>
      <w:r>
        <w:rPr>
          <w:rFonts w:hint="eastAsia" w:ascii="宋体" w:hAnsi="宋体" w:eastAsia="宋体"/>
          <w:b/>
          <w:color w:val="auto"/>
          <w:sz w:val="24"/>
          <w:szCs w:val="24"/>
        </w:rPr>
        <w:t>十七、</w:t>
      </w:r>
      <w:r>
        <w:rPr>
          <w:rFonts w:hint="eastAsia" w:ascii="宋体" w:hAnsi="宋体" w:eastAsia="宋体" w:cs="宋体"/>
          <w:b/>
          <w:color w:val="auto"/>
          <w:sz w:val="24"/>
          <w:szCs w:val="24"/>
        </w:rPr>
        <w:t>其他</w:t>
      </w:r>
    </w:p>
    <w:p w14:paraId="063B0340">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ascii="宋体" w:hAnsi="宋体" w:eastAsia="宋体"/>
          <w:color w:val="auto"/>
          <w:sz w:val="24"/>
          <w:szCs w:val="24"/>
        </w:rPr>
        <w:t>17.</w:t>
      </w:r>
      <w:r>
        <w:rPr>
          <w:rFonts w:hint="eastAsia" w:ascii="宋体" w:hAnsi="宋体" w:eastAsia="宋体"/>
          <w:color w:val="auto"/>
          <w:sz w:val="24"/>
          <w:szCs w:val="24"/>
        </w:rPr>
        <w:t>1合同履行期限：</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，自双方签章之日起生效。</w:t>
      </w:r>
    </w:p>
    <w:p w14:paraId="272B7F5C">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b/>
          <w:color w:val="auto"/>
          <w:sz w:val="24"/>
          <w:szCs w:val="24"/>
        </w:rPr>
      </w:pPr>
      <w:r>
        <w:rPr>
          <w:rFonts w:ascii="宋体" w:hAnsi="宋体" w:eastAsia="宋体"/>
          <w:color w:val="auto"/>
          <w:sz w:val="24"/>
          <w:szCs w:val="24"/>
        </w:rPr>
        <w:t>17.</w:t>
      </w:r>
      <w:r>
        <w:rPr>
          <w:rFonts w:hint="eastAsia" w:ascii="宋体" w:hAnsi="宋体" w:eastAsia="宋体"/>
          <w:color w:val="auto"/>
          <w:sz w:val="24"/>
          <w:szCs w:val="24"/>
        </w:rPr>
        <w:t>2本合同壹式</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份，甲方执</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份，乙方执</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份，具有同等法律效力。</w:t>
      </w:r>
    </w:p>
    <w:p w14:paraId="1BDAC4CA">
      <w:pPr>
        <w:pageBreakBefore w:val="0"/>
        <w:kinsoku/>
        <w:wordWrap/>
        <w:topLinePunct w:val="0"/>
        <w:bidi w:val="0"/>
        <w:spacing w:line="440" w:lineRule="exact"/>
        <w:ind w:left="0" w:leftChars="0" w:right="0" w:rightChars="0" w:firstLine="482" w:firstLineChars="200"/>
        <w:jc w:val="both"/>
        <w:textAlignment w:val="auto"/>
        <w:outlineLvl w:val="9"/>
        <w:rPr>
          <w:rFonts w:ascii="宋体" w:hAnsi="宋体" w:eastAsia="宋体"/>
          <w:b/>
          <w:color w:val="auto"/>
          <w:sz w:val="24"/>
          <w:szCs w:val="24"/>
        </w:rPr>
      </w:pPr>
      <w:r>
        <w:rPr>
          <w:rFonts w:hint="eastAsia" w:ascii="宋体" w:hAnsi="宋体" w:eastAsia="宋体"/>
          <w:b/>
          <w:color w:val="auto"/>
          <w:sz w:val="24"/>
          <w:szCs w:val="24"/>
        </w:rPr>
        <w:t>十八、合同附件</w:t>
      </w:r>
    </w:p>
    <w:p w14:paraId="08CBE54D">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b/>
          <w:color w:val="auto"/>
          <w:sz w:val="24"/>
          <w:szCs w:val="24"/>
        </w:rPr>
      </w:pPr>
      <w:r>
        <w:rPr>
          <w:rFonts w:hint="eastAsia" w:ascii="宋体" w:hAnsi="宋体" w:eastAsia="宋体"/>
          <w:color w:val="auto"/>
          <w:sz w:val="24"/>
          <w:szCs w:val="24"/>
        </w:rPr>
        <w:t>合同附件作为合同组成部分具有同等法律效力。</w:t>
      </w:r>
    </w:p>
    <w:p w14:paraId="0481CD82">
      <w:pPr>
        <w:pageBreakBefore w:val="0"/>
        <w:kinsoku/>
        <w:wordWrap/>
        <w:topLinePunct w:val="0"/>
        <w:bidi w:val="0"/>
        <w:spacing w:line="440" w:lineRule="exact"/>
        <w:ind w:left="0" w:leftChars="0" w:right="0" w:rightChars="0" w:firstLine="480" w:firstLineChars="200"/>
        <w:jc w:val="both"/>
        <w:textAlignment w:val="auto"/>
        <w:outlineLvl w:val="9"/>
        <w:rPr>
          <w:rFonts w:ascii="宋体" w:hAnsi="宋体" w:eastAsia="宋体"/>
          <w:color w:val="auto"/>
          <w:sz w:val="24"/>
          <w:szCs w:val="24"/>
        </w:rPr>
      </w:pPr>
      <w:r>
        <w:rPr>
          <w:rFonts w:hint="eastAsia" w:ascii="宋体" w:hAnsi="宋体" w:eastAsia="宋体"/>
          <w:color w:val="auto"/>
          <w:sz w:val="24"/>
          <w:szCs w:val="24"/>
        </w:rPr>
        <w:t xml:space="preserve">  </w:t>
      </w:r>
      <w:r>
        <w:rPr>
          <w:rFonts w:ascii="宋体" w:hAnsi="宋体" w:eastAsia="宋体"/>
          <w:color w:val="auto"/>
          <w:sz w:val="24"/>
          <w:szCs w:val="24"/>
        </w:rPr>
        <w:t xml:space="preserve">      </w:t>
      </w:r>
      <w:r>
        <w:rPr>
          <w:rFonts w:hint="eastAsia" w:ascii="宋体" w:hAnsi="宋体" w:eastAsia="宋体"/>
          <w:color w:val="auto"/>
          <w:sz w:val="24"/>
          <w:szCs w:val="24"/>
        </w:rPr>
        <w:t xml:space="preserve">  </w:t>
      </w:r>
    </w:p>
    <w:p w14:paraId="58560A46">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olor w:val="auto"/>
          <w:sz w:val="24"/>
          <w:szCs w:val="24"/>
        </w:rPr>
      </w:pPr>
      <w:r>
        <w:rPr>
          <w:rFonts w:hint="eastAsia" w:ascii="宋体" w:hAnsi="宋体" w:eastAsia="宋体" w:cs="宋体"/>
          <w:color w:val="auto"/>
          <w:sz w:val="24"/>
          <w:szCs w:val="24"/>
        </w:rPr>
        <w:t>（以下无正文）</w:t>
      </w:r>
    </w:p>
    <w:p w14:paraId="26E4AC90">
      <w:pPr>
        <w:pageBreakBefore w:val="0"/>
        <w:kinsoku/>
        <w:wordWrap/>
        <w:topLinePunct w:val="0"/>
        <w:bidi w:val="0"/>
        <w:spacing w:line="440" w:lineRule="exact"/>
        <w:ind w:left="0" w:leftChars="0" w:right="0" w:rightChars="0" w:firstLine="480" w:firstLineChars="200"/>
        <w:jc w:val="both"/>
        <w:textAlignment w:val="auto"/>
        <w:outlineLvl w:val="9"/>
        <w:rPr>
          <w:rFonts w:hint="eastAsia" w:ascii="宋体" w:hAnsi="宋体" w:eastAsia="宋体"/>
          <w:color w:val="auto"/>
          <w:sz w:val="24"/>
          <w:szCs w:val="24"/>
        </w:rPr>
      </w:pPr>
    </w:p>
    <w:tbl>
      <w:tblPr>
        <w:tblStyle w:val="6"/>
        <w:tblpPr w:leftFromText="180" w:rightFromText="180" w:vertAnchor="text" w:horzAnchor="margin" w:tblpXSpec="center" w:tblpY="596"/>
        <w:tblW w:w="0" w:type="auto"/>
        <w:tblInd w:w="0" w:type="dxa"/>
        <w:tblLayout w:type="fixed"/>
        <w:tblCellMar>
          <w:top w:w="0" w:type="dxa"/>
          <w:left w:w="108" w:type="dxa"/>
          <w:bottom w:w="0" w:type="dxa"/>
          <w:right w:w="108" w:type="dxa"/>
        </w:tblCellMar>
      </w:tblPr>
      <w:tblGrid>
        <w:gridCol w:w="5070"/>
        <w:gridCol w:w="4252"/>
      </w:tblGrid>
      <w:tr w14:paraId="18B10C86">
        <w:tblPrEx>
          <w:tblCellMar>
            <w:top w:w="0" w:type="dxa"/>
            <w:left w:w="108" w:type="dxa"/>
            <w:bottom w:w="0" w:type="dxa"/>
            <w:right w:w="108" w:type="dxa"/>
          </w:tblCellMar>
        </w:tblPrEx>
        <w:tc>
          <w:tcPr>
            <w:tcW w:w="5070" w:type="dxa"/>
            <w:noWrap w:val="0"/>
            <w:vAlign w:val="center"/>
          </w:tcPr>
          <w:p w14:paraId="6CEF4DEE">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甲    方：</w:t>
            </w:r>
          </w:p>
        </w:tc>
        <w:tc>
          <w:tcPr>
            <w:tcW w:w="4252" w:type="dxa"/>
            <w:noWrap w:val="0"/>
            <w:vAlign w:val="top"/>
          </w:tcPr>
          <w:p w14:paraId="24AB4FA6">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u w:val="single"/>
              </w:rPr>
            </w:pPr>
            <w:r>
              <w:rPr>
                <w:rFonts w:hint="eastAsia" w:ascii="宋体" w:hAnsi="宋体" w:eastAsia="宋体"/>
                <w:color w:val="auto"/>
                <w:sz w:val="24"/>
                <w:szCs w:val="24"/>
              </w:rPr>
              <w:t xml:space="preserve">乙    方： </w:t>
            </w:r>
            <w:r>
              <w:rPr>
                <w:rFonts w:hint="default" w:ascii="宋体" w:hAnsi="宋体" w:eastAsia="宋体"/>
                <w:color w:val="auto"/>
                <w:sz w:val="24"/>
                <w:szCs w:val="24"/>
              </w:rPr>
              <w:t xml:space="preserve">            </w:t>
            </w:r>
          </w:p>
        </w:tc>
      </w:tr>
      <w:tr w14:paraId="3FFE0745">
        <w:tblPrEx>
          <w:tblCellMar>
            <w:top w:w="0" w:type="dxa"/>
            <w:left w:w="108" w:type="dxa"/>
            <w:bottom w:w="0" w:type="dxa"/>
            <w:right w:w="108" w:type="dxa"/>
          </w:tblCellMar>
        </w:tblPrEx>
        <w:tc>
          <w:tcPr>
            <w:tcW w:w="5070" w:type="dxa"/>
            <w:noWrap w:val="0"/>
            <w:vAlign w:val="center"/>
          </w:tcPr>
          <w:p w14:paraId="2AF30D7F">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u w:val="single"/>
              </w:rPr>
            </w:pPr>
            <w:r>
              <w:rPr>
                <w:rFonts w:hint="eastAsia" w:ascii="宋体" w:hAnsi="宋体" w:eastAsia="宋体"/>
                <w:color w:val="auto"/>
                <w:sz w:val="24"/>
                <w:szCs w:val="24"/>
                <w:lang w:eastAsia="zh-CN"/>
              </w:rPr>
              <w:t>法定代表人</w:t>
            </w:r>
            <w:r>
              <w:rPr>
                <w:rFonts w:hint="eastAsia" w:ascii="宋体" w:hAnsi="宋体" w:eastAsia="宋体"/>
                <w:color w:val="auto"/>
                <w:sz w:val="24"/>
                <w:szCs w:val="24"/>
              </w:rPr>
              <w:t>：</w:t>
            </w:r>
          </w:p>
        </w:tc>
        <w:tc>
          <w:tcPr>
            <w:tcW w:w="4252" w:type="dxa"/>
            <w:noWrap w:val="0"/>
            <w:vAlign w:val="top"/>
          </w:tcPr>
          <w:p w14:paraId="2BDBF058">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lang w:eastAsia="zh-CN"/>
              </w:rPr>
              <w:t>法定代表人</w:t>
            </w:r>
            <w:r>
              <w:rPr>
                <w:rFonts w:hint="eastAsia" w:ascii="宋体" w:hAnsi="宋体" w:eastAsia="宋体"/>
                <w:color w:val="auto"/>
                <w:sz w:val="24"/>
                <w:szCs w:val="24"/>
              </w:rPr>
              <w:t>：</w:t>
            </w:r>
          </w:p>
        </w:tc>
      </w:tr>
      <w:tr w14:paraId="3A134956">
        <w:tblPrEx>
          <w:tblCellMar>
            <w:top w:w="0" w:type="dxa"/>
            <w:left w:w="108" w:type="dxa"/>
            <w:bottom w:w="0" w:type="dxa"/>
            <w:right w:w="108" w:type="dxa"/>
          </w:tblCellMar>
        </w:tblPrEx>
        <w:tc>
          <w:tcPr>
            <w:tcW w:w="5070" w:type="dxa"/>
            <w:noWrap w:val="0"/>
            <w:vAlign w:val="center"/>
          </w:tcPr>
          <w:p w14:paraId="5E5B80CA">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开 户 行：</w:t>
            </w:r>
            <w:r>
              <w:rPr>
                <w:rFonts w:hint="default" w:ascii="宋体" w:hAnsi="宋体" w:eastAsia="宋体"/>
                <w:color w:val="auto"/>
                <w:sz w:val="24"/>
                <w:szCs w:val="24"/>
              </w:rPr>
              <w:t xml:space="preserve"> </w:t>
            </w:r>
          </w:p>
        </w:tc>
        <w:tc>
          <w:tcPr>
            <w:tcW w:w="4252" w:type="dxa"/>
            <w:noWrap w:val="0"/>
            <w:vAlign w:val="top"/>
          </w:tcPr>
          <w:p w14:paraId="28CCA6C9">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开 户 行：</w:t>
            </w:r>
            <w:r>
              <w:rPr>
                <w:rFonts w:hint="default" w:ascii="宋体" w:hAnsi="宋体" w:eastAsia="宋体"/>
                <w:color w:val="auto"/>
                <w:sz w:val="24"/>
                <w:szCs w:val="24"/>
              </w:rPr>
              <w:t xml:space="preserve">             </w:t>
            </w:r>
          </w:p>
        </w:tc>
      </w:tr>
      <w:tr w14:paraId="4938BA74">
        <w:tblPrEx>
          <w:tblCellMar>
            <w:top w:w="0" w:type="dxa"/>
            <w:left w:w="108" w:type="dxa"/>
            <w:bottom w:w="0" w:type="dxa"/>
            <w:right w:w="108" w:type="dxa"/>
          </w:tblCellMar>
        </w:tblPrEx>
        <w:tc>
          <w:tcPr>
            <w:tcW w:w="5070" w:type="dxa"/>
            <w:noWrap w:val="0"/>
            <w:vAlign w:val="center"/>
          </w:tcPr>
          <w:p w14:paraId="1DFC40ED">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帐    号：</w:t>
            </w:r>
          </w:p>
        </w:tc>
        <w:tc>
          <w:tcPr>
            <w:tcW w:w="4252" w:type="dxa"/>
            <w:noWrap w:val="0"/>
            <w:vAlign w:val="top"/>
          </w:tcPr>
          <w:p w14:paraId="608C5EEF">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 xml:space="preserve">帐    号： </w:t>
            </w:r>
            <w:r>
              <w:rPr>
                <w:rFonts w:hint="default" w:ascii="宋体" w:hAnsi="宋体" w:eastAsia="宋体"/>
                <w:color w:val="auto"/>
                <w:sz w:val="24"/>
                <w:szCs w:val="24"/>
              </w:rPr>
              <w:t xml:space="preserve">            </w:t>
            </w:r>
          </w:p>
        </w:tc>
      </w:tr>
      <w:tr w14:paraId="16D27446">
        <w:tblPrEx>
          <w:tblCellMar>
            <w:top w:w="0" w:type="dxa"/>
            <w:left w:w="108" w:type="dxa"/>
            <w:bottom w:w="0" w:type="dxa"/>
            <w:right w:w="108" w:type="dxa"/>
          </w:tblCellMar>
        </w:tblPrEx>
        <w:tc>
          <w:tcPr>
            <w:tcW w:w="5070" w:type="dxa"/>
            <w:noWrap w:val="0"/>
            <w:vAlign w:val="center"/>
          </w:tcPr>
          <w:p w14:paraId="46F6FF10">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rPr>
            </w:pPr>
            <w:r>
              <w:rPr>
                <w:rFonts w:hint="eastAsia" w:ascii="宋体" w:hAnsi="宋体" w:eastAsia="宋体"/>
                <w:color w:val="auto"/>
                <w:sz w:val="24"/>
                <w:szCs w:val="24"/>
              </w:rPr>
              <w:t>地    址：</w:t>
            </w:r>
          </w:p>
        </w:tc>
        <w:tc>
          <w:tcPr>
            <w:tcW w:w="4252" w:type="dxa"/>
            <w:noWrap w:val="0"/>
            <w:vAlign w:val="top"/>
          </w:tcPr>
          <w:p w14:paraId="3BD35252">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u w:val="single"/>
              </w:rPr>
            </w:pPr>
            <w:r>
              <w:rPr>
                <w:rFonts w:hint="eastAsia" w:ascii="宋体" w:hAnsi="宋体" w:eastAsia="宋体"/>
                <w:color w:val="auto"/>
                <w:sz w:val="24"/>
                <w:szCs w:val="24"/>
              </w:rPr>
              <w:t xml:space="preserve">地    址： </w:t>
            </w:r>
            <w:r>
              <w:rPr>
                <w:rFonts w:hint="default" w:ascii="宋体" w:hAnsi="宋体" w:eastAsia="宋体"/>
                <w:color w:val="auto"/>
                <w:sz w:val="24"/>
                <w:szCs w:val="24"/>
              </w:rPr>
              <w:t xml:space="preserve">          </w:t>
            </w:r>
          </w:p>
        </w:tc>
      </w:tr>
      <w:tr w14:paraId="5F9D8610">
        <w:tblPrEx>
          <w:tblCellMar>
            <w:top w:w="0" w:type="dxa"/>
            <w:left w:w="108" w:type="dxa"/>
            <w:bottom w:w="0" w:type="dxa"/>
            <w:right w:w="108" w:type="dxa"/>
          </w:tblCellMar>
        </w:tblPrEx>
        <w:tc>
          <w:tcPr>
            <w:tcW w:w="5070" w:type="dxa"/>
            <w:noWrap w:val="0"/>
            <w:vAlign w:val="center"/>
          </w:tcPr>
          <w:p w14:paraId="17788288">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default" w:ascii="宋体" w:hAnsi="宋体" w:eastAsia="宋体"/>
                <w:color w:val="auto"/>
                <w:sz w:val="24"/>
                <w:szCs w:val="24"/>
                <w:u w:val="single"/>
              </w:rPr>
            </w:pPr>
            <w:r>
              <w:rPr>
                <w:rFonts w:hint="eastAsia" w:ascii="宋体" w:hAnsi="宋体" w:eastAsia="宋体"/>
                <w:color w:val="auto"/>
                <w:sz w:val="24"/>
                <w:szCs w:val="24"/>
              </w:rPr>
              <w:t>电    话：</w:t>
            </w:r>
            <w:r>
              <w:rPr>
                <w:rFonts w:hint="default" w:ascii="宋体" w:hAnsi="宋体" w:eastAsia="宋体"/>
                <w:color w:val="auto"/>
                <w:sz w:val="24"/>
                <w:szCs w:val="24"/>
              </w:rPr>
              <w:t xml:space="preserve">           </w:t>
            </w:r>
          </w:p>
        </w:tc>
        <w:tc>
          <w:tcPr>
            <w:tcW w:w="4252" w:type="dxa"/>
            <w:noWrap w:val="0"/>
            <w:vAlign w:val="top"/>
          </w:tcPr>
          <w:p w14:paraId="09469AB7">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default" w:ascii="宋体" w:hAnsi="宋体" w:eastAsia="宋体"/>
                <w:color w:val="auto"/>
                <w:sz w:val="24"/>
                <w:szCs w:val="24"/>
                <w:u w:val="single"/>
              </w:rPr>
            </w:pPr>
            <w:r>
              <w:rPr>
                <w:rFonts w:hint="eastAsia" w:ascii="宋体" w:hAnsi="宋体" w:eastAsia="宋体"/>
                <w:color w:val="auto"/>
                <w:sz w:val="24"/>
                <w:szCs w:val="24"/>
              </w:rPr>
              <w:t xml:space="preserve">电    话： </w:t>
            </w:r>
            <w:r>
              <w:rPr>
                <w:rFonts w:hint="default" w:ascii="宋体" w:hAnsi="宋体" w:eastAsia="宋体"/>
                <w:color w:val="auto"/>
                <w:sz w:val="24"/>
                <w:szCs w:val="24"/>
              </w:rPr>
              <w:t xml:space="preserve">           </w:t>
            </w:r>
          </w:p>
        </w:tc>
      </w:tr>
      <w:tr w14:paraId="32A5C102">
        <w:tblPrEx>
          <w:tblCellMar>
            <w:top w:w="0" w:type="dxa"/>
            <w:left w:w="108" w:type="dxa"/>
            <w:bottom w:w="0" w:type="dxa"/>
            <w:right w:w="108" w:type="dxa"/>
          </w:tblCellMar>
        </w:tblPrEx>
        <w:tc>
          <w:tcPr>
            <w:tcW w:w="5070" w:type="dxa"/>
            <w:noWrap w:val="0"/>
            <w:vAlign w:val="center"/>
          </w:tcPr>
          <w:p w14:paraId="7B848BC5">
            <w:pPr>
              <w:keepNext w:val="0"/>
              <w:keepLines w:val="0"/>
              <w:pageBreakBefore w:val="0"/>
              <w:suppressLineNumbers w:val="0"/>
              <w:kinsoku/>
              <w:wordWrap/>
              <w:topLinePunct w:val="0"/>
              <w:bidi w:val="0"/>
              <w:snapToGrid w:val="0"/>
              <w:spacing w:beforeAutospacing="0" w:afterAutospacing="0" w:line="440" w:lineRule="exact"/>
              <w:ind w:right="0" w:rightChars="0" w:firstLine="240" w:firstLineChars="100"/>
              <w:jc w:val="both"/>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签订日期：</w:t>
            </w:r>
          </w:p>
        </w:tc>
        <w:tc>
          <w:tcPr>
            <w:tcW w:w="4252" w:type="dxa"/>
            <w:noWrap w:val="0"/>
            <w:vAlign w:val="top"/>
          </w:tcPr>
          <w:p w14:paraId="3F241755">
            <w:pPr>
              <w:keepNext w:val="0"/>
              <w:keepLines w:val="0"/>
              <w:pageBreakBefore w:val="0"/>
              <w:suppressLineNumbers w:val="0"/>
              <w:kinsoku/>
              <w:wordWrap/>
              <w:topLinePunct w:val="0"/>
              <w:bidi w:val="0"/>
              <w:snapToGrid w:val="0"/>
              <w:spacing w:beforeAutospacing="0" w:afterAutospacing="0" w:line="440" w:lineRule="exact"/>
              <w:ind w:left="0" w:leftChars="0" w:right="0" w:rightChars="0" w:firstLine="480" w:firstLineChars="200"/>
              <w:jc w:val="both"/>
              <w:textAlignment w:val="auto"/>
              <w:outlineLvl w:val="9"/>
              <w:rPr>
                <w:rFonts w:hint="eastAsia" w:ascii="宋体" w:hAnsi="宋体" w:eastAsia="宋体"/>
                <w:color w:val="auto"/>
                <w:sz w:val="24"/>
                <w:szCs w:val="24"/>
                <w:lang w:eastAsia="zh-CN"/>
              </w:rPr>
            </w:pPr>
            <w:r>
              <w:rPr>
                <w:rFonts w:hint="eastAsia" w:ascii="宋体" w:hAnsi="宋体" w:eastAsia="宋体"/>
                <w:color w:val="auto"/>
                <w:sz w:val="24"/>
                <w:szCs w:val="24"/>
                <w:lang w:eastAsia="zh-CN"/>
              </w:rPr>
              <w:t>签订日期：</w:t>
            </w:r>
          </w:p>
        </w:tc>
      </w:tr>
    </w:tbl>
    <w:p w14:paraId="64555DD3">
      <w:pPr>
        <w:pageBreakBefore w:val="0"/>
        <w:widowControl/>
        <w:kinsoku/>
        <w:wordWrap/>
        <w:topLinePunct w:val="0"/>
        <w:bidi w:val="0"/>
        <w:spacing w:line="240" w:lineRule="auto"/>
        <w:ind w:right="0" w:rightChars="0"/>
        <w:jc w:val="both"/>
        <w:textAlignment w:val="auto"/>
        <w:outlineLvl w:val="9"/>
        <w:rPr>
          <w:rFonts w:hint="eastAsia" w:ascii="宋体" w:hAnsi="宋体" w:eastAsia="宋体"/>
          <w:b w:val="0"/>
          <w:bCs w:val="0"/>
          <w:color w:val="auto"/>
          <w:kern w:val="44"/>
          <w:sz w:val="24"/>
          <w:szCs w:val="24"/>
          <w:lang w:eastAsia="zh-CN"/>
        </w:rPr>
      </w:pPr>
    </w:p>
    <w:p w14:paraId="1D6D12B1">
      <w:pPr>
        <w:pageBreakBefore w:val="0"/>
        <w:widowControl/>
        <w:kinsoku/>
        <w:wordWrap/>
        <w:topLinePunct w:val="0"/>
        <w:bidi w:val="0"/>
        <w:spacing w:line="240" w:lineRule="auto"/>
        <w:ind w:right="0" w:rightChars="0"/>
        <w:jc w:val="both"/>
        <w:textAlignment w:val="auto"/>
        <w:outlineLvl w:val="9"/>
        <w:rPr>
          <w:rFonts w:hint="eastAsia" w:ascii="宋体" w:hAnsi="宋体" w:eastAsia="宋体"/>
          <w:b w:val="0"/>
          <w:bCs w:val="0"/>
          <w:color w:val="auto"/>
          <w:kern w:val="44"/>
          <w:sz w:val="24"/>
          <w:szCs w:val="24"/>
          <w:lang w:eastAsia="zh-CN"/>
        </w:rPr>
      </w:pPr>
    </w:p>
    <w:p w14:paraId="3D9ABEF6">
      <w:pPr>
        <w:pageBreakBefore w:val="0"/>
        <w:widowControl/>
        <w:kinsoku/>
        <w:wordWrap/>
        <w:topLinePunct w:val="0"/>
        <w:bidi w:val="0"/>
        <w:spacing w:line="440" w:lineRule="exact"/>
        <w:ind w:right="0" w:rightChars="0"/>
        <w:jc w:val="both"/>
        <w:textAlignment w:val="auto"/>
        <w:outlineLvl w:val="9"/>
        <w:rPr>
          <w:rFonts w:hint="default" w:ascii="宋体" w:hAnsi="宋体" w:eastAsia="宋体"/>
          <w:b/>
          <w:bCs/>
          <w:color w:val="auto"/>
          <w:kern w:val="44"/>
          <w:sz w:val="24"/>
          <w:szCs w:val="24"/>
          <w:lang w:val="en-US" w:eastAsia="zh-CN"/>
        </w:rPr>
      </w:pPr>
    </w:p>
    <w:p w14:paraId="7A88229C">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21FDB690">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3772D2E5">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5DFA78D7">
      <w:pPr>
        <w:pageBreakBefore w:val="0"/>
        <w:widowControl/>
        <w:kinsoku/>
        <w:wordWrap/>
        <w:topLinePunct w:val="0"/>
        <w:bidi w:val="0"/>
        <w:spacing w:line="440" w:lineRule="exact"/>
        <w:ind w:left="0" w:leftChars="0" w:right="0" w:rightChars="0" w:firstLine="482" w:firstLineChars="200"/>
        <w:jc w:val="both"/>
        <w:textAlignment w:val="auto"/>
        <w:outlineLvl w:val="9"/>
        <w:rPr>
          <w:rFonts w:hint="eastAsia" w:ascii="宋体" w:hAnsi="宋体" w:eastAsia="宋体"/>
          <w:b/>
          <w:bCs/>
          <w:color w:val="auto"/>
          <w:kern w:val="44"/>
          <w:sz w:val="24"/>
          <w:szCs w:val="24"/>
        </w:rPr>
      </w:pPr>
    </w:p>
    <w:p w14:paraId="0761A015">
      <w:pPr>
        <w:pageBreakBefore w:val="0"/>
        <w:widowControl/>
        <w:kinsoku/>
        <w:wordWrap/>
        <w:topLinePunct w:val="0"/>
        <w:bidi w:val="0"/>
        <w:spacing w:line="440" w:lineRule="exact"/>
        <w:ind w:right="0" w:rightChars="0"/>
        <w:jc w:val="both"/>
        <w:textAlignment w:val="auto"/>
        <w:outlineLvl w:val="9"/>
        <w:rPr>
          <w:rFonts w:hint="eastAsia" w:ascii="宋体" w:hAnsi="宋体" w:eastAsia="宋体"/>
          <w:b/>
          <w:bCs/>
          <w:color w:val="auto"/>
          <w:kern w:val="44"/>
          <w:sz w:val="24"/>
          <w:szCs w:val="24"/>
        </w:rPr>
      </w:pPr>
    </w:p>
    <w:p w14:paraId="6A6F5B4E"/>
    <w:p w14:paraId="671091DE"/>
    <w:sectPr>
      <w:head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C0670">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abstractNum w:abstractNumId="1">
    <w:nsid w:val="1594B3C0"/>
    <w:multiLevelType w:val="singleLevel"/>
    <w:tmpl w:val="1594B3C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FC7A9B"/>
    <w:rsid w:val="22532B17"/>
    <w:rsid w:val="299E13F6"/>
    <w:rsid w:val="41FC7A9B"/>
    <w:rsid w:val="74382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2">
    <w:name w:val="heading 2"/>
    <w:next w:val="1"/>
    <w:qFormat/>
    <w:uiPriority w:val="0"/>
    <w:pPr>
      <w:keepNext/>
      <w:keepLines/>
      <w:widowControl w:val="0"/>
      <w:spacing w:before="260" w:beforeLines="0" w:after="260" w:afterLines="0" w:line="416" w:lineRule="auto"/>
      <w:jc w:val="both"/>
      <w:outlineLvl w:val="1"/>
    </w:pPr>
    <w:rPr>
      <w:rFonts w:ascii="Arial" w:hAnsi="Arial" w:eastAsia="黑体" w:cs="Calibri"/>
      <w:b/>
      <w:bCs/>
      <w:kern w:val="2"/>
      <w:sz w:val="32"/>
      <w:szCs w:val="3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paragraph" w:styleId="5">
    <w:name w:val="Title"/>
    <w:next w:val="1"/>
    <w:qFormat/>
    <w:uiPriority w:val="0"/>
    <w:pPr>
      <w:widowControl w:val="0"/>
      <w:spacing w:before="240" w:after="60"/>
      <w:jc w:val="center"/>
      <w:outlineLvl w:val="0"/>
    </w:pPr>
    <w:rPr>
      <w:rFonts w:ascii="Calibri Light" w:hAnsi="Calibri Light" w:eastAsia="宋体" w:cs="Arial"/>
      <w:b/>
      <w:bCs/>
      <w:kern w:val="2"/>
      <w:sz w:val="32"/>
      <w:szCs w:val="32"/>
      <w:lang w:val="en-US" w:eastAsia="zh-CN" w:bidi="ar-SA"/>
    </w:rPr>
  </w:style>
  <w:style w:type="character" w:styleId="8">
    <w:name w:val="Strong"/>
    <w:qFormat/>
    <w:uiPriority w:val="0"/>
    <w:rPr>
      <w:b/>
    </w:rPr>
  </w:style>
  <w:style w:type="paragraph" w:customStyle="1" w:styleId="9">
    <w:name w:val="首行缩进"/>
    <w:autoRedefine/>
    <w:qFormat/>
    <w:uiPriority w:val="0"/>
    <w:pPr>
      <w:widowControl w:val="0"/>
      <w:ind w:firstLine="480" w:firstLineChars="200"/>
      <w:jc w:val="both"/>
    </w:pPr>
    <w:rPr>
      <w:rFonts w:ascii="Calibri" w:hAnsi="Calibri" w:eastAsia="宋体" w:cs="Arial"/>
      <w:kern w:val="2"/>
      <w:sz w:val="21"/>
      <w:szCs w:val="22"/>
      <w:lang w:val="en-US" w:eastAsia="zh-CN" w:bidi="ar-SA"/>
    </w:rPr>
  </w:style>
  <w:style w:type="paragraph" w:customStyle="1" w:styleId="10">
    <w:name w:val="样式3"/>
    <w:autoRedefine/>
    <w:qFormat/>
    <w:uiPriority w:val="0"/>
    <w:pPr>
      <w:widowControl w:val="0"/>
      <w:spacing w:line="0" w:lineRule="atLeast"/>
      <w:jc w:val="both"/>
      <w:outlineLvl w:val="0"/>
    </w:pPr>
    <w:rPr>
      <w:rFonts w:ascii="宋体" w:hAnsi="Courier New" w:eastAsia="宋体" w:cs="Arial"/>
      <w:kern w:val="2"/>
      <w:sz w:val="28"/>
      <w:szCs w:val="20"/>
      <w:lang w:val="en-US" w:eastAsia="zh-CN" w:bidi="ar-SA"/>
    </w:rPr>
  </w:style>
  <w:style w:type="paragraph" w:customStyle="1" w:styleId="11">
    <w:name w:val="null3"/>
    <w:autoRedefine/>
    <w:qFormat/>
    <w:uiPriority w:val="0"/>
    <w:rPr>
      <w:rFonts w:hint="eastAsia" w:ascii="Calibri" w:hAnsi="Calibri" w:eastAsia="宋体" w:cs="Times New Roman"/>
      <w:lang w:val="en-US" w:eastAsia="zh-Hans"/>
    </w:rPr>
  </w:style>
  <w:style w:type="paragraph" w:customStyle="1" w:styleId="12">
    <w:name w:val="Default Text"/>
    <w:qFormat/>
    <w:uiPriority w:val="0"/>
    <w:pPr>
      <w:widowControl/>
      <w:overflowPunct w:val="0"/>
      <w:autoSpaceDE w:val="0"/>
      <w:autoSpaceDN w:val="0"/>
      <w:adjustRightInd w:val="0"/>
      <w:jc w:val="left"/>
    </w:pPr>
    <w:rPr>
      <w:rFonts w:ascii="Calibri" w:hAnsi="Calibri" w:eastAsia="宋体" w:cs="Arial"/>
      <w:kern w:val="0"/>
      <w:sz w:val="24"/>
      <w:szCs w:val="20"/>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4188</Words>
  <Characters>4279</Characters>
  <Lines>0</Lines>
  <Paragraphs>0</Paragraphs>
  <TotalTime>153</TotalTime>
  <ScaleCrop>false</ScaleCrop>
  <LinksUpToDate>false</LinksUpToDate>
  <CharactersWithSpaces>4466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2024-12-03T04:03:00Z</dcterms:created>
  <dc:creator>土豆排骨的滋味</dc:creator>
  <cp:lastModifiedBy>土豆排骨的滋味</cp:lastModifiedBy>
  <dcterms:modified xsi:type="dcterms:W3CDTF">2024-12-03T07:04:57Z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3D826D5C57E3455FA767AF9D9C8823E6_11</vt:lpwstr>
  </property>
</Properties>
</file>