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PG20241217</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4</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12</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16</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福建省宏旺建设有限公司公开竞价选取资产评估服务机构（第三次）。</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为连城县莲峰镇工业一路4号（土地使用面积5216.5㎡，房屋建筑面积7269.02㎡）用地土地及房产进行评估，确定市场价值提供评估服务。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伍</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50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为连城县莲峰镇工业一路4号（土地使用面积5216.5㎡，房屋建筑面积7269.02㎡）用地土地及房产进行评估，确定市场价值提供评估服务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房地产土地</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12</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16</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10281D42">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14:paraId="281D8238">
      <w:pPr>
        <w:pStyle w:val="2"/>
        <w:rPr>
          <w:rFonts w:hint="eastAsia" w:ascii="宋体" w:hAnsi="宋体" w:cs="宋体"/>
          <w:color w:val="000000"/>
          <w:kern w:val="0"/>
          <w:sz w:val="24"/>
          <w:szCs w:val="24"/>
          <w:shd w:val="clear" w:color="auto" w:fill="FFFFFF"/>
          <w:lang w:val="en-US" w:eastAsia="zh-CN"/>
        </w:rPr>
      </w:pPr>
      <w:r>
        <w:rPr>
          <w:rFonts w:hint="eastAsia" w:ascii="宋体" w:hAnsi="宋体" w:cs="宋体"/>
          <w:color w:val="000000"/>
          <w:kern w:val="0"/>
          <w:sz w:val="24"/>
          <w:szCs w:val="24"/>
          <w:shd w:val="clear" w:color="auto" w:fill="FFFFFF"/>
          <w:lang w:val="en-US" w:eastAsia="zh-CN"/>
        </w:rPr>
        <w:t xml:space="preserve">    </w:t>
      </w:r>
    </w:p>
    <w:p w14:paraId="2FA452F8">
      <w:pPr>
        <w:widowControl/>
        <w:shd w:val="clear" w:color="auto" w:fill="FFFFFF"/>
        <w:snapToGrid w:val="0"/>
        <w:spacing w:before="225" w:line="440" w:lineRule="exact"/>
        <w:ind w:firstLine="240" w:firstLineChars="10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 xml:space="preserve"> 2.</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00C685B9">
      <w:pPr>
        <w:widowControl/>
        <w:shd w:val="clear" w:color="auto" w:fill="FFFFFF"/>
        <w:snapToGrid w:val="0"/>
        <w:spacing w:before="225" w:line="440" w:lineRule="exact"/>
        <w:jc w:val="right"/>
        <w:rPr>
          <w:rFonts w:hint="eastAsia" w:ascii="宋体" w:hAnsi="宋体" w:eastAsia="宋体" w:cs="宋体"/>
          <w:b/>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12</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11</w:t>
      </w:r>
      <w:r>
        <w:rPr>
          <w:rFonts w:hint="eastAsia" w:ascii="宋体" w:hAnsi="宋体" w:eastAsia="宋体" w:cs="宋体"/>
          <w:color w:val="0000FF"/>
          <w:kern w:val="0"/>
          <w:sz w:val="24"/>
          <w:szCs w:val="24"/>
          <w:shd w:val="clear" w:color="auto" w:fill="FFFFFF"/>
        </w:rPr>
        <w:t>日</w:t>
      </w:r>
    </w:p>
    <w:p w14:paraId="52C64B65">
      <w:pPr>
        <w:pStyle w:val="2"/>
        <w:rPr>
          <w:rFonts w:hint="eastAsia" w:ascii="宋体" w:hAnsi="宋体" w:eastAsia="宋体" w:cs="宋体"/>
          <w:b/>
          <w:color w:val="000000"/>
          <w:sz w:val="24"/>
          <w:szCs w:val="24"/>
        </w:rPr>
      </w:pPr>
    </w:p>
    <w:p w14:paraId="74E80071">
      <w:pPr>
        <w:pStyle w:val="2"/>
        <w:rPr>
          <w:rFonts w:hint="eastAsia" w:ascii="宋体" w:hAnsi="宋体" w:eastAsia="宋体" w:cs="宋体"/>
          <w:b/>
          <w:color w:val="000000"/>
          <w:sz w:val="24"/>
          <w:szCs w:val="24"/>
        </w:rPr>
      </w:pPr>
    </w:p>
    <w:p w14:paraId="596CB9D9">
      <w:pPr>
        <w:pStyle w:val="2"/>
        <w:rPr>
          <w:rFonts w:hint="eastAsia" w:ascii="宋体" w:hAnsi="宋体" w:eastAsia="宋体" w:cs="宋体"/>
          <w:b/>
          <w:color w:val="000000"/>
          <w:sz w:val="24"/>
          <w:szCs w:val="24"/>
        </w:rPr>
      </w:pPr>
    </w:p>
    <w:p w14:paraId="6FD5B716">
      <w:pPr>
        <w:spacing w:line="440" w:lineRule="exact"/>
        <w:ind w:firstLine="883"/>
        <w:jc w:val="center"/>
        <w:rPr>
          <w:rFonts w:hint="eastAsia" w:ascii="宋体" w:hAnsi="宋体" w:eastAsia="宋体" w:cs="宋体"/>
          <w:b/>
          <w:color w:val="000000"/>
          <w:sz w:val="24"/>
          <w:szCs w:val="24"/>
        </w:rPr>
      </w:pPr>
      <w:bookmarkStart w:id="0" w:name="_GoBack"/>
      <w:bookmarkEnd w:id="0"/>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w:t>
      </w:r>
      <w:r>
        <w:rPr>
          <w:rFonts w:hint="eastAsia" w:ascii="宋体" w:hAnsi="宋体" w:eastAsia="宋体" w:cs="宋体"/>
          <w:color w:val="0000FF"/>
          <w:sz w:val="24"/>
          <w:szCs w:val="24"/>
          <w:u w:val="single"/>
          <w:lang w:val="en-US" w:eastAsia="zh-CN"/>
        </w:rPr>
        <w:t xml:space="preserve"> </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12</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17</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41217</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p>
    <w:p w14:paraId="345B24E7"/>
    <w:p w14:paraId="34FFE1EB">
      <w:pPr>
        <w:pStyle w:val="2"/>
        <w:rPr>
          <w:rFonts w:hint="eastAsia"/>
        </w:rPr>
      </w:pPr>
    </w:p>
    <w:sectPr>
      <w:footerReference r:id="rId3" w:type="default"/>
      <w:pgSz w:w="11906" w:h="16838"/>
      <w:pgMar w:top="1157" w:right="1133" w:bottom="1157"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1377B9"/>
    <w:rsid w:val="02261639"/>
    <w:rsid w:val="027536A0"/>
    <w:rsid w:val="039E3DB5"/>
    <w:rsid w:val="05143E2A"/>
    <w:rsid w:val="05FE0636"/>
    <w:rsid w:val="060274F9"/>
    <w:rsid w:val="069D1C7D"/>
    <w:rsid w:val="06EF0895"/>
    <w:rsid w:val="073852D8"/>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2013901"/>
    <w:rsid w:val="226244CC"/>
    <w:rsid w:val="22857CBD"/>
    <w:rsid w:val="22950329"/>
    <w:rsid w:val="22A30872"/>
    <w:rsid w:val="22E5250A"/>
    <w:rsid w:val="239F6B5C"/>
    <w:rsid w:val="246A52EB"/>
    <w:rsid w:val="249C78F6"/>
    <w:rsid w:val="25AD5A5E"/>
    <w:rsid w:val="25F64131"/>
    <w:rsid w:val="26945745"/>
    <w:rsid w:val="269E30FB"/>
    <w:rsid w:val="276E2ACE"/>
    <w:rsid w:val="2892098A"/>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D93029"/>
    <w:rsid w:val="352252CF"/>
    <w:rsid w:val="371B5B3B"/>
    <w:rsid w:val="3741602B"/>
    <w:rsid w:val="39C752B8"/>
    <w:rsid w:val="3A0C4B4E"/>
    <w:rsid w:val="3B6E70E8"/>
    <w:rsid w:val="3BCB7A34"/>
    <w:rsid w:val="3D3F6CF4"/>
    <w:rsid w:val="3D9B0810"/>
    <w:rsid w:val="3DC87AC0"/>
    <w:rsid w:val="3E682515"/>
    <w:rsid w:val="3F7E3672"/>
    <w:rsid w:val="3FA56A13"/>
    <w:rsid w:val="410835EE"/>
    <w:rsid w:val="41872959"/>
    <w:rsid w:val="42C82DE3"/>
    <w:rsid w:val="42E9200F"/>
    <w:rsid w:val="43080935"/>
    <w:rsid w:val="44E55E41"/>
    <w:rsid w:val="45A2046C"/>
    <w:rsid w:val="46797B93"/>
    <w:rsid w:val="4758626E"/>
    <w:rsid w:val="47ED28F0"/>
    <w:rsid w:val="48254D4F"/>
    <w:rsid w:val="48556CDA"/>
    <w:rsid w:val="485D0F10"/>
    <w:rsid w:val="4A2E42DE"/>
    <w:rsid w:val="4A58410E"/>
    <w:rsid w:val="4B42467C"/>
    <w:rsid w:val="4BA404BB"/>
    <w:rsid w:val="4C6355B6"/>
    <w:rsid w:val="4D235499"/>
    <w:rsid w:val="4D2550DF"/>
    <w:rsid w:val="4D515A96"/>
    <w:rsid w:val="4DA2556F"/>
    <w:rsid w:val="4DBF1A26"/>
    <w:rsid w:val="4E143612"/>
    <w:rsid w:val="4E997C57"/>
    <w:rsid w:val="4E9D3635"/>
    <w:rsid w:val="4F4F373F"/>
    <w:rsid w:val="4FE92D8A"/>
    <w:rsid w:val="51320F39"/>
    <w:rsid w:val="51644DBE"/>
    <w:rsid w:val="51F12145"/>
    <w:rsid w:val="524A20F8"/>
    <w:rsid w:val="524E2EDF"/>
    <w:rsid w:val="5363159C"/>
    <w:rsid w:val="53CB6FAB"/>
    <w:rsid w:val="53EB5322"/>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5A0840"/>
    <w:rsid w:val="69DB32EB"/>
    <w:rsid w:val="6B776A6D"/>
    <w:rsid w:val="6D7B66F3"/>
    <w:rsid w:val="6DB36A59"/>
    <w:rsid w:val="6F2C027F"/>
    <w:rsid w:val="7007345D"/>
    <w:rsid w:val="71A861A9"/>
    <w:rsid w:val="729A0B48"/>
    <w:rsid w:val="729B4033"/>
    <w:rsid w:val="742B2F58"/>
    <w:rsid w:val="743E217D"/>
    <w:rsid w:val="759B1163"/>
    <w:rsid w:val="759C0024"/>
    <w:rsid w:val="75ED6880"/>
    <w:rsid w:val="77CE5972"/>
    <w:rsid w:val="78C935D5"/>
    <w:rsid w:val="78F75F2F"/>
    <w:rsid w:val="79B76855"/>
    <w:rsid w:val="7ABB6F4D"/>
    <w:rsid w:val="7AD35D80"/>
    <w:rsid w:val="7AD654A8"/>
    <w:rsid w:val="7B027D18"/>
    <w:rsid w:val="7B4E55DA"/>
    <w:rsid w:val="7B51340D"/>
    <w:rsid w:val="7B676C5D"/>
    <w:rsid w:val="7BCE2CB0"/>
    <w:rsid w:val="7C330D65"/>
    <w:rsid w:val="7C435390"/>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3431</Words>
  <Characters>3633</Characters>
  <Lines>4</Lines>
  <Paragraphs>7</Paragraphs>
  <TotalTime>14</TotalTime>
  <ScaleCrop>false</ScaleCrop>
  <LinksUpToDate>false</LinksUpToDate>
  <CharactersWithSpaces>3706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2024-12-11T08:11:13Z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488E5FE43A2846F7A013D0AD4E500248_13</vt:lpwstr>
  </property>
</Properties>
</file>