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E3A5C">
      <w:pPr>
        <w:widowControl/>
        <w:adjustRightInd w:val="0"/>
        <w:snapToGrid w:val="0"/>
        <w:spacing w:after="200" w:line="24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附件：</w:t>
      </w:r>
    </w:p>
    <w:p w14:paraId="3036189D">
      <w:pPr>
        <w:pStyle w:val="6"/>
        <w:snapToGrid w:val="0"/>
        <w:spacing w:line="240" w:lineRule="auto"/>
        <w:jc w:val="center"/>
        <w:outlineLvl w:val="9"/>
        <w:rPr>
          <w:rFonts w:hint="eastAsia" w:ascii="Times New Roman" w:hAnsi="宋体" w:eastAsia="宋体"/>
          <w:b/>
          <w:sz w:val="36"/>
          <w:szCs w:val="36"/>
        </w:rPr>
      </w:pPr>
      <w:r>
        <w:rPr>
          <w:rFonts w:ascii="Times New Roman" w:hAnsi="宋体" w:eastAsia="宋体"/>
          <w:b/>
          <w:sz w:val="36"/>
          <w:szCs w:val="36"/>
        </w:rPr>
        <w:t>连城县粮食购销有限公司</w:t>
      </w:r>
    </w:p>
    <w:p w14:paraId="7FD242C8">
      <w:pPr>
        <w:pStyle w:val="6"/>
        <w:snapToGrid w:val="0"/>
        <w:spacing w:line="240" w:lineRule="auto"/>
        <w:jc w:val="center"/>
        <w:outlineLvl w:val="9"/>
        <w:rPr>
          <w:rFonts w:ascii="Times New Roman" w:hAnsi="Times New Roman" w:eastAsia="宋体"/>
          <w:b/>
          <w:sz w:val="36"/>
          <w:szCs w:val="36"/>
        </w:rPr>
      </w:pPr>
      <w:r>
        <w:rPr>
          <w:rFonts w:hint="eastAsia" w:hAnsi="宋体" w:eastAsia="宋体"/>
          <w:b/>
          <w:sz w:val="36"/>
          <w:szCs w:val="36"/>
        </w:rPr>
        <w:t>环保型粮食清理设备（谷物清杂设备）</w:t>
      </w:r>
      <w:r>
        <w:rPr>
          <w:rFonts w:ascii="Times New Roman" w:hAnsi="宋体" w:eastAsia="宋体"/>
          <w:b/>
          <w:sz w:val="36"/>
          <w:szCs w:val="36"/>
        </w:rPr>
        <w:t>采购合同</w:t>
      </w:r>
    </w:p>
    <w:p w14:paraId="2C5FD8B6">
      <w:pPr>
        <w:pStyle w:val="3"/>
        <w:spacing w:line="320" w:lineRule="exact"/>
        <w:rPr>
          <w:rFonts w:hint="eastAsia" w:eastAsia="宋体" w:cs="Times New Roman"/>
          <w:sz w:val="28"/>
          <w:szCs w:val="28"/>
        </w:rPr>
      </w:pPr>
      <w:r>
        <w:rPr>
          <w:rFonts w:hint="eastAsia" w:eastAsia="宋体" w:cs="宋体"/>
          <w:color w:val="000000"/>
          <w:sz w:val="28"/>
          <w:szCs w:val="28"/>
        </w:rPr>
        <w:t>项目名称：</w:t>
      </w:r>
      <w:r>
        <w:rPr>
          <w:rFonts w:hint="eastAsia" w:eastAsia="宋体" w:cs="Times New Roman"/>
          <w:sz w:val="28"/>
          <w:szCs w:val="28"/>
        </w:rPr>
        <w:t>环保型粮食清理设备（谷物清杂设备）采购项目</w:t>
      </w:r>
    </w:p>
    <w:p w14:paraId="768A575C">
      <w:pPr>
        <w:pStyle w:val="3"/>
        <w:spacing w:line="280" w:lineRule="exact"/>
        <w:rPr>
          <w:rFonts w:hint="eastAsia" w:eastAsia="宋体" w:cs="宋体"/>
          <w:color w:val="000000"/>
          <w:sz w:val="28"/>
          <w:szCs w:val="28"/>
          <w:lang w:val="en-US" w:eastAsia="zh-CN"/>
        </w:rPr>
      </w:pPr>
      <w:r>
        <w:rPr>
          <w:rFonts w:hint="eastAsia" w:eastAsia="宋体" w:cs="宋体"/>
          <w:color w:val="000000"/>
          <w:sz w:val="28"/>
          <w:szCs w:val="28"/>
        </w:rPr>
        <w:t>采购人（以下称甲方）：</w:t>
      </w:r>
      <w:r>
        <w:rPr>
          <w:rFonts w:hint="eastAsia" w:eastAsia="宋体" w:cs="宋体"/>
          <w:color w:val="000000"/>
          <w:sz w:val="28"/>
          <w:szCs w:val="28"/>
          <w:u w:val="single"/>
        </w:rPr>
        <w:t>连城县粮食购销有限公司</w:t>
      </w:r>
      <w:r>
        <w:rPr>
          <w:rFonts w:hint="eastAsia" w:cs="宋体"/>
          <w:color w:val="000000"/>
          <w:sz w:val="28"/>
          <w:szCs w:val="28"/>
          <w:u w:val="single"/>
          <w:lang w:val="en-US" w:eastAsia="zh-CN"/>
        </w:rPr>
        <w:t xml:space="preserve"> </w:t>
      </w:r>
    </w:p>
    <w:p w14:paraId="176CC0C4">
      <w:pPr>
        <w:pStyle w:val="3"/>
        <w:spacing w:line="280" w:lineRule="exact"/>
        <w:rPr>
          <w:rFonts w:hint="default" w:eastAsia="宋体" w:cs="宋体"/>
          <w:color w:val="000000"/>
          <w:sz w:val="28"/>
          <w:szCs w:val="28"/>
          <w:u w:val="single"/>
          <w:lang w:val="en-US" w:eastAsia="zh-CN"/>
        </w:rPr>
      </w:pPr>
      <w:r>
        <w:rPr>
          <w:rFonts w:hint="eastAsia" w:eastAsia="宋体" w:cs="宋体"/>
          <w:color w:val="000000"/>
          <w:sz w:val="28"/>
          <w:szCs w:val="28"/>
        </w:rPr>
        <w:t>供应商（以下称乙方）：</w:t>
      </w:r>
      <w:r>
        <w:rPr>
          <w:rFonts w:hint="eastAsia" w:cs="宋体"/>
          <w:color w:val="000000"/>
          <w:sz w:val="28"/>
          <w:szCs w:val="28"/>
          <w:u w:val="single"/>
          <w:lang w:val="en-US" w:eastAsia="zh-CN"/>
        </w:rPr>
        <w:t xml:space="preserve">                       </w:t>
      </w:r>
    </w:p>
    <w:p w14:paraId="324A4DBC">
      <w:pPr>
        <w:pStyle w:val="3"/>
        <w:snapToGrid w:val="0"/>
        <w:spacing w:line="300" w:lineRule="auto"/>
        <w:ind w:firstLine="560" w:firstLineChars="200"/>
        <w:rPr>
          <w:rFonts w:hint="eastAsia" w:eastAsia="宋体" w:cs="宋体"/>
          <w:color w:val="000000"/>
          <w:sz w:val="28"/>
          <w:szCs w:val="28"/>
        </w:rPr>
      </w:pPr>
      <w:r>
        <w:rPr>
          <w:rFonts w:hint="eastAsia" w:eastAsia="宋体" w:cs="宋体"/>
          <w:color w:val="000000"/>
          <w:sz w:val="28"/>
          <w:szCs w:val="28"/>
        </w:rPr>
        <w:t>根据《中华人民共和国政府采购法》、《中华人民共和国合同法》等法律法规的规定，甲乙双方按成交结果签订本合同。</w:t>
      </w:r>
    </w:p>
    <w:p w14:paraId="1D717C61">
      <w:pPr>
        <w:pStyle w:val="3"/>
        <w:snapToGrid w:val="0"/>
        <w:spacing w:beforeAutospacing="0" w:afterAutospacing="0" w:line="300" w:lineRule="auto"/>
        <w:ind w:firstLine="560" w:firstLineChars="200"/>
        <w:rPr>
          <w:rFonts w:hint="eastAsia" w:eastAsia="宋体" w:cs="宋体"/>
          <w:bCs/>
          <w:color w:val="000000"/>
          <w:sz w:val="28"/>
          <w:szCs w:val="28"/>
        </w:rPr>
      </w:pPr>
      <w:r>
        <w:rPr>
          <w:rFonts w:hint="eastAsia" w:eastAsia="宋体" w:cs="宋体"/>
          <w:bCs/>
          <w:color w:val="000000"/>
          <w:sz w:val="28"/>
          <w:szCs w:val="28"/>
        </w:rPr>
        <w:t>1、合同标的</w:t>
      </w:r>
    </w:p>
    <w:tbl>
      <w:tblPr>
        <w:tblStyle w:val="4"/>
        <w:tblW w:w="10353" w:type="dxa"/>
        <w:jc w:val="center"/>
        <w:tblLayout w:type="fixed"/>
        <w:tblCellMar>
          <w:top w:w="0" w:type="dxa"/>
          <w:left w:w="0" w:type="dxa"/>
          <w:bottom w:w="0" w:type="dxa"/>
          <w:right w:w="0" w:type="dxa"/>
        </w:tblCellMar>
      </w:tblPr>
      <w:tblGrid>
        <w:gridCol w:w="750"/>
        <w:gridCol w:w="2593"/>
        <w:gridCol w:w="2799"/>
        <w:gridCol w:w="1265"/>
        <w:gridCol w:w="1285"/>
        <w:gridCol w:w="1661"/>
      </w:tblGrid>
      <w:tr w14:paraId="44D3ECA6">
        <w:tblPrEx>
          <w:tblCellMar>
            <w:top w:w="0" w:type="dxa"/>
            <w:left w:w="0" w:type="dxa"/>
            <w:bottom w:w="0" w:type="dxa"/>
            <w:right w:w="0" w:type="dxa"/>
          </w:tblCellMar>
        </w:tblPrEx>
        <w:trPr>
          <w:trHeight w:val="58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E29D3">
            <w:pPr>
              <w:widowControl/>
              <w:snapToGrid w:val="0"/>
              <w:spacing w:line="300" w:lineRule="auto"/>
              <w:jc w:val="center"/>
              <w:textAlignment w:val="center"/>
              <w:rPr>
                <w:rFonts w:hint="eastAsia" w:ascii="宋体" w:hAnsi="宋体" w:eastAsia="宋体" w:cs="宋体"/>
                <w:b/>
                <w:color w:val="000000"/>
                <w:sz w:val="26"/>
                <w:szCs w:val="26"/>
              </w:rPr>
            </w:pPr>
            <w:r>
              <w:rPr>
                <w:rFonts w:hint="eastAsia" w:ascii="宋体" w:hAnsi="宋体" w:eastAsia="宋体" w:cs="宋体"/>
                <w:b/>
                <w:color w:val="000000"/>
                <w:kern w:val="0"/>
                <w:sz w:val="26"/>
                <w:szCs w:val="26"/>
                <w:lang w:bidi="ar"/>
              </w:rPr>
              <w:t>序号</w:t>
            </w:r>
          </w:p>
        </w:tc>
        <w:tc>
          <w:tcPr>
            <w:tcW w:w="2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8E1C1">
            <w:pPr>
              <w:widowControl/>
              <w:snapToGrid w:val="0"/>
              <w:spacing w:line="300" w:lineRule="auto"/>
              <w:jc w:val="center"/>
              <w:textAlignment w:val="center"/>
              <w:rPr>
                <w:rFonts w:hint="eastAsia" w:ascii="宋体" w:hAnsi="宋体" w:eastAsia="宋体" w:cs="宋体"/>
                <w:b/>
                <w:color w:val="000000"/>
                <w:sz w:val="26"/>
                <w:szCs w:val="26"/>
              </w:rPr>
            </w:pPr>
            <w:r>
              <w:rPr>
                <w:rFonts w:hint="eastAsia" w:ascii="宋体" w:hAnsi="宋体" w:eastAsia="宋体" w:cs="宋体"/>
                <w:b/>
                <w:color w:val="000000"/>
                <w:kern w:val="0"/>
                <w:sz w:val="26"/>
                <w:szCs w:val="26"/>
                <w:lang w:bidi="ar"/>
              </w:rPr>
              <w:t>产 品 名 称</w:t>
            </w:r>
          </w:p>
        </w:tc>
        <w:tc>
          <w:tcPr>
            <w:tcW w:w="2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2F4FC">
            <w:pPr>
              <w:widowControl/>
              <w:snapToGrid w:val="0"/>
              <w:spacing w:line="300" w:lineRule="auto"/>
              <w:jc w:val="center"/>
              <w:textAlignment w:val="center"/>
              <w:rPr>
                <w:rFonts w:hint="eastAsia" w:ascii="宋体" w:hAnsi="宋体" w:eastAsia="宋体" w:cs="宋体"/>
                <w:b/>
                <w:color w:val="000000"/>
                <w:sz w:val="26"/>
                <w:szCs w:val="26"/>
              </w:rPr>
            </w:pPr>
            <w:r>
              <w:rPr>
                <w:rFonts w:hint="eastAsia" w:ascii="宋体" w:hAnsi="宋体" w:eastAsia="宋体" w:cs="宋体"/>
                <w:b/>
                <w:color w:val="000000"/>
                <w:kern w:val="0"/>
                <w:sz w:val="26"/>
                <w:szCs w:val="26"/>
                <w:lang w:bidi="ar"/>
              </w:rPr>
              <w:t>规格及</w:t>
            </w:r>
            <w:r>
              <w:rPr>
                <w:rFonts w:hint="eastAsia" w:ascii="宋体" w:hAnsi="宋体" w:cs="宋体"/>
                <w:b/>
                <w:color w:val="000000"/>
                <w:kern w:val="0"/>
                <w:sz w:val="26"/>
                <w:szCs w:val="26"/>
                <w:lang w:val="en-US" w:eastAsia="zh-CN" w:bidi="ar"/>
              </w:rPr>
              <w:t>品牌</w:t>
            </w:r>
            <w:r>
              <w:rPr>
                <w:rFonts w:hint="eastAsia" w:ascii="宋体" w:hAnsi="宋体" w:eastAsia="宋体" w:cs="宋体"/>
                <w:b/>
                <w:color w:val="000000"/>
                <w:kern w:val="0"/>
                <w:sz w:val="26"/>
                <w:szCs w:val="26"/>
                <w:lang w:bidi="ar"/>
              </w:rPr>
              <w:t>型号</w:t>
            </w:r>
          </w:p>
        </w:tc>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60CC2">
            <w:pPr>
              <w:widowControl/>
              <w:snapToGrid w:val="0"/>
              <w:spacing w:line="300" w:lineRule="auto"/>
              <w:jc w:val="center"/>
              <w:textAlignment w:val="center"/>
              <w:rPr>
                <w:rFonts w:hint="eastAsia" w:ascii="宋体" w:hAnsi="宋体" w:eastAsia="宋体" w:cs="宋体"/>
                <w:b/>
                <w:color w:val="000000"/>
                <w:sz w:val="26"/>
                <w:szCs w:val="26"/>
              </w:rPr>
            </w:pPr>
            <w:r>
              <w:rPr>
                <w:rFonts w:hint="eastAsia" w:ascii="宋体" w:hAnsi="宋体" w:eastAsia="宋体" w:cs="宋体"/>
                <w:b/>
                <w:color w:val="000000"/>
                <w:kern w:val="0"/>
                <w:sz w:val="26"/>
                <w:szCs w:val="26"/>
                <w:lang w:bidi="ar"/>
              </w:rPr>
              <w:t>单位</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30024">
            <w:pPr>
              <w:widowControl/>
              <w:snapToGrid w:val="0"/>
              <w:spacing w:line="300" w:lineRule="auto"/>
              <w:jc w:val="center"/>
              <w:textAlignment w:val="center"/>
              <w:rPr>
                <w:rFonts w:hint="eastAsia" w:ascii="宋体" w:hAnsi="宋体" w:eastAsia="宋体" w:cs="宋体"/>
                <w:b/>
                <w:color w:val="000000"/>
                <w:sz w:val="26"/>
                <w:szCs w:val="26"/>
              </w:rPr>
            </w:pPr>
            <w:r>
              <w:rPr>
                <w:rFonts w:hint="eastAsia" w:ascii="宋体" w:hAnsi="宋体" w:eastAsia="宋体" w:cs="宋体"/>
                <w:b/>
                <w:color w:val="000000"/>
                <w:kern w:val="0"/>
                <w:sz w:val="26"/>
                <w:szCs w:val="26"/>
                <w:lang w:bidi="ar"/>
              </w:rPr>
              <w:t>数量</w:t>
            </w:r>
          </w:p>
        </w:tc>
        <w:tc>
          <w:tcPr>
            <w:tcW w:w="1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EEA10">
            <w:pPr>
              <w:widowControl/>
              <w:snapToGrid w:val="0"/>
              <w:spacing w:line="300" w:lineRule="auto"/>
              <w:jc w:val="center"/>
              <w:textAlignment w:val="center"/>
              <w:rPr>
                <w:rFonts w:hint="eastAsia" w:ascii="宋体" w:hAnsi="宋体" w:eastAsia="宋体" w:cs="宋体"/>
                <w:b/>
                <w:color w:val="000000"/>
                <w:kern w:val="0"/>
                <w:sz w:val="26"/>
                <w:szCs w:val="26"/>
                <w:lang w:val="en-US" w:eastAsia="zh-CN" w:bidi="ar"/>
              </w:rPr>
            </w:pPr>
            <w:r>
              <w:rPr>
                <w:rFonts w:hint="eastAsia" w:ascii="宋体" w:hAnsi="宋体" w:cs="宋体"/>
                <w:b/>
                <w:color w:val="000000"/>
                <w:kern w:val="0"/>
                <w:sz w:val="26"/>
                <w:szCs w:val="26"/>
                <w:lang w:val="en-US" w:eastAsia="zh-CN" w:bidi="ar"/>
              </w:rPr>
              <w:t>单价（元）</w:t>
            </w:r>
          </w:p>
        </w:tc>
      </w:tr>
      <w:tr w14:paraId="774C3AD5">
        <w:tblPrEx>
          <w:tblCellMar>
            <w:top w:w="0" w:type="dxa"/>
            <w:left w:w="0" w:type="dxa"/>
            <w:bottom w:w="0" w:type="dxa"/>
            <w:right w:w="0"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5C1A6">
            <w:pPr>
              <w:widowControl/>
              <w:snapToGrid w:val="0"/>
              <w:spacing w:line="300" w:lineRule="auto"/>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2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BEA20">
            <w:pPr>
              <w:widowControl/>
              <w:snapToGrid w:val="0"/>
              <w:spacing w:line="300" w:lineRule="auto"/>
              <w:jc w:val="center"/>
              <w:textAlignment w:val="center"/>
              <w:rPr>
                <w:rFonts w:hint="eastAsia" w:ascii="宋体" w:hAnsi="宋体" w:eastAsia="宋体" w:cs="宋体"/>
                <w:color w:val="000000"/>
                <w:sz w:val="24"/>
              </w:rPr>
            </w:pPr>
            <w:r>
              <w:rPr>
                <w:rFonts w:hint="eastAsia" w:eastAsia="宋体" w:cs="Times New Roman"/>
                <w:sz w:val="24"/>
                <w:szCs w:val="24"/>
              </w:rPr>
              <w:t>环保型粮食清理设备（谷物清杂设备）</w:t>
            </w:r>
          </w:p>
        </w:tc>
        <w:tc>
          <w:tcPr>
            <w:tcW w:w="2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6CD8E">
            <w:pPr>
              <w:widowControl/>
              <w:snapToGrid w:val="0"/>
              <w:spacing w:line="300" w:lineRule="auto"/>
              <w:jc w:val="center"/>
              <w:textAlignment w:val="center"/>
              <w:rPr>
                <w:rFonts w:hint="eastAsia" w:ascii="宋体" w:hAnsi="宋体" w:eastAsia="宋体" w:cs="宋体"/>
                <w:color w:val="000000"/>
                <w:kern w:val="0"/>
                <w:sz w:val="24"/>
                <w:lang w:bidi="ar"/>
              </w:rPr>
            </w:pPr>
          </w:p>
        </w:tc>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570E4">
            <w:pPr>
              <w:widowControl/>
              <w:snapToGrid w:val="0"/>
              <w:spacing w:line="300" w:lineRule="auto"/>
              <w:jc w:val="center"/>
              <w:textAlignment w:val="center"/>
              <w:rPr>
                <w:rFonts w:hint="eastAsia" w:ascii="宋体" w:hAnsi="宋体" w:eastAsia="宋体" w:cs="宋体"/>
                <w:color w:val="000000"/>
                <w:sz w:val="24"/>
              </w:rPr>
            </w:pP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B2010">
            <w:pPr>
              <w:widowControl/>
              <w:snapToGrid w:val="0"/>
              <w:spacing w:line="300" w:lineRule="auto"/>
              <w:jc w:val="center"/>
              <w:textAlignment w:val="center"/>
              <w:rPr>
                <w:rFonts w:hint="eastAsia" w:ascii="宋体" w:hAnsi="宋体" w:eastAsia="宋体" w:cs="宋体"/>
                <w:color w:val="000000"/>
                <w:sz w:val="24"/>
              </w:rPr>
            </w:pPr>
          </w:p>
        </w:tc>
        <w:tc>
          <w:tcPr>
            <w:tcW w:w="1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3A82D">
            <w:pPr>
              <w:widowControl/>
              <w:snapToGrid w:val="0"/>
              <w:spacing w:line="300" w:lineRule="auto"/>
              <w:jc w:val="center"/>
              <w:textAlignment w:val="center"/>
              <w:rPr>
                <w:rFonts w:hint="eastAsia" w:ascii="宋体" w:hAnsi="宋体" w:eastAsia="宋体" w:cs="宋体"/>
                <w:color w:val="000000"/>
                <w:sz w:val="24"/>
              </w:rPr>
            </w:pPr>
          </w:p>
        </w:tc>
      </w:tr>
      <w:tr w14:paraId="4B85B60E">
        <w:tblPrEx>
          <w:tblCellMar>
            <w:top w:w="0" w:type="dxa"/>
            <w:left w:w="0" w:type="dxa"/>
            <w:bottom w:w="0" w:type="dxa"/>
            <w:right w:w="0" w:type="dxa"/>
          </w:tblCellMar>
        </w:tblPrEx>
        <w:trPr>
          <w:trHeight w:val="540" w:hRule="atLeast"/>
          <w:jc w:val="center"/>
        </w:trPr>
        <w:tc>
          <w:tcPr>
            <w:tcW w:w="1035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21BFD">
            <w:pPr>
              <w:widowControl/>
              <w:snapToGrid w:val="0"/>
              <w:spacing w:line="300" w:lineRule="auto"/>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合计金额：</w:t>
            </w:r>
            <w:r>
              <w:rPr>
                <w:rFonts w:hint="eastAsia" w:ascii="宋体" w:hAnsi="宋体" w:cs="宋体"/>
                <w:color w:val="000000"/>
                <w:sz w:val="24"/>
                <w:u w:val="single"/>
                <w:lang w:val="en-US" w:eastAsia="zh-CN"/>
              </w:rPr>
              <w:t>大写：  元小写￥  .00</w:t>
            </w:r>
          </w:p>
        </w:tc>
      </w:tr>
    </w:tbl>
    <w:p w14:paraId="2F356F55">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、交货方式和交货地点、交货时间</w:t>
      </w:r>
    </w:p>
    <w:p w14:paraId="0DD0AE88">
      <w:pPr>
        <w:snapToGrid w:val="0"/>
        <w:spacing w:line="300" w:lineRule="auto"/>
        <w:ind w:firstLine="560" w:firstLineChars="200"/>
        <w:rPr>
          <w:rFonts w:ascii="宋体" w:hAnsi="Times New Roman" w:eastAsia="宋体" w:cs="Times New Roman"/>
          <w:sz w:val="28"/>
          <w:szCs w:val="28"/>
          <w:u w:val="single"/>
        </w:rPr>
      </w:pPr>
      <w:r>
        <w:rPr>
          <w:rFonts w:ascii="宋体" w:hAnsi="宋体" w:eastAsia="宋体" w:cs="Times New Roman"/>
          <w:sz w:val="28"/>
          <w:szCs w:val="28"/>
        </w:rPr>
        <w:t>2.1</w:t>
      </w:r>
      <w:r>
        <w:rPr>
          <w:rFonts w:hint="eastAsia" w:ascii="宋体" w:hAnsi="宋体" w:eastAsia="宋体" w:cs="Times New Roman"/>
          <w:sz w:val="28"/>
          <w:szCs w:val="28"/>
        </w:rPr>
        <w:t>交货方式：</w:t>
      </w:r>
      <w:r>
        <w:rPr>
          <w:rFonts w:ascii="宋体" w:hAnsi="宋体" w:eastAsia="宋体" w:cs="Times New Roman"/>
          <w:sz w:val="28"/>
          <w:szCs w:val="28"/>
        </w:rPr>
        <w:t xml:space="preserve"> </w:t>
      </w:r>
      <w:r>
        <w:rPr>
          <w:rFonts w:hint="eastAsia" w:ascii="宋体" w:hAnsi="宋体" w:eastAsia="宋体" w:cs="Times New Roman"/>
          <w:sz w:val="28"/>
          <w:szCs w:val="28"/>
          <w:u w:val="single"/>
        </w:rPr>
        <w:t>现场交货：乙方负责办理运输和保险，将货物运抵现场。有关运输和保险等的一切费用乙方承担。所有货物运抵现场的日期为交货日期。</w:t>
      </w:r>
    </w:p>
    <w:p w14:paraId="36BD0C1A">
      <w:pPr>
        <w:snapToGrid w:val="0"/>
        <w:spacing w:line="300" w:lineRule="auto"/>
        <w:ind w:firstLine="560" w:firstLineChars="200"/>
        <w:rPr>
          <w:rFonts w:hint="eastAsia" w:ascii="宋体" w:hAnsi="Times New Roman" w:eastAsia="宋体" w:cs="Times New Roman"/>
          <w:sz w:val="28"/>
          <w:szCs w:val="28"/>
        </w:rPr>
      </w:pPr>
      <w:r>
        <w:rPr>
          <w:rFonts w:ascii="宋体" w:hAnsi="宋体" w:eastAsia="宋体" w:cs="Times New Roman"/>
          <w:sz w:val="28"/>
          <w:szCs w:val="28"/>
        </w:rPr>
        <w:t>2.2</w:t>
      </w:r>
      <w:r>
        <w:rPr>
          <w:rFonts w:hint="eastAsia" w:ascii="宋体" w:hAnsi="宋体" w:eastAsia="宋体" w:cs="Times New Roman"/>
          <w:sz w:val="28"/>
          <w:szCs w:val="28"/>
        </w:rPr>
        <w:t>交货地点：</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甲方指定地点（连城县朋口镇、连城县北团镇）</w:t>
      </w:r>
    </w:p>
    <w:p w14:paraId="0FCEE54C">
      <w:pPr>
        <w:snapToGrid w:val="0"/>
        <w:spacing w:line="30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2.3交货时间：签订合同之日起</w:t>
      </w:r>
      <w:r>
        <w:rPr>
          <w:rFonts w:hint="eastAsia" w:ascii="宋体" w:hAnsi="宋体" w:eastAsia="宋体" w:cs="Times New Roman"/>
          <w:sz w:val="28"/>
          <w:szCs w:val="28"/>
          <w:u w:val="single"/>
        </w:rPr>
        <w:t>30</w:t>
      </w:r>
      <w:r>
        <w:rPr>
          <w:rFonts w:hint="eastAsia" w:ascii="宋体" w:hAnsi="宋体" w:eastAsia="宋体" w:cs="Times New Roman"/>
          <w:sz w:val="28"/>
          <w:szCs w:val="28"/>
        </w:rPr>
        <w:t>日交货</w:t>
      </w:r>
    </w:p>
    <w:p w14:paraId="0030B3C8">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3</w:t>
      </w:r>
      <w:r>
        <w:rPr>
          <w:rFonts w:hint="eastAsia" w:ascii="宋体" w:hAnsi="宋体" w:eastAsia="宋体" w:cs="Times New Roman"/>
          <w:sz w:val="28"/>
          <w:szCs w:val="28"/>
        </w:rPr>
        <w:t>、供货清单</w:t>
      </w:r>
    </w:p>
    <w:p w14:paraId="4EF146E3">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3.1</w:t>
      </w:r>
      <w:r>
        <w:rPr>
          <w:rFonts w:hint="eastAsia" w:ascii="宋体" w:hAnsi="宋体" w:eastAsia="宋体" w:cs="Times New Roman"/>
          <w:sz w:val="28"/>
          <w:szCs w:val="28"/>
        </w:rPr>
        <w:t>供货清单：包括产品主机、随机备品备件、专用工具的名称及数量。（采购人对包装及运输有特别要求的，应作具体约定。）</w:t>
      </w:r>
    </w:p>
    <w:p w14:paraId="22F018CF">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4</w:t>
      </w:r>
      <w:r>
        <w:rPr>
          <w:rFonts w:hint="eastAsia" w:ascii="宋体" w:hAnsi="宋体" w:eastAsia="宋体" w:cs="Times New Roman"/>
          <w:sz w:val="28"/>
          <w:szCs w:val="28"/>
        </w:rPr>
        <w:t>、付款方式与条件</w:t>
      </w:r>
    </w:p>
    <w:p w14:paraId="2F8C9FCA">
      <w:pPr>
        <w:snapToGrid w:val="0"/>
        <w:spacing w:line="300" w:lineRule="auto"/>
        <w:ind w:firstLine="560" w:firstLineChars="200"/>
        <w:rPr>
          <w:rFonts w:ascii="宋体" w:hAnsi="Times New Roman" w:eastAsia="宋体" w:cs="Times New Roman"/>
          <w:sz w:val="28"/>
          <w:szCs w:val="28"/>
        </w:rPr>
      </w:pPr>
      <w:r>
        <w:rPr>
          <w:rFonts w:hint="eastAsia" w:ascii="宋体" w:hAnsi="宋体" w:eastAsia="宋体" w:cs="Times New Roman"/>
          <w:sz w:val="28"/>
          <w:szCs w:val="28"/>
        </w:rPr>
        <w:t>全部货物交货并经验收合格后，甲方凭收讫货物的验收凭证和货物验收合格文件等材料以</w:t>
      </w:r>
      <w:r>
        <w:rPr>
          <w:rFonts w:hint="eastAsia" w:ascii="宋体" w:hAnsi="宋体" w:eastAsia="宋体" w:cs="Times New Roman"/>
          <w:sz w:val="28"/>
          <w:szCs w:val="28"/>
          <w:u w:val="single"/>
        </w:rPr>
        <w:t>电汇付款</w:t>
      </w:r>
      <w:r>
        <w:rPr>
          <w:rFonts w:hint="eastAsia" w:ascii="宋体" w:hAnsi="宋体" w:eastAsia="宋体" w:cs="Times New Roman"/>
          <w:sz w:val="28"/>
          <w:szCs w:val="28"/>
        </w:rPr>
        <w:t>方式向乙方一次性支付</w:t>
      </w:r>
      <w:r>
        <w:rPr>
          <w:rFonts w:ascii="宋体" w:hAnsi="宋体" w:eastAsia="宋体" w:cs="Times New Roman"/>
          <w:sz w:val="28"/>
          <w:szCs w:val="28"/>
          <w:u w:val="single"/>
        </w:rPr>
        <w:t>95%</w:t>
      </w:r>
      <w:r>
        <w:rPr>
          <w:rFonts w:hint="eastAsia" w:ascii="宋体" w:hAnsi="宋体" w:eastAsia="宋体" w:cs="Times New Roman"/>
          <w:sz w:val="28"/>
          <w:szCs w:val="28"/>
        </w:rPr>
        <w:t>的货物价款。（剩余5%的货物价款转为质量保证金，质量保证期结束，无息退还乙方）现场交货条件下，乙方要求付款应提交下列单证和文件。</w:t>
      </w:r>
    </w:p>
    <w:p w14:paraId="76746731">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a.</w:t>
      </w:r>
      <w:r>
        <w:rPr>
          <w:rFonts w:hint="eastAsia" w:ascii="宋体" w:hAnsi="宋体" w:eastAsia="宋体" w:cs="Times New Roman"/>
          <w:sz w:val="28"/>
          <w:szCs w:val="28"/>
        </w:rPr>
        <w:t>金额为有关合同货物价格</w:t>
      </w:r>
      <w:r>
        <w:rPr>
          <w:rFonts w:ascii="宋体" w:hAnsi="宋体" w:eastAsia="宋体" w:cs="Times New Roman"/>
          <w:sz w:val="28"/>
          <w:szCs w:val="28"/>
          <w:u w:val="single"/>
        </w:rPr>
        <w:t>100%</w:t>
      </w:r>
      <w:r>
        <w:rPr>
          <w:rFonts w:hint="eastAsia" w:ascii="宋体" w:hAnsi="宋体" w:eastAsia="宋体" w:cs="Times New Roman"/>
          <w:sz w:val="28"/>
          <w:szCs w:val="28"/>
        </w:rPr>
        <w:t>的正式发票。</w:t>
      </w:r>
    </w:p>
    <w:p w14:paraId="29114569">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b.</w:t>
      </w:r>
      <w:r>
        <w:rPr>
          <w:rFonts w:hint="eastAsia" w:ascii="宋体" w:hAnsi="宋体" w:eastAsia="宋体" w:cs="Times New Roman"/>
          <w:sz w:val="28"/>
          <w:szCs w:val="28"/>
        </w:rPr>
        <w:t>制造厂家出具的货物质量合格证书。</w:t>
      </w:r>
    </w:p>
    <w:p w14:paraId="5822DD8D">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 xml:space="preserve">c. </w:t>
      </w:r>
      <w:r>
        <w:rPr>
          <w:rFonts w:hint="eastAsia" w:ascii="宋体" w:hAnsi="宋体" w:eastAsia="宋体" w:cs="Times New Roman"/>
          <w:sz w:val="28"/>
          <w:szCs w:val="28"/>
        </w:rPr>
        <w:t>甲方已收讫货物的验收凭证。</w:t>
      </w:r>
    </w:p>
    <w:p w14:paraId="792B7388">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 xml:space="preserve">d. </w:t>
      </w:r>
      <w:r>
        <w:rPr>
          <w:rFonts w:hint="eastAsia" w:ascii="宋体" w:hAnsi="宋体" w:eastAsia="宋体" w:cs="Times New Roman"/>
          <w:sz w:val="28"/>
          <w:szCs w:val="28"/>
        </w:rPr>
        <w:t>甲方签发的验收合格文件。</w:t>
      </w:r>
    </w:p>
    <w:p w14:paraId="09BCDCEC">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5</w:t>
      </w:r>
      <w:r>
        <w:rPr>
          <w:rFonts w:hint="eastAsia" w:ascii="宋体" w:hAnsi="宋体" w:eastAsia="宋体" w:cs="Times New Roman"/>
          <w:sz w:val="28"/>
          <w:szCs w:val="28"/>
        </w:rPr>
        <w:t>、质量要求和技术标准</w:t>
      </w:r>
    </w:p>
    <w:p w14:paraId="5EACFF24">
      <w:pPr>
        <w:snapToGrid w:val="0"/>
        <w:spacing w:line="300" w:lineRule="auto"/>
        <w:ind w:firstLine="560" w:firstLineChars="200"/>
        <w:rPr>
          <w:rFonts w:ascii="宋体" w:hAnsi="Times New Roman" w:eastAsia="宋体" w:cs="宋体"/>
          <w:sz w:val="28"/>
          <w:szCs w:val="28"/>
        </w:rPr>
      </w:pPr>
      <w:r>
        <w:rPr>
          <w:rFonts w:hint="eastAsia" w:ascii="宋体" w:hAnsi="宋体" w:eastAsia="宋体" w:cs="Times New Roman"/>
          <w:sz w:val="28"/>
          <w:szCs w:val="28"/>
        </w:rPr>
        <w:t>质量条款可细分为产品质量、包装质量、技术</w:t>
      </w:r>
      <w:r>
        <w:rPr>
          <w:rFonts w:hint="eastAsia" w:ascii="宋体" w:hAnsi="宋体" w:eastAsia="宋体" w:cs="宋体"/>
          <w:sz w:val="28"/>
          <w:szCs w:val="28"/>
        </w:rPr>
        <w:t>资料质量等内容。</w:t>
      </w:r>
    </w:p>
    <w:p w14:paraId="1CEC6B3B">
      <w:pPr>
        <w:snapToGrid w:val="0"/>
        <w:spacing w:line="300" w:lineRule="auto"/>
        <w:ind w:firstLine="560" w:firstLineChars="200"/>
        <w:rPr>
          <w:rFonts w:ascii="宋体" w:hAnsi="Times New Roman" w:eastAsia="宋体" w:cs="Times New Roman"/>
          <w:sz w:val="28"/>
          <w:szCs w:val="28"/>
        </w:rPr>
      </w:pPr>
      <w:r>
        <w:rPr>
          <w:rFonts w:hint="eastAsia" w:ascii="宋体" w:hAnsi="宋体" w:eastAsia="宋体" w:cs="Times New Roman"/>
          <w:sz w:val="28"/>
          <w:szCs w:val="28"/>
        </w:rPr>
        <w:t>（质量要求和技术标准应按招标文件要求</w:t>
      </w:r>
      <w:r>
        <w:rPr>
          <w:rFonts w:hint="eastAsia" w:ascii="宋体" w:hAnsi="宋体" w:eastAsia="宋体" w:cs="宋体"/>
          <w:sz w:val="28"/>
          <w:szCs w:val="28"/>
        </w:rPr>
        <w:t>填列</w:t>
      </w:r>
      <w:r>
        <w:rPr>
          <w:rFonts w:hint="eastAsia" w:ascii="宋体" w:hAnsi="宋体" w:eastAsia="宋体" w:cs="Times New Roman"/>
          <w:sz w:val="28"/>
          <w:szCs w:val="28"/>
        </w:rPr>
        <w:t>。）</w:t>
      </w:r>
    </w:p>
    <w:p w14:paraId="03D4AC7F">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6</w:t>
      </w:r>
      <w:r>
        <w:rPr>
          <w:rFonts w:hint="eastAsia" w:ascii="宋体" w:hAnsi="宋体" w:eastAsia="宋体" w:cs="Times New Roman"/>
          <w:sz w:val="28"/>
          <w:szCs w:val="28"/>
        </w:rPr>
        <w:t>、安装调试、技术服务、人员培训及技术资料</w:t>
      </w:r>
    </w:p>
    <w:p w14:paraId="1D7D3261">
      <w:pPr>
        <w:snapToGrid w:val="0"/>
        <w:spacing w:line="300" w:lineRule="auto"/>
        <w:ind w:firstLine="560" w:firstLineChars="200"/>
        <w:rPr>
          <w:rFonts w:ascii="宋体" w:hAnsi="Times New Roman" w:eastAsia="宋体" w:cs="Times New Roman"/>
          <w:sz w:val="28"/>
          <w:szCs w:val="28"/>
        </w:rPr>
      </w:pPr>
      <w:r>
        <w:rPr>
          <w:rFonts w:hint="eastAsia" w:ascii="宋体" w:hAnsi="宋体" w:eastAsia="宋体" w:cs="Times New Roman"/>
          <w:sz w:val="28"/>
          <w:szCs w:val="28"/>
        </w:rPr>
        <w:t>（安装调试、技术服务、人员培训及技术资料应按招标文件要求</w:t>
      </w:r>
      <w:r>
        <w:rPr>
          <w:rFonts w:hint="eastAsia" w:ascii="宋体" w:hAnsi="宋体" w:eastAsia="宋体" w:cs="宋体"/>
          <w:sz w:val="28"/>
          <w:szCs w:val="28"/>
        </w:rPr>
        <w:t>填列</w:t>
      </w:r>
      <w:r>
        <w:rPr>
          <w:rFonts w:hint="eastAsia" w:ascii="宋体" w:hAnsi="宋体" w:eastAsia="宋体" w:cs="Times New Roman"/>
          <w:sz w:val="28"/>
          <w:szCs w:val="28"/>
        </w:rPr>
        <w:t>。）</w:t>
      </w:r>
    </w:p>
    <w:p w14:paraId="48111213">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7</w:t>
      </w:r>
      <w:r>
        <w:rPr>
          <w:rFonts w:hint="eastAsia" w:ascii="宋体" w:hAnsi="宋体" w:eastAsia="宋体" w:cs="Times New Roman"/>
          <w:sz w:val="28"/>
          <w:szCs w:val="28"/>
        </w:rPr>
        <w:t>、验收</w:t>
      </w:r>
    </w:p>
    <w:p w14:paraId="169F13C8">
      <w:pPr>
        <w:snapToGrid w:val="0"/>
        <w:spacing w:line="300" w:lineRule="auto"/>
        <w:ind w:firstLine="560" w:firstLineChars="200"/>
        <w:rPr>
          <w:rFonts w:ascii="宋体" w:hAnsi="Times New Roman" w:eastAsia="宋体" w:cs="Times New Roman"/>
          <w:sz w:val="28"/>
          <w:szCs w:val="28"/>
        </w:rPr>
      </w:pPr>
      <w:r>
        <w:rPr>
          <w:rFonts w:hint="eastAsia" w:ascii="宋体" w:hAnsi="宋体" w:eastAsia="宋体" w:cs="Times New Roman"/>
          <w:sz w:val="28"/>
          <w:szCs w:val="28"/>
        </w:rPr>
        <w:t>（货物验收标准和方法应按招标文件要求</w:t>
      </w:r>
      <w:r>
        <w:rPr>
          <w:rFonts w:hint="eastAsia" w:ascii="宋体" w:hAnsi="宋体" w:eastAsia="宋体" w:cs="宋体"/>
          <w:sz w:val="28"/>
          <w:szCs w:val="28"/>
        </w:rPr>
        <w:t>填列</w:t>
      </w:r>
      <w:r>
        <w:rPr>
          <w:rFonts w:hint="eastAsia" w:ascii="宋体" w:hAnsi="宋体" w:eastAsia="宋体" w:cs="Times New Roman"/>
          <w:sz w:val="28"/>
          <w:szCs w:val="28"/>
        </w:rPr>
        <w:t>。）验收结果经双方确认后，双方代表必须按规定的验收交接单上的项目对照本合同填好验收结果并签名盖章。</w:t>
      </w:r>
    </w:p>
    <w:p w14:paraId="5D732330">
      <w:pPr>
        <w:snapToGrid w:val="0"/>
        <w:spacing w:line="300" w:lineRule="auto"/>
        <w:ind w:firstLine="560" w:firstLineChars="200"/>
        <w:rPr>
          <w:rFonts w:ascii="宋体" w:hAnsi="Times New Roman" w:eastAsia="宋体" w:cs="Times New Roman"/>
          <w:sz w:val="28"/>
          <w:szCs w:val="28"/>
        </w:rPr>
      </w:pPr>
      <w:r>
        <w:rPr>
          <w:rFonts w:hint="eastAsia" w:ascii="宋体" w:hAnsi="宋体" w:eastAsia="宋体" w:cs="Times New Roman"/>
          <w:sz w:val="28"/>
          <w:szCs w:val="28"/>
        </w:rPr>
        <w:t>验收可细分为到货时的外在质量的验收，投产前的质量验收，大型设备可能还存在更多的验收步骤和验收方式，采购人可在招标文件中细化规定。</w:t>
      </w:r>
    </w:p>
    <w:p w14:paraId="2F9C594F">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8</w:t>
      </w:r>
      <w:r>
        <w:rPr>
          <w:rFonts w:hint="eastAsia" w:ascii="宋体" w:hAnsi="宋体" w:eastAsia="宋体" w:cs="Times New Roman"/>
          <w:sz w:val="28"/>
          <w:szCs w:val="28"/>
        </w:rPr>
        <w:t>、质量保证</w:t>
      </w:r>
    </w:p>
    <w:p w14:paraId="75672D21">
      <w:pPr>
        <w:snapToGrid w:val="0"/>
        <w:spacing w:line="300" w:lineRule="auto"/>
        <w:ind w:firstLine="560" w:firstLineChars="200"/>
        <w:rPr>
          <w:rFonts w:ascii="宋体" w:hAnsi="Times New Roman" w:eastAsia="宋体" w:cs="Times New Roman"/>
          <w:sz w:val="28"/>
          <w:szCs w:val="28"/>
        </w:rPr>
      </w:pPr>
      <w:r>
        <w:rPr>
          <w:rFonts w:hint="eastAsia" w:ascii="宋体" w:hAnsi="宋体" w:eastAsia="宋体" w:cs="Times New Roman"/>
          <w:sz w:val="28"/>
          <w:szCs w:val="28"/>
        </w:rPr>
        <w:t>各合同包货物质保期要求均为货物经最终验收合格后</w:t>
      </w:r>
      <w:r>
        <w:rPr>
          <w:rFonts w:ascii="宋体" w:hAnsi="宋体" w:eastAsia="宋体" w:cs="Times New Roman"/>
          <w:sz w:val="28"/>
          <w:szCs w:val="28"/>
        </w:rPr>
        <w:t xml:space="preserve"> </w:t>
      </w:r>
      <w:r>
        <w:rPr>
          <w:rFonts w:ascii="宋体" w:hAnsi="宋体" w:eastAsia="宋体" w:cs="Times New Roman"/>
          <w:sz w:val="28"/>
          <w:szCs w:val="28"/>
          <w:u w:val="single"/>
        </w:rPr>
        <w:t>24</w:t>
      </w:r>
      <w:r>
        <w:rPr>
          <w:rFonts w:hint="eastAsia" w:ascii="宋体" w:hAnsi="宋体" w:eastAsia="宋体" w:cs="Times New Roman"/>
          <w:sz w:val="28"/>
          <w:szCs w:val="28"/>
        </w:rPr>
        <w:t>个月，在质量保证期内设备运行发生故障时，乙方在接到甲方故障通知后</w:t>
      </w:r>
      <w:r>
        <w:rPr>
          <w:rFonts w:ascii="宋体" w:hAnsi="宋体" w:eastAsia="宋体" w:cs="Times New Roman"/>
          <w:sz w:val="28"/>
          <w:szCs w:val="28"/>
          <w:u w:val="single"/>
        </w:rPr>
        <w:t>48</w:t>
      </w:r>
      <w:r>
        <w:rPr>
          <w:rFonts w:hint="eastAsia" w:ascii="宋体" w:hAnsi="宋体" w:eastAsia="宋体" w:cs="Times New Roman"/>
          <w:sz w:val="28"/>
          <w:szCs w:val="28"/>
        </w:rPr>
        <w:t>小时内应委派专业技术人员到现场免费提供咨询、维修和更换零部件等服务，并及时填写维修报告（包括故障原因、处理情况及甲方意见等）报甲方备案，若</w:t>
      </w:r>
      <w:r>
        <w:rPr>
          <w:rFonts w:ascii="宋体" w:hAnsi="宋体" w:eastAsia="宋体" w:cs="Times New Roman"/>
          <w:sz w:val="28"/>
          <w:szCs w:val="28"/>
          <w:u w:val="single"/>
        </w:rPr>
        <w:t>24</w:t>
      </w:r>
      <w:r>
        <w:rPr>
          <w:rFonts w:hint="eastAsia" w:ascii="宋体" w:hAnsi="宋体" w:eastAsia="宋体" w:cs="Times New Roman"/>
          <w:sz w:val="28"/>
          <w:szCs w:val="28"/>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14:paraId="642193A6">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9</w:t>
      </w:r>
      <w:r>
        <w:rPr>
          <w:rFonts w:hint="eastAsia" w:ascii="宋体" w:hAnsi="宋体" w:eastAsia="宋体" w:cs="Times New Roman"/>
          <w:sz w:val="28"/>
          <w:szCs w:val="28"/>
        </w:rPr>
        <w:t>、知识产权：</w:t>
      </w:r>
    </w:p>
    <w:p w14:paraId="32842162">
      <w:pPr>
        <w:snapToGrid w:val="0"/>
        <w:spacing w:line="300" w:lineRule="auto"/>
        <w:ind w:firstLine="560" w:firstLineChars="200"/>
        <w:rPr>
          <w:rFonts w:ascii="宋体" w:hAnsi="Times New Roman" w:eastAsia="宋体" w:cs="Times New Roman"/>
          <w:sz w:val="28"/>
          <w:szCs w:val="28"/>
        </w:rPr>
      </w:pPr>
      <w:r>
        <w:rPr>
          <w:rFonts w:hint="eastAsia" w:ascii="宋体" w:hAnsi="宋体" w:eastAsia="宋体" w:cs="Times New Roman"/>
          <w:sz w:val="28"/>
          <w:szCs w:val="28"/>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4DBA2D79">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10</w:t>
      </w:r>
      <w:r>
        <w:rPr>
          <w:rFonts w:hint="eastAsia" w:ascii="宋体" w:hAnsi="宋体" w:eastAsia="宋体" w:cs="Times New Roman"/>
          <w:sz w:val="28"/>
          <w:szCs w:val="28"/>
        </w:rPr>
        <w:t>、违约责任</w:t>
      </w:r>
    </w:p>
    <w:p w14:paraId="0A224C5B">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10.1</w:t>
      </w:r>
      <w:r>
        <w:rPr>
          <w:rFonts w:hint="eastAsia" w:ascii="宋体" w:hAnsi="宋体" w:eastAsia="宋体" w:cs="Times New Roman"/>
          <w:sz w:val="28"/>
          <w:szCs w:val="28"/>
        </w:rPr>
        <w:t>未按期交货的违约责任</w:t>
      </w:r>
    </w:p>
    <w:p w14:paraId="0DFEAFE9">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10.1.1</w:t>
      </w:r>
      <w:r>
        <w:rPr>
          <w:rFonts w:hint="eastAsia" w:ascii="宋体" w:hAnsi="宋体" w:eastAsia="宋体" w:cs="Times New Roman"/>
          <w:sz w:val="28"/>
          <w:szCs w:val="28"/>
        </w:rPr>
        <w:t>如果乙方未能按合同规定的时间按时足额交货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ascii="宋体" w:hAnsi="宋体" w:eastAsia="宋体" w:cs="Times New Roman"/>
          <w:sz w:val="28"/>
          <w:szCs w:val="28"/>
          <w:u w:val="single"/>
        </w:rPr>
        <w:t xml:space="preserve">1 </w:t>
      </w:r>
      <w:r>
        <w:rPr>
          <w:rFonts w:hint="eastAsia" w:ascii="宋体" w:hAnsi="宋体" w:eastAsia="宋体" w:cs="Times New Roman"/>
          <w:sz w:val="28"/>
          <w:szCs w:val="28"/>
        </w:rPr>
        <w:t>天，按迟交货物金额的</w:t>
      </w:r>
      <w:r>
        <w:rPr>
          <w:rFonts w:ascii="宋体" w:hAnsi="宋体" w:eastAsia="宋体" w:cs="Times New Roman"/>
          <w:sz w:val="28"/>
          <w:szCs w:val="28"/>
          <w:u w:val="single"/>
        </w:rPr>
        <w:t>0.5</w:t>
      </w:r>
      <w:r>
        <w:rPr>
          <w:rFonts w:hint="eastAsia" w:ascii="宋体" w:hAnsi="宋体" w:eastAsia="宋体" w:cs="Times New Roman"/>
          <w:sz w:val="28"/>
          <w:szCs w:val="28"/>
        </w:rPr>
        <w:t>％。但是，延期交货违约金的支付总额不得超过迟交货物部分合同金额的</w:t>
      </w:r>
      <w:r>
        <w:rPr>
          <w:rFonts w:ascii="宋体" w:hAnsi="宋体" w:eastAsia="宋体" w:cs="Times New Roman"/>
          <w:sz w:val="28"/>
          <w:szCs w:val="28"/>
          <w:u w:val="single"/>
        </w:rPr>
        <w:t>20</w:t>
      </w:r>
      <w:r>
        <w:rPr>
          <w:rFonts w:hint="eastAsia" w:ascii="宋体" w:hAnsi="宋体" w:eastAsia="宋体" w:cs="Times New Roman"/>
          <w:sz w:val="28"/>
          <w:szCs w:val="28"/>
        </w:rPr>
        <w:t>％。</w:t>
      </w:r>
    </w:p>
    <w:p w14:paraId="5E61F433">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10.1.2</w:t>
      </w:r>
      <w:r>
        <w:rPr>
          <w:rFonts w:hint="eastAsia" w:ascii="宋体" w:hAnsi="宋体" w:eastAsia="宋体" w:cs="Times New Roman"/>
          <w:sz w:val="28"/>
          <w:szCs w:val="28"/>
        </w:rPr>
        <w:t>如果乙方未能按合同规定的时间或双方另行确定的延期交货期按时足额交货的（不可抗力除外），每逾期</w:t>
      </w:r>
      <w:r>
        <w:rPr>
          <w:rFonts w:ascii="宋体" w:hAnsi="宋体" w:eastAsia="宋体" w:cs="Times New Roman"/>
          <w:sz w:val="28"/>
          <w:szCs w:val="28"/>
        </w:rPr>
        <w:t>1</w:t>
      </w:r>
      <w:r>
        <w:rPr>
          <w:rFonts w:hint="eastAsia" w:ascii="宋体" w:hAnsi="宋体" w:eastAsia="宋体" w:cs="Times New Roman"/>
          <w:sz w:val="28"/>
          <w:szCs w:val="28"/>
        </w:rPr>
        <w:t>天，乙方应按迟交货物金额的</w:t>
      </w:r>
      <w:r>
        <w:rPr>
          <w:rFonts w:ascii="宋体" w:hAnsi="宋体" w:eastAsia="宋体" w:cs="Times New Roman"/>
          <w:sz w:val="28"/>
          <w:szCs w:val="28"/>
          <w:u w:val="single"/>
        </w:rPr>
        <w:t>0.5</w:t>
      </w:r>
      <w:r>
        <w:rPr>
          <w:rFonts w:hint="eastAsia" w:ascii="宋体" w:hAnsi="宋体" w:eastAsia="宋体" w:cs="Times New Roman"/>
          <w:sz w:val="28"/>
          <w:szCs w:val="28"/>
        </w:rPr>
        <w:t>％向甲方支付逾期交货的违约金。逾期交货违约金的支付甲方有权从未付的合同货款中予以扣除。若乙方逾期交货达</w:t>
      </w:r>
      <w:r>
        <w:rPr>
          <w:rFonts w:ascii="宋体" w:hAnsi="宋体" w:eastAsia="宋体" w:cs="Times New Roman"/>
          <w:sz w:val="28"/>
          <w:szCs w:val="28"/>
        </w:rPr>
        <w:t>30</w:t>
      </w:r>
      <w:r>
        <w:rPr>
          <w:rFonts w:hint="eastAsia" w:ascii="宋体" w:hAnsi="宋体" w:eastAsia="宋体" w:cs="Times New Roman"/>
          <w:sz w:val="28"/>
          <w:szCs w:val="28"/>
        </w:rPr>
        <w:t>天（含</w:t>
      </w:r>
      <w:r>
        <w:rPr>
          <w:rFonts w:ascii="宋体" w:hAnsi="宋体" w:eastAsia="宋体" w:cs="Times New Roman"/>
          <w:sz w:val="28"/>
          <w:szCs w:val="28"/>
        </w:rPr>
        <w:t>30</w:t>
      </w:r>
      <w:r>
        <w:rPr>
          <w:rFonts w:hint="eastAsia" w:ascii="宋体" w:hAnsi="宋体" w:eastAsia="宋体" w:cs="Times New Roman"/>
          <w:sz w:val="28"/>
          <w:szCs w:val="28"/>
        </w:rPr>
        <w:t>天）以上的，甲方有权单方解除本合同，乙方仍应按上述约定支付延期交货违约金。若因此给甲方造成损失的，还应赔偿甲方所受的损失。</w:t>
      </w:r>
    </w:p>
    <w:p w14:paraId="12EA0A11">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10.2</w:t>
      </w:r>
      <w:r>
        <w:rPr>
          <w:rFonts w:hint="eastAsia" w:ascii="宋体" w:hAnsi="宋体" w:eastAsia="宋体" w:cs="Times New Roman"/>
          <w:sz w:val="28"/>
          <w:szCs w:val="28"/>
        </w:rPr>
        <w:t>若乙方不能交货的（逾期</w:t>
      </w:r>
      <w:r>
        <w:rPr>
          <w:rFonts w:ascii="宋体" w:hAnsi="宋体" w:eastAsia="宋体" w:cs="Times New Roman"/>
          <w:sz w:val="28"/>
          <w:szCs w:val="28"/>
        </w:rPr>
        <w:t>15</w:t>
      </w:r>
      <w:r>
        <w:rPr>
          <w:rFonts w:hint="eastAsia" w:ascii="宋体" w:hAnsi="宋体" w:eastAsia="宋体" w:cs="Times New Roman"/>
          <w:sz w:val="28"/>
          <w:szCs w:val="28"/>
        </w:rPr>
        <w:t>个工作日视为不能交货，因不可抗拒的因素除外）或交货不合格从而影响甲方正常使用的，乙方应向甲方偿付不能交货部分货款的</w:t>
      </w:r>
      <w:r>
        <w:rPr>
          <w:rFonts w:ascii="宋体" w:hAnsi="宋体" w:eastAsia="宋体" w:cs="Times New Roman"/>
          <w:sz w:val="28"/>
          <w:szCs w:val="28"/>
          <w:u w:val="single"/>
        </w:rPr>
        <w:t>0.5</w:t>
      </w:r>
      <w:r>
        <w:rPr>
          <w:rFonts w:hint="eastAsia" w:ascii="宋体" w:hAnsi="宋体" w:eastAsia="宋体" w:cs="Times New Roman"/>
          <w:sz w:val="28"/>
          <w:szCs w:val="28"/>
        </w:rPr>
        <w:t>％的违约金。违约金不足以补偿损失的，甲方有权要求乙方赔偿损失。</w:t>
      </w:r>
    </w:p>
    <w:p w14:paraId="1D63ABAA">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10.3</w:t>
      </w:r>
      <w:r>
        <w:rPr>
          <w:rFonts w:hint="eastAsia" w:ascii="宋体" w:hAnsi="宋体" w:eastAsia="宋体" w:cs="Times New Roman"/>
          <w:sz w:val="28"/>
          <w:szCs w:val="28"/>
        </w:rPr>
        <w:t>如果乙方未能按照合同约定的时间提供服务的，每逾期</w:t>
      </w:r>
      <w:r>
        <w:rPr>
          <w:rFonts w:ascii="宋体" w:hAnsi="宋体" w:eastAsia="宋体" w:cs="Times New Roman"/>
          <w:sz w:val="28"/>
          <w:szCs w:val="28"/>
          <w:u w:val="single"/>
        </w:rPr>
        <w:t>1</w:t>
      </w:r>
      <w:r>
        <w:rPr>
          <w:rFonts w:hint="eastAsia" w:ascii="宋体" w:hAnsi="宋体" w:eastAsia="宋体" w:cs="Times New Roman"/>
          <w:sz w:val="28"/>
          <w:szCs w:val="28"/>
        </w:rPr>
        <w:t>天的，乙方应向甲方支付</w:t>
      </w:r>
      <w:r>
        <w:rPr>
          <w:rFonts w:ascii="宋体" w:hAnsi="宋体" w:eastAsia="宋体" w:cs="Times New Roman"/>
          <w:sz w:val="28"/>
          <w:szCs w:val="28"/>
          <w:u w:val="single"/>
        </w:rPr>
        <w:t>500</w:t>
      </w:r>
      <w:r>
        <w:rPr>
          <w:rFonts w:hint="eastAsia" w:ascii="宋体" w:hAnsi="宋体" w:eastAsia="宋体" w:cs="Times New Roman"/>
          <w:sz w:val="28"/>
          <w:szCs w:val="28"/>
        </w:rPr>
        <w:t>元违约金，若因此给甲方造成损失的，乙方还应赔偿甲方所受的损失。</w:t>
      </w:r>
    </w:p>
    <w:p w14:paraId="227D0AED">
      <w:pPr>
        <w:snapToGrid w:val="0"/>
        <w:spacing w:line="300" w:lineRule="auto"/>
        <w:jc w:val="left"/>
        <w:rPr>
          <w:rFonts w:ascii="宋体" w:hAnsi="Times New Roman" w:eastAsia="宋体" w:cs="Times New Roman"/>
          <w:sz w:val="28"/>
          <w:szCs w:val="28"/>
          <w:u w:val="single"/>
        </w:rPr>
      </w:pPr>
      <w:r>
        <w:rPr>
          <w:rFonts w:ascii="宋体" w:hAnsi="宋体" w:eastAsia="宋体" w:cs="Times New Roman"/>
          <w:sz w:val="28"/>
          <w:szCs w:val="28"/>
        </w:rPr>
        <w:t>10.4</w:t>
      </w:r>
      <w:r>
        <w:rPr>
          <w:rFonts w:hint="eastAsia" w:ascii="宋体" w:hAnsi="宋体" w:eastAsia="宋体" w:cs="Times New Roman"/>
          <w:sz w:val="28"/>
          <w:szCs w:val="28"/>
        </w:rPr>
        <w:t>甲方逾期付款的（有正当拒付理由的除外）应按照逾期金额的每日</w:t>
      </w:r>
      <w:r>
        <w:rPr>
          <w:rFonts w:ascii="宋体" w:hAnsi="宋体" w:eastAsia="宋体" w:cs="Times New Roman"/>
          <w:sz w:val="28"/>
          <w:szCs w:val="28"/>
          <w:u w:val="single"/>
        </w:rPr>
        <w:t>0.5</w:t>
      </w:r>
      <w:r>
        <w:rPr>
          <w:rFonts w:hint="eastAsia" w:ascii="宋体" w:hAnsi="宋体" w:eastAsia="宋体" w:cs="Times New Roman"/>
          <w:sz w:val="28"/>
          <w:szCs w:val="28"/>
        </w:rPr>
        <w:t>％支付逾期付款违约金。</w:t>
      </w:r>
    </w:p>
    <w:p w14:paraId="259C1482">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11</w:t>
      </w:r>
      <w:r>
        <w:rPr>
          <w:rFonts w:hint="eastAsia" w:ascii="宋体" w:hAnsi="宋体" w:eastAsia="宋体" w:cs="Times New Roman"/>
          <w:sz w:val="28"/>
          <w:szCs w:val="28"/>
        </w:rPr>
        <w:t>、违约终止合同</w:t>
      </w:r>
    </w:p>
    <w:p w14:paraId="1EB567CF">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11.1</w:t>
      </w:r>
      <w:r>
        <w:rPr>
          <w:rFonts w:hint="eastAsia" w:ascii="宋体" w:hAnsi="宋体" w:eastAsia="宋体" w:cs="Times New Roman"/>
          <w:sz w:val="28"/>
          <w:szCs w:val="28"/>
        </w:rPr>
        <w:t>在补救违约而采取的任何其他措施未能实现的情况下，即在甲方发出的违约通知后</w:t>
      </w:r>
      <w:r>
        <w:rPr>
          <w:rFonts w:ascii="宋体" w:hAnsi="宋体" w:eastAsia="宋体" w:cs="Times New Roman"/>
          <w:sz w:val="28"/>
          <w:szCs w:val="28"/>
        </w:rPr>
        <w:t>30</w:t>
      </w:r>
      <w:r>
        <w:rPr>
          <w:rFonts w:hint="eastAsia" w:ascii="宋体" w:hAnsi="宋体" w:eastAsia="宋体" w:cs="Times New Roman"/>
          <w:sz w:val="28"/>
          <w:szCs w:val="28"/>
        </w:rPr>
        <w:t>天内（或经甲方书面确认的更长时间内）仍未纠正其下述任何一种违约行为，甲方有权向乙方发出书面违约通知，甲方终止本合同：</w:t>
      </w:r>
      <w:r>
        <w:rPr>
          <w:rFonts w:ascii="宋体" w:hAnsi="宋体" w:eastAsia="宋体" w:cs="Times New Roman"/>
          <w:sz w:val="28"/>
          <w:szCs w:val="28"/>
        </w:rPr>
        <w:t xml:space="preserve">  </w:t>
      </w:r>
    </w:p>
    <w:p w14:paraId="1604B997">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11.1.1</w:t>
      </w:r>
      <w:r>
        <w:rPr>
          <w:rFonts w:hint="eastAsia" w:ascii="宋体" w:hAnsi="宋体" w:eastAsia="宋体" w:cs="Times New Roman"/>
          <w:sz w:val="28"/>
          <w:szCs w:val="28"/>
        </w:rPr>
        <w:t>如果乙方未能在合同规定的期限内或双方另行确定的延期交货时间内交付合同约定的货物。</w:t>
      </w:r>
    </w:p>
    <w:p w14:paraId="6AC87B64">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11.1.2</w:t>
      </w:r>
      <w:r>
        <w:rPr>
          <w:rFonts w:hint="eastAsia" w:ascii="宋体" w:hAnsi="宋体" w:eastAsia="宋体" w:cs="Times New Roman"/>
          <w:sz w:val="28"/>
          <w:szCs w:val="28"/>
        </w:rPr>
        <w:t>乙方未能履行合同项下的任何其它义务。</w:t>
      </w:r>
    </w:p>
    <w:p w14:paraId="158BD3C5">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12</w:t>
      </w:r>
      <w:r>
        <w:rPr>
          <w:rFonts w:hint="eastAsia" w:ascii="宋体" w:hAnsi="宋体" w:eastAsia="宋体" w:cs="Times New Roman"/>
          <w:sz w:val="28"/>
          <w:szCs w:val="28"/>
        </w:rPr>
        <w:t>、不可抗力</w:t>
      </w:r>
    </w:p>
    <w:p w14:paraId="147EC4B6">
      <w:pPr>
        <w:snapToGrid w:val="0"/>
        <w:spacing w:line="300" w:lineRule="auto"/>
        <w:ind w:firstLine="560" w:firstLineChars="200"/>
        <w:rPr>
          <w:rFonts w:ascii="宋体" w:hAnsi="Times New Roman" w:eastAsia="宋体" w:cs="Times New Roman"/>
          <w:sz w:val="28"/>
          <w:szCs w:val="28"/>
        </w:rPr>
      </w:pPr>
      <w:r>
        <w:rPr>
          <w:rFonts w:hint="eastAsia" w:ascii="宋体" w:hAnsi="宋体" w:eastAsia="宋体" w:cs="Times New Roman"/>
          <w:sz w:val="28"/>
          <w:szCs w:val="28"/>
        </w:rPr>
        <w:t>因不可抗力造成违约的，遭受不可抗力一方应及时向对方通报不能履行或不能完全履行的理由，并在随后取得有关主管机关证明后的</w:t>
      </w:r>
      <w:r>
        <w:rPr>
          <w:rFonts w:ascii="宋体" w:hAnsi="宋体" w:eastAsia="宋体" w:cs="Times New Roman"/>
          <w:sz w:val="28"/>
          <w:szCs w:val="28"/>
        </w:rPr>
        <w:t>15</w:t>
      </w:r>
      <w:r>
        <w:rPr>
          <w:rFonts w:hint="eastAsia" w:ascii="宋体" w:hAnsi="宋体" w:eastAsia="宋体" w:cs="Times New Roman"/>
          <w:sz w:val="28"/>
          <w:szCs w:val="28"/>
        </w:rPr>
        <w:t>日内向另一方提供不可抗力发生以及持续期间的充分证据。基本于以上行为，允许遭受不可抗力一方延期履行、部分履行或者不履行合同，并根据情况可部分或全部免于承担违约责任。</w:t>
      </w:r>
    </w:p>
    <w:p w14:paraId="65F26F0F">
      <w:pPr>
        <w:snapToGrid w:val="0"/>
        <w:spacing w:line="300" w:lineRule="auto"/>
        <w:ind w:firstLine="560" w:firstLineChars="200"/>
        <w:rPr>
          <w:rFonts w:ascii="宋体" w:hAnsi="Times New Roman" w:eastAsia="宋体" w:cs="Times New Roman"/>
          <w:sz w:val="28"/>
          <w:szCs w:val="28"/>
        </w:rPr>
      </w:pPr>
      <w:r>
        <w:rPr>
          <w:rFonts w:hint="eastAsia" w:ascii="宋体" w:hAnsi="宋体" w:eastAsia="宋体" w:cs="Times New Roman"/>
          <w:sz w:val="28"/>
          <w:szCs w:val="28"/>
        </w:rPr>
        <w:t>本合同中的不可抗力指不能预见、不能避免并不能克服的客观情况。包括但不限于：自然灾害如地震、台风、洪水、火灾；政府行为、法律规定或其适用的变化或者其他任何无法预见、避免或者控制的事件。</w:t>
      </w:r>
    </w:p>
    <w:p w14:paraId="0CA6BC95">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13</w:t>
      </w:r>
      <w:r>
        <w:rPr>
          <w:rFonts w:hint="eastAsia" w:ascii="宋体" w:hAnsi="宋体" w:eastAsia="宋体" w:cs="Times New Roman"/>
          <w:sz w:val="28"/>
          <w:szCs w:val="28"/>
        </w:rPr>
        <w:t>、合同纠纷处理方式：因本合同或与本合同有关的一切事项发生争议，由双方友好协商解决。协商不成的，任何一方均可向采购单位所在地人民法院提起诉讼。</w:t>
      </w:r>
    </w:p>
    <w:p w14:paraId="5E69B72B">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14</w:t>
      </w:r>
      <w:r>
        <w:rPr>
          <w:rFonts w:hint="eastAsia" w:ascii="宋体" w:hAnsi="宋体" w:eastAsia="宋体" w:cs="Times New Roman"/>
          <w:sz w:val="28"/>
          <w:szCs w:val="28"/>
        </w:rPr>
        <w:t>、其他约定</w:t>
      </w:r>
    </w:p>
    <w:p w14:paraId="6ADE51C7">
      <w:pPr>
        <w:snapToGrid w:val="0"/>
        <w:spacing w:line="300" w:lineRule="auto"/>
        <w:ind w:firstLine="560" w:firstLineChars="200"/>
        <w:rPr>
          <w:rFonts w:hint="eastAsia" w:ascii="宋体" w:hAnsi="宋体" w:eastAsia="宋体" w:cs="Times New Roman"/>
          <w:sz w:val="28"/>
          <w:szCs w:val="28"/>
        </w:rPr>
      </w:pPr>
      <w:r>
        <w:rPr>
          <w:rFonts w:ascii="宋体" w:hAnsi="宋体" w:eastAsia="宋体" w:cs="Times New Roman"/>
          <w:sz w:val="28"/>
          <w:szCs w:val="28"/>
        </w:rPr>
        <w:t>14.1</w:t>
      </w:r>
      <w:r>
        <w:rPr>
          <w:rFonts w:hint="eastAsia" w:ascii="宋体" w:hAnsi="宋体" w:eastAsia="宋体" w:cs="Times New Roman"/>
          <w:sz w:val="28"/>
          <w:szCs w:val="28"/>
        </w:rPr>
        <w:t>本采购项目的招标文件、中标人的投标文件以及相关的澄清确认函（如果有的话）均为本合同不可分割的一部分，与本合同具有同等法律效力。</w:t>
      </w:r>
      <w:r>
        <w:rPr>
          <w:rFonts w:ascii="宋体" w:hAnsi="宋体" w:eastAsia="宋体" w:cs="Times New Roman"/>
          <w:sz w:val="28"/>
          <w:szCs w:val="28"/>
        </w:rPr>
        <w:t xml:space="preserve"> </w:t>
      </w:r>
    </w:p>
    <w:p w14:paraId="7E172B68">
      <w:pPr>
        <w:snapToGrid w:val="0"/>
        <w:spacing w:line="300" w:lineRule="auto"/>
        <w:ind w:firstLine="560" w:firstLineChars="200"/>
        <w:rPr>
          <w:rFonts w:ascii="宋体" w:hAnsi="Times New Roman" w:eastAsia="宋体" w:cs="Times New Roman"/>
          <w:sz w:val="28"/>
          <w:szCs w:val="28"/>
        </w:rPr>
      </w:pPr>
      <w:r>
        <w:rPr>
          <w:rFonts w:ascii="宋体" w:hAnsi="宋体" w:eastAsia="宋体" w:cs="Times New Roman"/>
          <w:sz w:val="28"/>
          <w:szCs w:val="28"/>
        </w:rPr>
        <w:t>14.2</w:t>
      </w:r>
      <w:r>
        <w:rPr>
          <w:rFonts w:hint="eastAsia" w:ascii="宋体" w:hAnsi="宋体" w:eastAsia="宋体" w:cs="Times New Roman"/>
          <w:sz w:val="28"/>
          <w:szCs w:val="28"/>
        </w:rPr>
        <w:t>本合同未尽事宜，双方另行补充。</w:t>
      </w:r>
    </w:p>
    <w:p w14:paraId="28481845">
      <w:pPr>
        <w:pStyle w:val="2"/>
        <w:widowControl/>
        <w:snapToGrid w:val="0"/>
        <w:spacing w:line="360" w:lineRule="auto"/>
        <w:rPr>
          <w:rFonts w:eastAsia="宋体" w:cs="Times New Roman"/>
          <w:color w:val="000000"/>
          <w:sz w:val="28"/>
          <w:szCs w:val="28"/>
        </w:rPr>
      </w:pPr>
    </w:p>
    <w:p w14:paraId="625AC7FB">
      <w:pPr>
        <w:pStyle w:val="2"/>
        <w:widowControl/>
        <w:spacing w:line="400" w:lineRule="exact"/>
        <w:rPr>
          <w:rFonts w:eastAsia="宋体" w:cs="Times New Roman"/>
          <w:color w:val="000000"/>
          <w:sz w:val="28"/>
          <w:szCs w:val="28"/>
        </w:rPr>
      </w:pPr>
    </w:p>
    <w:p w14:paraId="71104B76">
      <w:pPr>
        <w:pStyle w:val="2"/>
        <w:widowControl/>
        <w:spacing w:line="320" w:lineRule="exact"/>
        <w:rPr>
          <w:rFonts w:eastAsia="宋体" w:cs="Times New Roman"/>
          <w:color w:val="000000"/>
          <w:sz w:val="28"/>
          <w:szCs w:val="28"/>
        </w:rPr>
      </w:pPr>
    </w:p>
    <w:p w14:paraId="23F261D4">
      <w:pPr>
        <w:pStyle w:val="2"/>
        <w:widowControl/>
        <w:spacing w:line="320" w:lineRule="exact"/>
        <w:rPr>
          <w:rFonts w:eastAsia="宋体" w:cs="Times New Roman"/>
          <w:color w:val="000000"/>
          <w:sz w:val="28"/>
          <w:szCs w:val="28"/>
        </w:rPr>
      </w:pPr>
    </w:p>
    <w:p w14:paraId="4EBA79A2">
      <w:pPr>
        <w:pStyle w:val="2"/>
        <w:widowControl/>
        <w:spacing w:line="320" w:lineRule="exact"/>
        <w:ind w:left="5320" w:hanging="5320" w:hangingChars="1900"/>
        <w:jc w:val="both"/>
        <w:rPr>
          <w:rFonts w:eastAsia="宋体" w:cs="Times New Roman"/>
          <w:color w:val="000000"/>
          <w:sz w:val="28"/>
          <w:szCs w:val="28"/>
        </w:rPr>
      </w:pPr>
      <w:r>
        <w:rPr>
          <w:rFonts w:eastAsia="宋体" w:cs="Times New Roman"/>
          <w:color w:val="000000"/>
          <w:sz w:val="28"/>
          <w:szCs w:val="28"/>
        </w:rPr>
        <w:t xml:space="preserve">甲方：连城县粮食购销有限公司     乙方： </w:t>
      </w:r>
    </w:p>
    <w:p w14:paraId="56EB726D">
      <w:pPr>
        <w:pStyle w:val="2"/>
        <w:widowControl/>
        <w:spacing w:line="320" w:lineRule="exact"/>
        <w:ind w:left="5320" w:hanging="5320" w:hangingChars="1900"/>
        <w:jc w:val="both"/>
        <w:rPr>
          <w:rFonts w:eastAsia="宋体" w:cs="Times New Roman"/>
          <w:color w:val="000000"/>
          <w:sz w:val="28"/>
          <w:szCs w:val="28"/>
        </w:rPr>
      </w:pPr>
      <w:r>
        <w:rPr>
          <w:rFonts w:eastAsia="宋体" w:cs="Times New Roman"/>
          <w:color w:val="000000"/>
          <w:sz w:val="28"/>
          <w:szCs w:val="28"/>
        </w:rPr>
        <w:t xml:space="preserve">（盖章）                              </w:t>
      </w:r>
    </w:p>
    <w:p w14:paraId="5C08D08A">
      <w:pPr>
        <w:pStyle w:val="2"/>
        <w:widowControl/>
        <w:spacing w:line="320" w:lineRule="exact"/>
        <w:rPr>
          <w:rFonts w:eastAsia="宋体" w:cs="Times New Roman"/>
          <w:color w:val="000000"/>
          <w:sz w:val="28"/>
          <w:szCs w:val="28"/>
        </w:rPr>
      </w:pPr>
      <w:r>
        <w:rPr>
          <w:rFonts w:eastAsia="宋体" w:cs="Times New Roman"/>
          <w:color w:val="000000"/>
          <w:sz w:val="28"/>
          <w:szCs w:val="28"/>
        </w:rPr>
        <w:t xml:space="preserve">                          </w:t>
      </w:r>
    </w:p>
    <w:p w14:paraId="18886B2A">
      <w:pPr>
        <w:pStyle w:val="2"/>
        <w:widowControl/>
        <w:spacing w:line="320" w:lineRule="exact"/>
        <w:rPr>
          <w:rFonts w:eastAsia="宋体" w:cs="Times New Roman"/>
          <w:color w:val="000000"/>
          <w:sz w:val="28"/>
          <w:szCs w:val="28"/>
        </w:rPr>
      </w:pPr>
    </w:p>
    <w:p w14:paraId="5870AE7F">
      <w:pPr>
        <w:pStyle w:val="2"/>
        <w:widowControl/>
        <w:spacing w:line="320" w:lineRule="exact"/>
        <w:rPr>
          <w:rFonts w:eastAsia="宋体" w:cs="Times New Roman"/>
          <w:color w:val="000000"/>
          <w:sz w:val="28"/>
          <w:szCs w:val="28"/>
        </w:rPr>
      </w:pPr>
      <w:r>
        <w:rPr>
          <w:rFonts w:eastAsia="宋体" w:cs="Times New Roman"/>
          <w:color w:val="000000"/>
          <w:sz w:val="28"/>
          <w:szCs w:val="28"/>
        </w:rPr>
        <w:t xml:space="preserve">单位地址：福建省连城县           地址： </w:t>
      </w:r>
    </w:p>
    <w:p w14:paraId="0D1A7C80">
      <w:pPr>
        <w:pStyle w:val="2"/>
        <w:widowControl/>
        <w:spacing w:line="320" w:lineRule="exact"/>
        <w:ind w:firstLine="1400" w:firstLineChars="500"/>
        <w:rPr>
          <w:rFonts w:eastAsia="宋体" w:cs="Times New Roman"/>
          <w:color w:val="000000"/>
          <w:sz w:val="28"/>
          <w:szCs w:val="28"/>
        </w:rPr>
      </w:pPr>
      <w:r>
        <w:rPr>
          <w:rFonts w:eastAsia="宋体" w:cs="Times New Roman"/>
          <w:color w:val="000000"/>
          <w:sz w:val="28"/>
          <w:szCs w:val="28"/>
        </w:rPr>
        <w:t xml:space="preserve">北大中路49号单位         </w:t>
      </w:r>
    </w:p>
    <w:p w14:paraId="0BC37335">
      <w:pPr>
        <w:pStyle w:val="2"/>
        <w:widowControl/>
        <w:spacing w:line="320" w:lineRule="exact"/>
        <w:rPr>
          <w:rFonts w:eastAsia="宋体" w:cs="Times New Roman"/>
          <w:color w:val="000000"/>
          <w:sz w:val="28"/>
          <w:szCs w:val="28"/>
        </w:rPr>
      </w:pPr>
      <w:r>
        <w:rPr>
          <w:rFonts w:eastAsia="宋体" w:cs="Times New Roman"/>
          <w:color w:val="000000"/>
          <w:sz w:val="28"/>
          <w:szCs w:val="28"/>
        </w:rPr>
        <w:t>开户银行：                        开户银行：</w:t>
      </w:r>
    </w:p>
    <w:p w14:paraId="41179B2E">
      <w:pPr>
        <w:pStyle w:val="2"/>
        <w:widowControl/>
        <w:spacing w:line="320" w:lineRule="exact"/>
        <w:rPr>
          <w:rFonts w:eastAsia="宋体" w:cs="Times New Roman"/>
          <w:color w:val="000000"/>
          <w:sz w:val="28"/>
          <w:szCs w:val="28"/>
        </w:rPr>
      </w:pPr>
      <w:r>
        <w:rPr>
          <w:rFonts w:eastAsia="宋体" w:cs="Times New Roman"/>
          <w:color w:val="000000"/>
          <w:sz w:val="28"/>
          <w:szCs w:val="28"/>
        </w:rPr>
        <w:t>帐号：                            帐号：</w:t>
      </w:r>
    </w:p>
    <w:p w14:paraId="55558155">
      <w:pPr>
        <w:pStyle w:val="2"/>
        <w:widowControl/>
        <w:spacing w:line="320" w:lineRule="exact"/>
        <w:rPr>
          <w:rFonts w:eastAsia="宋体" w:cs="Times New Roman"/>
          <w:color w:val="000000"/>
          <w:sz w:val="28"/>
          <w:szCs w:val="28"/>
        </w:rPr>
      </w:pPr>
    </w:p>
    <w:p w14:paraId="7BD0C17E">
      <w:pPr>
        <w:pStyle w:val="2"/>
        <w:widowControl/>
        <w:spacing w:line="320" w:lineRule="exact"/>
        <w:rPr>
          <w:rFonts w:eastAsia="宋体" w:cs="Times New Roman"/>
          <w:color w:val="000000"/>
          <w:sz w:val="28"/>
          <w:szCs w:val="28"/>
        </w:rPr>
      </w:pPr>
      <w:r>
        <w:rPr>
          <w:rFonts w:eastAsia="宋体" w:cs="Times New Roman"/>
          <w:color w:val="000000"/>
          <w:sz w:val="28"/>
          <w:szCs w:val="28"/>
        </w:rPr>
        <w:t>法定代表人：                      法定代表人：</w:t>
      </w:r>
    </w:p>
    <w:p w14:paraId="2C25F884">
      <w:pPr>
        <w:pStyle w:val="2"/>
        <w:widowControl/>
        <w:spacing w:line="320" w:lineRule="exact"/>
        <w:rPr>
          <w:rFonts w:eastAsia="宋体" w:cs="Times New Roman"/>
          <w:color w:val="000000"/>
          <w:sz w:val="28"/>
          <w:szCs w:val="28"/>
        </w:rPr>
      </w:pPr>
    </w:p>
    <w:p w14:paraId="0D137D03">
      <w:pPr>
        <w:pStyle w:val="2"/>
        <w:widowControl/>
        <w:spacing w:line="320" w:lineRule="exact"/>
        <w:rPr>
          <w:rFonts w:eastAsia="宋体" w:cs="Times New Roman"/>
          <w:color w:val="000000"/>
          <w:sz w:val="28"/>
          <w:szCs w:val="28"/>
        </w:rPr>
      </w:pPr>
    </w:p>
    <w:p w14:paraId="5CFA5483">
      <w:pPr>
        <w:pStyle w:val="2"/>
        <w:widowControl/>
        <w:spacing w:line="320" w:lineRule="exact"/>
        <w:rPr>
          <w:rFonts w:eastAsia="宋体" w:cs="Times New Roman"/>
          <w:color w:val="000000"/>
          <w:sz w:val="28"/>
          <w:szCs w:val="28"/>
        </w:rPr>
      </w:pPr>
      <w:r>
        <w:rPr>
          <w:rFonts w:eastAsia="宋体" w:cs="Times New Roman"/>
          <w:color w:val="000000"/>
          <w:sz w:val="28"/>
          <w:szCs w:val="28"/>
        </w:rPr>
        <w:t>联系人：                          委托代理人：</w:t>
      </w:r>
    </w:p>
    <w:p w14:paraId="0C8F5F6C">
      <w:pPr>
        <w:pStyle w:val="2"/>
        <w:widowControl/>
        <w:spacing w:line="320" w:lineRule="exact"/>
        <w:rPr>
          <w:rFonts w:eastAsia="宋体" w:cs="Times New Roman"/>
          <w:color w:val="000000"/>
          <w:sz w:val="28"/>
          <w:szCs w:val="28"/>
        </w:rPr>
      </w:pPr>
    </w:p>
    <w:p w14:paraId="4DF6C5B2">
      <w:pPr>
        <w:pStyle w:val="2"/>
        <w:widowControl/>
        <w:spacing w:line="320" w:lineRule="exact"/>
        <w:rPr>
          <w:rFonts w:eastAsia="宋体" w:cs="Times New Roman"/>
          <w:color w:val="000000"/>
          <w:sz w:val="28"/>
          <w:szCs w:val="28"/>
        </w:rPr>
      </w:pPr>
      <w:r>
        <w:rPr>
          <w:rFonts w:eastAsia="宋体" w:cs="Times New Roman"/>
          <w:color w:val="000000"/>
          <w:sz w:val="28"/>
          <w:szCs w:val="28"/>
        </w:rPr>
        <w:t>联系电话：                        联系电话：</w:t>
      </w:r>
    </w:p>
    <w:p w14:paraId="249CCD2B">
      <w:pPr>
        <w:pStyle w:val="2"/>
        <w:widowControl/>
        <w:spacing w:line="320" w:lineRule="exact"/>
        <w:rPr>
          <w:rFonts w:eastAsia="宋体" w:cs="Times New Roman"/>
          <w:color w:val="000000"/>
          <w:sz w:val="28"/>
          <w:szCs w:val="28"/>
        </w:rPr>
      </w:pPr>
    </w:p>
    <w:p w14:paraId="09D6ECBD">
      <w:pPr>
        <w:pStyle w:val="2"/>
        <w:widowControl/>
        <w:spacing w:line="320" w:lineRule="exact"/>
        <w:rPr>
          <w:rFonts w:eastAsia="宋体" w:cs="Times New Roman"/>
          <w:color w:val="000000"/>
          <w:sz w:val="28"/>
          <w:szCs w:val="28"/>
        </w:rPr>
      </w:pPr>
    </w:p>
    <w:p w14:paraId="56432B12">
      <w:pPr>
        <w:pStyle w:val="2"/>
        <w:widowControl/>
        <w:spacing w:line="320" w:lineRule="exact"/>
        <w:rPr>
          <w:rFonts w:eastAsia="宋体" w:cs="Times New Roman"/>
          <w:color w:val="000000"/>
          <w:sz w:val="28"/>
          <w:szCs w:val="28"/>
        </w:rPr>
      </w:pPr>
    </w:p>
    <w:p w14:paraId="6E6AF37A">
      <w:pPr>
        <w:pStyle w:val="2"/>
        <w:widowControl/>
        <w:spacing w:line="320" w:lineRule="exact"/>
        <w:rPr>
          <w:rFonts w:eastAsia="宋体" w:cs="Times New Roman"/>
          <w:sz w:val="28"/>
          <w:szCs w:val="28"/>
        </w:rPr>
      </w:pPr>
      <w:r>
        <w:rPr>
          <w:rFonts w:eastAsia="宋体" w:cs="Times New Roman"/>
          <w:sz w:val="28"/>
          <w:szCs w:val="28"/>
        </w:rPr>
        <w:t>签订日期：     年   月   日       签订时期：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669A3"/>
    <w:rsid w:val="2696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lang w:val="en-US" w:eastAsia="zh-CN" w:bidi="ar-SA"/>
    </w:rPr>
  </w:style>
  <w:style w:type="paragraph" w:styleId="3">
    <w:name w:val="Normal (Web)"/>
    <w:qFormat/>
    <w:uiPriority w:val="0"/>
    <w:pPr>
      <w:widowControl/>
      <w:spacing w:before="100" w:beforeAutospacing="1" w:after="100" w:afterAutospacing="1" w:line="320" w:lineRule="atLeast"/>
      <w:jc w:val="left"/>
    </w:pPr>
    <w:rPr>
      <w:rFonts w:ascii="宋体" w:hAnsi="宋体" w:eastAsia="宋体" w:cs="Times New Roman"/>
      <w:kern w:val="0"/>
      <w:sz w:val="18"/>
      <w:szCs w:val="18"/>
      <w:lang w:val="en-US" w:eastAsia="zh-CN" w:bidi="ar-SA"/>
    </w:rPr>
  </w:style>
  <w:style w:type="paragraph" w:customStyle="1" w:styleId="6">
    <w:name w:val="样式3"/>
    <w:qFormat/>
    <w:uiPriority w:val="0"/>
    <w:pPr>
      <w:widowControl w:val="0"/>
      <w:spacing w:line="0" w:lineRule="atLeast"/>
      <w:jc w:val="both"/>
      <w:outlineLvl w:val="0"/>
    </w:pPr>
    <w:rPr>
      <w:rFonts w:ascii="宋体" w:hAnsi="Courier New"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2024-12-11T03:29:00Z</dcterms:created>
  <dc:creator>土豆排骨的滋味</dc:creator>
  <cp:lastModifiedBy>土豆排骨的滋味</cp:lastModifiedBy>
  <dcterms:modified xsi:type="dcterms:W3CDTF">2024-12-11T03:31:55Z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E6D1B1A2007B452FBC6AD299CE16908B_11</vt:lpwstr>
  </property>
</Properties>
</file>