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5F0A1">
      <w:pPr>
        <w:widowControl/>
        <w:shd w:val="clear"/>
        <w:snapToGrid/>
        <w:spacing w:before="0" w:line="360" w:lineRule="auto"/>
        <w:ind w:left="218" w:leftChars="104" w:right="160" w:rightChars="76"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4C19679B">
      <w:pPr>
        <w:widowControl/>
        <w:shd w:val="clear"/>
        <w:snapToGrid/>
        <w:spacing w:before="0" w:line="360" w:lineRule="auto"/>
        <w:ind w:left="218" w:leftChars="104" w:right="160" w:rightChars="76"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LCCQJJ20241108</w:t>
      </w:r>
      <w:r>
        <w:rPr>
          <w:rFonts w:hint="eastAsia" w:asciiTheme="minorEastAsia" w:hAnsiTheme="minorEastAsia" w:eastAsiaTheme="minorEastAsia" w:cstheme="minorEastAsia"/>
          <w:b w:val="0"/>
          <w:bCs w:val="0"/>
          <w:color w:val="auto"/>
          <w:kern w:val="2"/>
          <w:sz w:val="24"/>
          <w:szCs w:val="24"/>
          <w:shd w:val="clear"/>
        </w:rPr>
        <w:t>）</w:t>
      </w:r>
    </w:p>
    <w:p w14:paraId="66C02F90">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2EF6D829">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14DE810B">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11月8日</w:t>
      </w:r>
      <w:r>
        <w:rPr>
          <w:rFonts w:hint="eastAsia" w:asciiTheme="minorEastAsia" w:hAnsiTheme="minorEastAsia" w:eastAsiaTheme="minorEastAsia" w:cstheme="minorEastAsia"/>
          <w:color w:val="auto"/>
          <w:kern w:val="2"/>
          <w:sz w:val="24"/>
          <w:szCs w:val="24"/>
          <w:shd w:val="clear"/>
        </w:rPr>
        <w:t>9:30开始至9:50止（20分钟）。</w:t>
      </w:r>
    </w:p>
    <w:p w14:paraId="03FE895B">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1BA76E5E">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11月5日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11月7日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14:paraId="046E0237">
      <w:pPr>
        <w:snapToGrid/>
        <w:spacing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59A1AB30">
      <w:pPr>
        <w:snapToGrid/>
        <w:spacing w:line="360" w:lineRule="auto"/>
        <w:ind w:left="218" w:leftChars="104" w:right="160" w:rightChars="76"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eastAsia="zh-CN"/>
        </w:rPr>
        <w:t>18039848961</w:t>
      </w:r>
    </w:p>
    <w:p w14:paraId="09C80FC7">
      <w:pPr>
        <w:widowControl/>
        <w:shd w:val="clear"/>
        <w:snapToGrid/>
        <w:spacing w:before="0" w:beforeAutospacing="0" w:after="0" w:afterAutospacing="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、一、项目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服务</w:t>
      </w:r>
      <w:r>
        <w:rPr>
          <w:rFonts w:hint="eastAsia" w:asciiTheme="minorEastAsia" w:hAnsiTheme="minorEastAsia" w:eastAsiaTheme="minorEastAsia" w:cstheme="minorEastAsia"/>
          <w:b/>
          <w:bCs/>
          <w:color w:val="auto"/>
          <w:sz w:val="24"/>
          <w:szCs w:val="24"/>
        </w:rPr>
        <w:t>要求</w:t>
      </w:r>
    </w:p>
    <w:p w14:paraId="17AA4BF9">
      <w:pPr>
        <w:widowControl/>
        <w:shd w:val="clear"/>
        <w:snapToGrid/>
        <w:spacing w:before="0" w:beforeAutospacing="0" w:after="0" w:afterAutospacing="0" w:line="360" w:lineRule="auto"/>
        <w:ind w:left="218" w:leftChars="104" w:right="160" w:rightChars="76" w:firstLine="482"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bCs/>
          <w:color w:val="auto"/>
          <w:sz w:val="24"/>
          <w:szCs w:val="24"/>
        </w:rPr>
        <w:t>1.项目名称</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0000FF"/>
          <w:kern w:val="2"/>
          <w:sz w:val="24"/>
          <w:szCs w:val="24"/>
          <w:u w:val="none"/>
          <w:lang w:eastAsia="zh-CN"/>
        </w:rPr>
        <w:t>连城县现代甘薯产业园建设项目5号桥梁工程洪水影响评价类报告编制服务采购</w:t>
      </w:r>
      <w:r>
        <w:rPr>
          <w:rFonts w:hint="eastAsia" w:asciiTheme="minorEastAsia" w:hAnsiTheme="minorEastAsia" w:eastAsiaTheme="minorEastAsia" w:cstheme="minorEastAsia"/>
          <w:color w:val="0000FF"/>
          <w:sz w:val="24"/>
          <w:szCs w:val="24"/>
        </w:rPr>
        <w:t>。</w:t>
      </w:r>
    </w:p>
    <w:p w14:paraId="0E1B4E76">
      <w:pPr>
        <w:pStyle w:val="5"/>
        <w:spacing w:line="360" w:lineRule="auto"/>
        <w:ind w:left="218" w:leftChars="104" w:right="160" w:rightChars="76" w:firstLine="482" w:firstLineChars="200"/>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2.技术服务的目标：</w:t>
      </w:r>
      <w:r>
        <w:rPr>
          <w:rFonts w:hint="eastAsia" w:asciiTheme="minorEastAsia" w:hAnsiTheme="minorEastAsia" w:eastAsiaTheme="minorEastAsia" w:cstheme="minorEastAsia"/>
          <w:color w:val="0000FF"/>
          <w:kern w:val="2"/>
          <w:sz w:val="24"/>
          <w:szCs w:val="24"/>
          <w:u w:val="none"/>
          <w:lang w:val="en-US" w:eastAsia="zh-CN" w:bidi="ar-SA"/>
        </w:rPr>
        <w:t>按国家有关规程、规范、标准和要求完成连城县现代甘薯产业园建设项目5号桥梁工程洪水影响评价类报告编制。</w:t>
      </w:r>
    </w:p>
    <w:p w14:paraId="3E404A24">
      <w:pPr>
        <w:pStyle w:val="5"/>
        <w:spacing w:line="360" w:lineRule="auto"/>
        <w:ind w:left="218" w:leftChars="104" w:right="160" w:rightChars="76" w:firstLine="482" w:firstLineChars="200"/>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b/>
          <w:bCs/>
          <w:color w:val="auto"/>
          <w:kern w:val="2"/>
          <w:sz w:val="24"/>
          <w:szCs w:val="24"/>
          <w:u w:val="none"/>
          <w:lang w:val="en-US" w:eastAsia="zh-CN" w:bidi="ar-SA"/>
        </w:rPr>
        <w:t>3.</w:t>
      </w:r>
      <w:r>
        <w:rPr>
          <w:rFonts w:hint="eastAsia" w:asciiTheme="minorEastAsia" w:hAnsiTheme="minorEastAsia" w:eastAsiaTheme="minorEastAsia" w:cstheme="minorEastAsia"/>
          <w:b/>
          <w:bCs/>
          <w:color w:val="auto"/>
          <w:kern w:val="2"/>
          <w:sz w:val="24"/>
          <w:szCs w:val="24"/>
          <w:lang w:val="en-US" w:eastAsia="zh-CN" w:bidi="ar-SA"/>
        </w:rPr>
        <w:t>技术服务的内容：</w:t>
      </w:r>
      <w:r>
        <w:rPr>
          <w:rFonts w:hint="eastAsia" w:asciiTheme="minorEastAsia" w:hAnsiTheme="minorEastAsia" w:eastAsiaTheme="minorEastAsia" w:cstheme="minorEastAsia"/>
          <w:color w:val="0000FF"/>
          <w:kern w:val="2"/>
          <w:sz w:val="24"/>
          <w:szCs w:val="24"/>
          <w:u w:val="none"/>
          <w:lang w:val="en-US" w:eastAsia="zh-CN" w:bidi="ar-SA"/>
        </w:rPr>
        <w:t>(1)、河道断面测量；(2)、基础资料收集；(3)、20年、50年一遇设计洪水及洪水位分析计算；(4)、20年、50年一遇设 计洪水水面线分析计算；(5)、防洪评价；(6)、报告书的编制</w:t>
      </w:r>
      <w:r>
        <w:rPr>
          <w:rFonts w:hint="eastAsia" w:asciiTheme="minorEastAsia" w:hAnsiTheme="minorEastAsia" w:eastAsiaTheme="minorEastAsia" w:cstheme="minorEastAsia"/>
          <w:color w:val="0000FF"/>
          <w:kern w:val="2"/>
          <w:sz w:val="24"/>
          <w:szCs w:val="24"/>
          <w:highlight w:val="none"/>
          <w:u w:val="none"/>
          <w:lang w:val="en-US" w:eastAsia="zh-CN" w:bidi="ar-SA"/>
        </w:rPr>
        <w:t>。</w:t>
      </w:r>
    </w:p>
    <w:p w14:paraId="3CCE4B3A">
      <w:pPr>
        <w:pStyle w:val="5"/>
        <w:spacing w:line="360" w:lineRule="auto"/>
        <w:ind w:left="218" w:leftChars="104" w:right="160" w:rightChars="76" w:firstLine="482"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4.技术服务的方式：</w:t>
      </w:r>
      <w:r>
        <w:rPr>
          <w:rFonts w:hint="eastAsia" w:asciiTheme="minorEastAsia" w:hAnsiTheme="minorEastAsia" w:eastAsiaTheme="minorEastAsia" w:cstheme="minorEastAsia"/>
          <w:color w:val="0000FF"/>
          <w:kern w:val="2"/>
          <w:sz w:val="24"/>
          <w:szCs w:val="24"/>
          <w:u w:val="none"/>
          <w:lang w:val="en-US" w:eastAsia="zh-CN" w:bidi="ar-SA"/>
        </w:rPr>
        <w:t>成交供应商在调查勘测所需资料数据基础上，通过计算分析、评价、论证，向委托方提交防洪论证报告书。</w:t>
      </w:r>
    </w:p>
    <w:p w14:paraId="151A1ACB">
      <w:pPr>
        <w:pStyle w:val="5"/>
        <w:spacing w:line="360" w:lineRule="auto"/>
        <w:ind w:left="218" w:leftChars="104" w:right="160" w:rightChars="76" w:firstLine="482" w:firstLineChars="200"/>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5.技术服务要求：</w:t>
      </w:r>
    </w:p>
    <w:p w14:paraId="418C5B15">
      <w:pPr>
        <w:pStyle w:val="5"/>
        <w:spacing w:line="360" w:lineRule="auto"/>
        <w:ind w:left="218" w:leftChars="104" w:right="160" w:rightChars="76" w:firstLine="480" w:firstLineChars="200"/>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color w:val="0000FF"/>
          <w:kern w:val="2"/>
          <w:sz w:val="24"/>
          <w:szCs w:val="24"/>
          <w:u w:val="none"/>
          <w:lang w:val="en-US" w:eastAsia="zh-CN" w:bidi="ar-SA"/>
        </w:rPr>
        <w:t>（1）技术服务进度：成交供应商应在合同签订后15日内完成《连城县现代甘薯产业园建设项目5号桥梁工程洪水影响评价类报告》送审稿的编制工作；并向委托方分别提交送审稿8份和报批稿8份。</w:t>
      </w:r>
    </w:p>
    <w:p w14:paraId="29B1B701">
      <w:pPr>
        <w:pStyle w:val="5"/>
        <w:spacing w:line="360" w:lineRule="auto"/>
        <w:ind w:left="218" w:leftChars="104" w:right="160" w:rightChars="76" w:firstLine="480" w:firstLineChars="200"/>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color w:val="0000FF"/>
          <w:kern w:val="2"/>
          <w:sz w:val="24"/>
          <w:szCs w:val="24"/>
          <w:u w:val="none"/>
          <w:lang w:val="en-US" w:eastAsia="zh-CN" w:bidi="ar-SA"/>
        </w:rPr>
        <w:t>（2）技术服务质量、期限要求：1)防洪论证报告内容应满足《河道管理范围内建设项目管理的有关规定》的要求，并符合国家、省和龙岩市现行有关规定，通过地方水利部门审核；2)满足建设单位提交成果的期限要求。</w:t>
      </w:r>
    </w:p>
    <w:p w14:paraId="5BDA28F5">
      <w:pPr>
        <w:pStyle w:val="5"/>
        <w:spacing w:line="360" w:lineRule="auto"/>
        <w:ind w:left="218" w:leftChars="104" w:right="160" w:rightChars="76" w:firstLine="480" w:firstLineChars="200"/>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color w:val="0000FF"/>
          <w:kern w:val="2"/>
          <w:sz w:val="24"/>
          <w:szCs w:val="24"/>
          <w:u w:val="none"/>
          <w:lang w:val="en-US" w:eastAsia="zh-CN" w:bidi="ar-SA"/>
        </w:rPr>
        <w:t>（3）编制过程中由成交供应商自行收集相关编制依据等基础性资料，并积极与主管部门进行沟通协调相关事宜。</w:t>
      </w:r>
    </w:p>
    <w:p w14:paraId="052C9479">
      <w:pPr>
        <w:pStyle w:val="5"/>
        <w:spacing w:line="360" w:lineRule="auto"/>
        <w:ind w:left="218" w:leftChars="104" w:right="160" w:rightChars="76" w:firstLine="482" w:firstLineChars="200"/>
        <w:rPr>
          <w:rFonts w:hint="default" w:asciiTheme="minorEastAsia" w:hAnsiTheme="minorEastAsia" w:eastAsiaTheme="minorEastAsia" w:cstheme="minorEastAsia"/>
          <w:b w:val="0"/>
          <w:bCs/>
          <w:color w:val="0000FF"/>
          <w:kern w:val="2"/>
          <w:sz w:val="24"/>
          <w:szCs w:val="22"/>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6.技术服务费最高限价：</w:t>
      </w:r>
      <w:r>
        <w:rPr>
          <w:rFonts w:hint="eastAsia" w:asciiTheme="minorEastAsia" w:hAnsiTheme="minorEastAsia" w:eastAsiaTheme="minorEastAsia" w:cstheme="minorEastAsia"/>
          <w:b w:val="0"/>
          <w:bCs/>
          <w:color w:val="0000FF"/>
          <w:kern w:val="2"/>
          <w:sz w:val="24"/>
          <w:szCs w:val="22"/>
          <w:lang w:val="en-US" w:eastAsia="zh-CN" w:bidi="ar-SA"/>
        </w:rPr>
        <w:t>本项目最高限价50000元。</w:t>
      </w:r>
    </w:p>
    <w:p w14:paraId="4512D3AF">
      <w:pPr>
        <w:numPr>
          <w:ilvl w:val="0"/>
          <w:numId w:val="0"/>
        </w:numPr>
        <w:spacing w:line="360" w:lineRule="auto"/>
        <w:ind w:left="218" w:leftChars="104" w:right="160" w:rightChars="76" w:firstLine="482" w:firstLineChars="200"/>
        <w:jc w:val="both"/>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sz w:val="24"/>
          <w:lang w:val="en-US" w:eastAsia="zh-CN"/>
        </w:rPr>
        <w:t>7.</w:t>
      </w:r>
      <w:r>
        <w:rPr>
          <w:rFonts w:hint="eastAsia" w:asciiTheme="minorEastAsia" w:hAnsiTheme="minorEastAsia" w:eastAsiaTheme="minorEastAsia" w:cstheme="minorEastAsia"/>
          <w:b/>
          <w:sz w:val="24"/>
        </w:rPr>
        <w:t>付款方式</w:t>
      </w:r>
      <w:r>
        <w:rPr>
          <w:rFonts w:hint="eastAsia" w:asciiTheme="minorEastAsia" w:hAnsiTheme="minorEastAsia" w:eastAsiaTheme="minorEastAsia" w:cstheme="minorEastAsia"/>
          <w:b/>
          <w:sz w:val="24"/>
          <w:lang w:val="en-US" w:eastAsia="zh-CN"/>
        </w:rPr>
        <w:t>:</w:t>
      </w:r>
      <w:r>
        <w:rPr>
          <w:rFonts w:hint="eastAsia" w:asciiTheme="minorEastAsia" w:hAnsiTheme="minorEastAsia" w:eastAsiaTheme="minorEastAsia" w:cstheme="minorEastAsia"/>
          <w:b w:val="0"/>
          <w:bCs/>
          <w:color w:val="0000FF"/>
          <w:sz w:val="24"/>
          <w:lang w:val="en-US" w:eastAsia="zh-CN"/>
        </w:rPr>
        <w:t>《洪水影响评价类报告》(终稿)通过县水利局审批后，提供相应的正式发票，支付合同总金额的100%。</w:t>
      </w:r>
    </w:p>
    <w:p w14:paraId="3BA9F44F">
      <w:pPr>
        <w:keepNext w:val="0"/>
        <w:keepLines w:val="0"/>
        <w:pageBreakBefore w:val="0"/>
        <w:widowControl/>
        <w:kinsoku/>
        <w:wordWrap/>
        <w:topLinePunct w:val="0"/>
        <w:bidi w:val="0"/>
        <w:spacing w:line="360" w:lineRule="auto"/>
        <w:ind w:left="218" w:leftChars="104" w:right="160" w:rightChars="76" w:firstLine="562" w:firstLineChars="200"/>
        <w:jc w:val="left"/>
        <w:rPr>
          <w:rFonts w:hint="eastAsia" w:asciiTheme="minorEastAsia" w:hAnsiTheme="minorEastAsia" w:eastAsiaTheme="minorEastAsia" w:cstheme="minorEastAsia"/>
          <w:b/>
          <w:bCs/>
          <w:color w:val="404040"/>
          <w:kern w:val="0"/>
          <w:sz w:val="28"/>
          <w:szCs w:val="28"/>
        </w:rPr>
      </w:pPr>
      <w:r>
        <w:rPr>
          <w:rFonts w:hint="eastAsia" w:asciiTheme="minorEastAsia" w:hAnsiTheme="minorEastAsia" w:eastAsiaTheme="minorEastAsia" w:cstheme="minorEastAsia"/>
          <w:b/>
          <w:bCs/>
          <w:color w:val="404040"/>
          <w:kern w:val="0"/>
          <w:sz w:val="28"/>
          <w:szCs w:val="28"/>
        </w:rPr>
        <w:t>特别提示：</w:t>
      </w:r>
    </w:p>
    <w:p w14:paraId="584CB049">
      <w:pPr>
        <w:numPr>
          <w:ilvl w:val="0"/>
          <w:numId w:val="0"/>
        </w:numPr>
        <w:spacing w:line="360" w:lineRule="auto"/>
        <w:ind w:left="218" w:leftChars="104" w:right="160" w:rightChars="76" w:firstLine="480" w:firstLineChars="200"/>
        <w:jc w:val="both"/>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1.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2096522F">
      <w:pPr>
        <w:numPr>
          <w:ilvl w:val="0"/>
          <w:numId w:val="0"/>
        </w:numPr>
        <w:spacing w:line="360" w:lineRule="auto"/>
        <w:ind w:left="218" w:leftChars="104" w:right="160" w:rightChars="76" w:firstLine="480" w:firstLineChars="200"/>
        <w:jc w:val="both"/>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2.交付地址：委托方指定地点。</w:t>
      </w:r>
    </w:p>
    <w:p w14:paraId="3971A5BA">
      <w:pPr>
        <w:numPr>
          <w:ilvl w:val="0"/>
          <w:numId w:val="0"/>
        </w:numPr>
        <w:spacing w:line="360" w:lineRule="auto"/>
        <w:ind w:left="218" w:leftChars="104" w:right="160" w:rightChars="76" w:firstLine="480" w:firstLineChars="200"/>
        <w:jc w:val="both"/>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3.服务承诺及结算方式：具体根据双方签订的《技术服务合同》约定履行。</w:t>
      </w:r>
    </w:p>
    <w:p w14:paraId="52F7A163">
      <w:pPr>
        <w:spacing w:line="360" w:lineRule="auto"/>
        <w:ind w:left="218" w:leftChars="104" w:right="160" w:rightChars="76"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4B238051">
      <w:pPr>
        <w:widowControl/>
        <w:snapToGrid w:val="0"/>
        <w:spacing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1.竞价者必须遵守中华人民共和国法律、法规，具有独立法人资格的国内企业或个体工商户均可参加竞价（失信被执行人除外）。</w:t>
      </w:r>
    </w:p>
    <w:p w14:paraId="0A5F49B6">
      <w:pPr>
        <w:widowControl/>
        <w:snapToGrid w:val="0"/>
        <w:spacing w:line="360" w:lineRule="auto"/>
        <w:ind w:left="218" w:leftChars="104" w:right="160" w:rightChars="76"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具有履行合同所必需的能力，</w:t>
      </w:r>
      <w:r>
        <w:rPr>
          <w:rFonts w:hint="eastAsia" w:asciiTheme="minorEastAsia" w:hAnsiTheme="minorEastAsia" w:eastAsiaTheme="minorEastAsia" w:cstheme="minorEastAsia"/>
          <w:b/>
          <w:bCs/>
          <w:color w:val="FF0000"/>
          <w:sz w:val="24"/>
          <w:szCs w:val="24"/>
          <w:u w:val="single"/>
          <w:lang w:val="en-US" w:eastAsia="zh-CN"/>
        </w:rPr>
        <w:t>要求营业执照经营范围中含有水利行业的相关技术与管理服务</w:t>
      </w:r>
      <w:r>
        <w:rPr>
          <w:rFonts w:hint="eastAsia" w:asciiTheme="minorEastAsia" w:hAnsiTheme="minorEastAsia" w:eastAsiaTheme="minorEastAsia" w:cstheme="minorEastAsia"/>
          <w:b/>
          <w:bCs/>
          <w:color w:val="FF0000"/>
          <w:sz w:val="24"/>
          <w:szCs w:val="24"/>
          <w:u w:val="single"/>
        </w:rPr>
        <w:t>。</w:t>
      </w:r>
    </w:p>
    <w:p w14:paraId="47FDE61E">
      <w:pPr>
        <w:spacing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5D7B7905">
      <w:pPr>
        <w:spacing w:line="360" w:lineRule="auto"/>
        <w:ind w:left="218" w:leftChars="104" w:right="160" w:rightChars="76"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3000元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2024年11月7日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2C18FE59">
      <w:pPr>
        <w:snapToGrid/>
        <w:spacing w:line="360" w:lineRule="auto"/>
        <w:ind w:left="218" w:leftChars="104" w:right="160" w:rightChars="76"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w:t>
      </w:r>
      <w:r>
        <w:rPr>
          <w:rFonts w:hint="eastAsia" w:asciiTheme="minorEastAsia" w:hAnsiTheme="minorEastAsia" w:eastAsiaTheme="minorEastAsia" w:cstheme="minorEastAsia"/>
          <w:color w:val="auto"/>
          <w:sz w:val="24"/>
          <w:szCs w:val="24"/>
          <w:highlight w:val="none"/>
          <w:shd w:val="clear"/>
        </w:rPr>
        <w:t>供</w:t>
      </w:r>
      <w:r>
        <w:rPr>
          <w:rFonts w:hint="eastAsia" w:asciiTheme="minorEastAsia" w:hAnsiTheme="minorEastAsia" w:eastAsiaTheme="minorEastAsia" w:cstheme="minorEastAsia"/>
          <w:color w:val="auto"/>
          <w:sz w:val="24"/>
          <w:szCs w:val="24"/>
          <w:highlight w:val="none"/>
          <w:shd w:val="clear"/>
          <w:lang w:eastAsia="zh-CN"/>
        </w:rPr>
        <w:t>《技术服务合同》</w:t>
      </w:r>
      <w:r>
        <w:rPr>
          <w:rFonts w:hint="eastAsia" w:asciiTheme="minorEastAsia" w:hAnsiTheme="minorEastAsia" w:eastAsiaTheme="minorEastAsia" w:cstheme="minorEastAsia"/>
          <w:color w:val="auto"/>
          <w:sz w:val="24"/>
          <w:szCs w:val="24"/>
          <w:shd w:val="clear"/>
        </w:rPr>
        <w:t>，由委托人经过相应审批程序后签订。</w:t>
      </w:r>
    </w:p>
    <w:p w14:paraId="2879FA28">
      <w:pPr>
        <w:snapToGrid/>
        <w:spacing w:line="360" w:lineRule="auto"/>
        <w:ind w:left="218" w:leftChars="104" w:right="160" w:rightChars="76"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《技术服务合同》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54CCA898">
      <w:pPr>
        <w:snapToGrid/>
        <w:spacing w:line="360" w:lineRule="auto"/>
        <w:ind w:left="218" w:leftChars="104" w:right="160" w:rightChars="76"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1B274756">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71272CE4">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1CE61776">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025A82C5">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lang w:val="en-US" w:eastAsia="zh-CN"/>
        </w:rPr>
        <w:t>信用信</w:t>
      </w:r>
      <w:r>
        <w:rPr>
          <w:rFonts w:hint="eastAsia" w:asciiTheme="minorEastAsia" w:hAnsiTheme="minorEastAsia" w:eastAsiaTheme="minorEastAsia" w:cstheme="minorEastAsia"/>
          <w:color w:val="auto"/>
          <w:kern w:val="2"/>
          <w:sz w:val="24"/>
          <w:szCs w:val="24"/>
          <w:highlight w:val="none"/>
          <w:shd w:val="clear"/>
          <w:lang w:val="en-US" w:eastAsia="zh-CN"/>
        </w:rPr>
        <w:t>息报告（信用中国https://www.creditchina.gov.cn/下载）</w:t>
      </w:r>
    </w:p>
    <w:p w14:paraId="7E42C8E4">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shd w:val="clear"/>
          <w:lang w:val="en-US" w:eastAsia="zh-CN"/>
        </w:rPr>
        <w:t>及质保承诺书</w:t>
      </w:r>
      <w:r>
        <w:rPr>
          <w:rFonts w:hint="eastAsia" w:asciiTheme="minorEastAsia" w:hAnsiTheme="minorEastAsia" w:eastAsiaTheme="minorEastAsia" w:cstheme="minorEastAsia"/>
          <w:color w:val="auto"/>
          <w:kern w:val="2"/>
          <w:sz w:val="24"/>
          <w:szCs w:val="24"/>
          <w:shd w:val="clear"/>
        </w:rPr>
        <w:t>。</w:t>
      </w:r>
    </w:p>
    <w:p w14:paraId="44395386">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06C58F28">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141A8DE4">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42A689D8">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14:paraId="3A91465D">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355F19E4">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5AB6F524">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12C775BD">
      <w:pPr>
        <w:keepNext w:val="0"/>
        <w:keepLines w:val="0"/>
        <w:pageBreakBefore w:val="0"/>
        <w:widowControl/>
        <w:kinsoku/>
        <w:wordWrap/>
        <w:topLinePunct w:val="0"/>
        <w:bidi w:val="0"/>
        <w:spacing w:line="360" w:lineRule="auto"/>
        <w:ind w:left="218" w:leftChars="104" w:right="160" w:rightChars="76"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14:paraId="3BBBC1C0">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19CEE153">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.采用网络</w:t>
      </w:r>
      <w:r>
        <w:rPr>
          <w:rFonts w:hint="eastAsia" w:asciiTheme="minorEastAsia" w:hAnsiTheme="minorEastAsia" w:eastAsiaTheme="minorEastAsia" w:cstheme="minorEastAsia"/>
          <w:b/>
          <w:bCs/>
          <w:color w:val="auto"/>
          <w:kern w:val="2"/>
          <w:sz w:val="24"/>
          <w:szCs w:val="24"/>
          <w:shd w:val="clear"/>
          <w:lang w:eastAsia="zh-CN"/>
        </w:rPr>
        <w:t>反向一次</w:t>
      </w:r>
      <w:r>
        <w:rPr>
          <w:rFonts w:hint="eastAsia" w:asciiTheme="minorEastAsia" w:hAnsiTheme="minorEastAsia" w:eastAsiaTheme="minorEastAsia" w:cstheme="minorEastAsia"/>
          <w:b/>
          <w:bCs/>
          <w:color w:val="auto"/>
          <w:kern w:val="2"/>
          <w:sz w:val="24"/>
          <w:szCs w:val="24"/>
          <w:shd w:val="clear"/>
        </w:rPr>
        <w:t>性</w:t>
      </w:r>
      <w:r>
        <w:rPr>
          <w:rFonts w:hint="eastAsia" w:asciiTheme="minorEastAsia" w:hAnsiTheme="minorEastAsia" w:eastAsiaTheme="minorEastAsia" w:cstheme="minorEastAsia"/>
          <w:color w:val="auto"/>
          <w:kern w:val="2"/>
          <w:sz w:val="24"/>
          <w:szCs w:val="24"/>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8A0CD81">
      <w:pPr>
        <w:pStyle w:val="5"/>
        <w:spacing w:line="360" w:lineRule="auto"/>
        <w:ind w:left="218" w:leftChars="104" w:right="160" w:rightChars="76"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竞价人应以</w:t>
      </w:r>
      <w:r>
        <w:rPr>
          <w:rFonts w:hint="eastAsia" w:asciiTheme="minorEastAsia" w:hAnsiTheme="minorEastAsia" w:eastAsiaTheme="minorEastAsia" w:cstheme="minorEastAsia"/>
          <w:b/>
          <w:bCs/>
          <w:color w:val="auto"/>
          <w:kern w:val="2"/>
          <w:sz w:val="24"/>
          <w:szCs w:val="24"/>
          <w:shd w:val="clear"/>
          <w:lang w:val="en-US" w:eastAsia="zh-CN"/>
        </w:rPr>
        <w:t>投标总价</w:t>
      </w:r>
      <w:r>
        <w:rPr>
          <w:rFonts w:hint="eastAsia" w:asciiTheme="minorEastAsia" w:hAnsiTheme="minorEastAsia" w:eastAsiaTheme="minorEastAsia" w:cstheme="minorEastAsia"/>
          <w:b/>
          <w:bCs/>
          <w:color w:val="auto"/>
          <w:kern w:val="2"/>
          <w:sz w:val="24"/>
          <w:szCs w:val="24"/>
          <w:shd w:val="clear"/>
          <w:lang w:eastAsia="zh-CN"/>
        </w:rPr>
        <w:t>进行报价，竞价系统设置的价格</w:t>
      </w:r>
      <w:r>
        <w:rPr>
          <w:rFonts w:hint="eastAsia" w:asciiTheme="minorEastAsia" w:hAnsiTheme="minorEastAsia" w:eastAsiaTheme="minorEastAsia" w:cstheme="minorEastAsia"/>
          <w:b/>
          <w:bCs/>
          <w:color w:val="auto"/>
          <w:kern w:val="2"/>
          <w:sz w:val="24"/>
          <w:szCs w:val="24"/>
          <w:shd w:val="clear"/>
          <w:lang w:val="en-US" w:eastAsia="zh-CN"/>
        </w:rPr>
        <w:t>50000</w:t>
      </w:r>
      <w:r>
        <w:rPr>
          <w:rFonts w:hint="eastAsia" w:asciiTheme="minorEastAsia" w:hAnsiTheme="minorEastAsia" w:eastAsiaTheme="minorEastAsia" w:cstheme="minorEastAsia"/>
          <w:b/>
          <w:bCs/>
          <w:color w:val="auto"/>
          <w:kern w:val="2"/>
          <w:sz w:val="24"/>
          <w:szCs w:val="24"/>
          <w:shd w:val="clear"/>
          <w:lang w:eastAsia="zh-CN"/>
        </w:rPr>
        <w:t>表示</w:t>
      </w:r>
      <w:r>
        <w:rPr>
          <w:rFonts w:hint="eastAsia" w:asciiTheme="minorEastAsia" w:hAnsiTheme="minorEastAsia" w:eastAsiaTheme="minorEastAsia" w:cstheme="minorEastAsia"/>
          <w:b/>
          <w:bCs/>
          <w:color w:val="auto"/>
          <w:kern w:val="2"/>
          <w:sz w:val="24"/>
          <w:szCs w:val="24"/>
          <w:shd w:val="clear"/>
          <w:lang w:val="en-US" w:eastAsia="zh-CN"/>
        </w:rPr>
        <w:t>最高限价为50000元</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投报总价</w:t>
      </w:r>
      <w:r>
        <w:rPr>
          <w:rFonts w:hint="eastAsia" w:asciiTheme="minorEastAsia" w:hAnsiTheme="minorEastAsia" w:eastAsiaTheme="minorEastAsia" w:cstheme="minorEastAsia"/>
          <w:b/>
          <w:bCs/>
          <w:color w:val="auto"/>
          <w:kern w:val="2"/>
          <w:sz w:val="24"/>
          <w:szCs w:val="24"/>
          <w:shd w:val="clear"/>
          <w:lang w:val="en-US" w:eastAsia="zh-CN"/>
        </w:rPr>
        <w:t>高于5000元的作为无效报价。填报总价</w:t>
      </w:r>
      <w:r>
        <w:rPr>
          <w:rFonts w:hint="eastAsia" w:asciiTheme="minorEastAsia" w:hAnsiTheme="minorEastAsia" w:eastAsiaTheme="minorEastAsia" w:cstheme="minorEastAsia"/>
          <w:b/>
          <w:bCs/>
          <w:color w:val="auto"/>
          <w:kern w:val="2"/>
          <w:sz w:val="24"/>
          <w:szCs w:val="24"/>
          <w:highlight w:val="none"/>
          <w:shd w:val="clear"/>
          <w:lang w:eastAsia="zh-CN"/>
        </w:rPr>
        <w:t>最</w:t>
      </w:r>
      <w:r>
        <w:rPr>
          <w:rFonts w:hint="eastAsia" w:asciiTheme="minorEastAsia" w:hAnsiTheme="minorEastAsia" w:eastAsiaTheme="minorEastAsia" w:cstheme="minorEastAsia"/>
          <w:b/>
          <w:bCs/>
          <w:color w:val="auto"/>
          <w:kern w:val="2"/>
          <w:sz w:val="24"/>
          <w:szCs w:val="24"/>
          <w:highlight w:val="none"/>
          <w:shd w:val="clear"/>
          <w:lang w:val="en-US" w:eastAsia="zh-CN"/>
        </w:rPr>
        <w:t>低</w:t>
      </w:r>
      <w:r>
        <w:rPr>
          <w:rFonts w:hint="eastAsia" w:asciiTheme="minorEastAsia" w:hAnsiTheme="minorEastAsia" w:eastAsiaTheme="minorEastAsia" w:cstheme="minorEastAsia"/>
          <w:b/>
          <w:bCs/>
          <w:color w:val="auto"/>
          <w:kern w:val="2"/>
          <w:sz w:val="24"/>
          <w:szCs w:val="24"/>
          <w:highlight w:val="none"/>
          <w:shd w:val="clear"/>
          <w:lang w:eastAsia="zh-CN"/>
        </w:rPr>
        <w:t>的竞价人作为本项目成交人。</w:t>
      </w:r>
      <w:r>
        <w:rPr>
          <w:rFonts w:hint="eastAsia" w:asciiTheme="minorEastAsia" w:hAnsiTheme="minorEastAsia" w:eastAsiaTheme="minorEastAsia" w:cstheme="minorEastAsia"/>
          <w:b/>
          <w:bCs/>
          <w:color w:val="auto"/>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shd w:val="clear"/>
          <w:lang w:val="en-US" w:eastAsia="zh-CN"/>
        </w:rPr>
        <w:t xml:space="preserve">          </w:t>
      </w:r>
    </w:p>
    <w:p w14:paraId="03DED7AD">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14:paraId="308B31E8">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14:paraId="7DE7FA62">
      <w:pPr>
        <w:snapToGrid/>
        <w:spacing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14:paraId="7D328EC8">
      <w:pPr>
        <w:keepNext w:val="0"/>
        <w:keepLines w:val="0"/>
        <w:pageBreakBefore w:val="0"/>
        <w:kinsoku/>
        <w:wordWrap/>
        <w:topLinePunct w:val="0"/>
        <w:bidi w:val="0"/>
        <w:spacing w:line="360" w:lineRule="auto"/>
        <w:ind w:left="218" w:leftChars="104" w:right="160" w:rightChars="76"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FF0000"/>
          <w:sz w:val="24"/>
          <w:szCs w:val="24"/>
        </w:rPr>
        <w:t>竞价成交后，本项目的</w:t>
      </w:r>
      <w:r>
        <w:rPr>
          <w:rFonts w:hint="eastAsia" w:asciiTheme="minorEastAsia" w:hAnsiTheme="minorEastAsia" w:eastAsiaTheme="minorEastAsia" w:cstheme="minorEastAsia"/>
          <w:b/>
          <w:bCs/>
          <w:color w:val="FF0000"/>
          <w:sz w:val="24"/>
          <w:szCs w:val="24"/>
          <w:lang w:val="en-US" w:eastAsia="zh-CN"/>
        </w:rPr>
        <w:t>交易</w:t>
      </w:r>
      <w:r>
        <w:rPr>
          <w:rFonts w:hint="eastAsia" w:asciiTheme="minorEastAsia" w:hAnsiTheme="minorEastAsia" w:eastAsiaTheme="minorEastAsia" w:cstheme="minorEastAsia"/>
          <w:b/>
          <w:bCs/>
          <w:color w:val="FF0000"/>
          <w:sz w:val="24"/>
          <w:szCs w:val="24"/>
        </w:rPr>
        <w:t>服务费按</w:t>
      </w:r>
      <w:r>
        <w:rPr>
          <w:rFonts w:hint="eastAsia" w:asciiTheme="minorEastAsia" w:hAnsiTheme="minorEastAsia" w:eastAsiaTheme="minorEastAsia" w:cstheme="minorEastAsia"/>
          <w:b/>
          <w:bCs/>
          <w:color w:val="FF0000"/>
          <w:sz w:val="24"/>
          <w:szCs w:val="24"/>
          <w:lang w:val="en-US" w:eastAsia="zh-CN"/>
        </w:rPr>
        <w:t>3000元包干</w:t>
      </w:r>
      <w:r>
        <w:rPr>
          <w:rFonts w:hint="eastAsia" w:asciiTheme="minorEastAsia" w:hAnsiTheme="minorEastAsia" w:eastAsiaTheme="minorEastAsia" w:cstheme="minorEastAsia"/>
          <w:b/>
          <w:bCs/>
          <w:color w:val="FF0000"/>
          <w:sz w:val="24"/>
          <w:szCs w:val="24"/>
        </w:rPr>
        <w:t>向成交</w:t>
      </w:r>
      <w:r>
        <w:rPr>
          <w:rFonts w:hint="eastAsia" w:asciiTheme="minorEastAsia" w:hAnsiTheme="minorEastAsia" w:eastAsiaTheme="minorEastAsia" w:cstheme="minorEastAsia"/>
          <w:b/>
          <w:bCs/>
          <w:color w:val="FF0000"/>
          <w:sz w:val="24"/>
          <w:szCs w:val="24"/>
          <w:lang w:val="en-US" w:eastAsia="zh-CN"/>
        </w:rPr>
        <w:t>人</w:t>
      </w:r>
      <w:r>
        <w:rPr>
          <w:rFonts w:hint="eastAsia" w:asciiTheme="minorEastAsia" w:hAnsiTheme="minorEastAsia" w:eastAsiaTheme="minorEastAsia" w:cstheme="minorEastAsia"/>
          <w:b/>
          <w:bCs/>
          <w:color w:val="FF0000"/>
          <w:sz w:val="24"/>
          <w:szCs w:val="24"/>
        </w:rPr>
        <w:t>收取</w:t>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000000"/>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内补齐。交易服务费未按期付清的，视成交人根本违约，竞价保证金不予退回。</w:t>
      </w:r>
    </w:p>
    <w:p w14:paraId="0C209F10">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14:paraId="2EBE6C5F">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以竞价公告为准。</w:t>
      </w:r>
    </w:p>
    <w:p w14:paraId="3E26B042">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九、税费承担</w:t>
      </w:r>
    </w:p>
    <w:p w14:paraId="5A5EB599">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14:paraId="277BAD71">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14:paraId="5B5699B0">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shd w:val="clear"/>
          <w:lang w:val="en-US" w:eastAsia="zh-CN"/>
        </w:rPr>
        <w:t>及委托人</w:t>
      </w:r>
      <w:r>
        <w:rPr>
          <w:rFonts w:hint="eastAsia" w:asciiTheme="minorEastAsia" w:hAnsiTheme="minorEastAsia" w:eastAsiaTheme="minorEastAsia" w:cstheme="minorEastAsia"/>
          <w:color w:val="auto"/>
          <w:kern w:val="2"/>
          <w:sz w:val="24"/>
          <w:szCs w:val="24"/>
          <w:shd w:val="clear"/>
        </w:rPr>
        <w:t>将保留向该成交人提起赔偿诉讼的权利。</w:t>
      </w:r>
    </w:p>
    <w:p w14:paraId="57CFFE42">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十一、注意事项</w:t>
      </w:r>
    </w:p>
    <w:p w14:paraId="2734F2E2">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5F791AC2">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36EF0C39">
      <w:pPr>
        <w:snapToGrid/>
        <w:spacing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3.成交后，成交人应当与委托人签订《技术服务合同》，并严格履行，双方的权利、义务以《技术服务合同》</w:t>
      </w:r>
      <w:r>
        <w:rPr>
          <w:rFonts w:hint="eastAsia" w:asciiTheme="minorEastAsia" w:hAnsiTheme="minorEastAsia" w:eastAsiaTheme="minorEastAsia" w:cstheme="minorEastAsia"/>
          <w:color w:val="auto"/>
          <w:kern w:val="2"/>
          <w:sz w:val="24"/>
          <w:szCs w:val="24"/>
          <w:highlight w:val="none"/>
          <w:shd w:val="clear"/>
          <w:lang w:val="en-US" w:eastAsia="zh-CN"/>
        </w:rPr>
        <w:t>约</w:t>
      </w:r>
      <w:r>
        <w:rPr>
          <w:rFonts w:hint="eastAsia" w:asciiTheme="minorEastAsia" w:hAnsiTheme="minorEastAsia" w:eastAsiaTheme="minorEastAsia" w:cstheme="minorEastAsia"/>
          <w:color w:val="auto"/>
          <w:kern w:val="2"/>
          <w:sz w:val="24"/>
          <w:szCs w:val="24"/>
          <w:shd w:val="clear"/>
          <w:lang w:val="en-US" w:eastAsia="zh-CN"/>
        </w:rPr>
        <w:t>定为准。</w:t>
      </w:r>
    </w:p>
    <w:p w14:paraId="1D9174F7">
      <w:pPr>
        <w:snapToGrid/>
        <w:spacing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39E64CDD">
      <w:pPr>
        <w:widowControl/>
        <w:shd w:val="clear"/>
        <w:snapToGrid/>
        <w:spacing w:before="0" w:line="360" w:lineRule="auto"/>
        <w:ind w:left="218" w:leftChars="104" w:right="160" w:rightChars="76"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0F4E52B7">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AE5CBF0">
            <w:pPr>
              <w:widowControl/>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4A8C7839">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05084B02">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254F3A8E">
      <w:pPr>
        <w:widowControl/>
        <w:shd w:val="clear"/>
        <w:snapToGrid/>
        <w:spacing w:before="0" w:line="360" w:lineRule="auto"/>
        <w:ind w:left="218" w:leftChars="104" w:right="160" w:rightChars="76" w:firstLine="480" w:firstLineChars="20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059F59D0">
      <w:pPr>
        <w:widowControl/>
        <w:shd w:val="clear"/>
        <w:wordWrap/>
        <w:snapToGrid/>
        <w:spacing w:before="0" w:line="360" w:lineRule="auto"/>
        <w:ind w:left="218" w:leftChars="104" w:right="160" w:rightChars="76" w:firstLine="480" w:firstLineChars="200"/>
        <w:jc w:val="right"/>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2024年11月4日</w:t>
      </w:r>
    </w:p>
    <w:p w14:paraId="47A618FC">
      <w:pPr>
        <w:spacing w:line="360" w:lineRule="auto"/>
        <w:ind w:left="218" w:leftChars="104" w:right="160" w:rightChars="76"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614D54C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7B103F97"/>
    <w:rsid w:val="7B10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Arial"/>
      <w:kern w:val="2"/>
      <w:sz w:val="21"/>
      <w:szCs w:val="20"/>
      <w:lang w:val="en-US" w:eastAsia="zh-CN" w:bidi="ar-SA"/>
    </w:rPr>
  </w:style>
  <w:style w:type="paragraph" w:customStyle="1" w:styleId="5">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2024-11-04T02:56:00Z</dcterms:created>
  <dc:creator>土豆排骨的滋味</dc:creator>
  <cp:lastModifiedBy>土豆排骨的滋味</cp:lastModifiedBy>
  <dcterms:modified xsi:type="dcterms:W3CDTF">2024-11-04T02:57:05Z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1C273893BEE94FF5A55C8C8E5774257C_11</vt:lpwstr>
  </property>
</Properties>
</file>