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360" w:lineRule="auto"/>
        <w:ind w:left="-14" w:firstLine="759"/>
        <w:jc w:val="center"/>
        <w:rPr>
          <w:rFonts w:hint="eastAsia" w:ascii="方正小标宋简体" w:hAnsi="方正小标宋简体" w:eastAsia="方正小标宋简体" w:cs="方正小标宋简体"/>
          <w:b w:val="0"/>
          <w:bCs w:val="0"/>
          <w:color w:val="000000"/>
          <w:sz w:val="28"/>
          <w:szCs w:val="28"/>
        </w:rPr>
      </w:pPr>
      <w:r>
        <w:rPr>
          <w:rFonts w:hint="eastAsia" w:ascii="方正小标宋简体" w:hAnsi="方正小标宋简体" w:eastAsia="方正小标宋简体" w:cs="方正小标宋简体"/>
          <w:b w:val="0"/>
          <w:bCs w:val="0"/>
          <w:color w:val="000000"/>
          <w:kern w:val="0"/>
          <w:sz w:val="28"/>
          <w:szCs w:val="28"/>
          <w:shd w:val="clear" w:color="auto" w:fill="FFFFFF"/>
        </w:rPr>
        <w:t>网络竞价须知</w:t>
      </w:r>
    </w:p>
    <w:p>
      <w:pPr>
        <w:widowControl/>
        <w:shd w:val="clear" w:color="auto" w:fill="FFFFFF"/>
        <w:snapToGrid w:val="0"/>
        <w:spacing w:before="225" w:line="360" w:lineRule="auto"/>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lang w:eastAsia="zh-CN"/>
        </w:rPr>
        <w:t>GKPG20240909</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360" w:lineRule="auto"/>
        <w:ind w:firstLine="480" w:firstLineChars="200"/>
        <w:rPr>
          <w:rFonts w:hint="eastAsia" w:ascii="宋体" w:hAnsi="宋体" w:eastAsia="宋体" w:cs="宋体"/>
          <w:color w:val="000000"/>
          <w:sz w:val="24"/>
          <w:szCs w:val="24"/>
        </w:rPr>
      </w:pPr>
      <w:r>
        <w:rPr>
          <w:rFonts w:hint="eastAsia" w:ascii="宋体" w:hAnsi="宋体" w:eastAsia="宋体" w:cs="宋体"/>
          <w:i w:val="0"/>
          <w:iCs w:val="0"/>
          <w:caps w:val="0"/>
          <w:color w:val="404040"/>
          <w:spacing w:val="0"/>
          <w:kern w:val="0"/>
          <w:sz w:val="24"/>
          <w:szCs w:val="24"/>
          <w:shd w:val="clear" w:fill="FFFFFF"/>
          <w:lang w:val="en-US" w:eastAsia="zh-CN" w:bidi="ar"/>
        </w:rPr>
        <w:t>连城县国有资产产权交易服务有限公司（以下简称本公司）遵循“公开、公平、公正、诚实信用”的原则，依照国家法律、法规、政策为本次竞价活动提供服务。现将有关竞价事项告知如下：</w:t>
      </w:r>
    </w:p>
    <w:p>
      <w:pPr>
        <w:widowControl/>
        <w:shd w:val="clear" w:color="auto" w:fill="FFFFFF"/>
        <w:snapToGrid w:val="0"/>
        <w:spacing w:before="225" w:line="360" w:lineRule="auto"/>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竞价时间：2024年9月9日9:30开始至9:50止（20分钟）。</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竞价地点：权益云交易平台或微信公众号“权益云交易平台”</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报名时间：2024年9月4日至2024年9月8日17时(节假日除外)</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报名地点：连城县国有资产产权交易服务有限公司（福建省龙岩市连城县莲峰镇李彭村彭坊桥路1号4层）</w:t>
      </w:r>
    </w:p>
    <w:p>
      <w:pPr>
        <w:widowControl/>
        <w:shd w:val="clear" w:color="auto" w:fill="FFFFFF"/>
        <w:snapToGrid w:val="0"/>
        <w:spacing w:before="225" w:line="360" w:lineRule="auto"/>
        <w:ind w:firstLine="480" w:firstLineChars="200"/>
        <w:rPr>
          <w:rFonts w:hint="default"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连城产权联系电话：18039848961</w:t>
      </w:r>
    </w:p>
    <w:p>
      <w:pPr>
        <w:widowControl/>
        <w:shd w:val="clear" w:color="auto" w:fill="FFFFFF"/>
        <w:snapToGrid w:val="0"/>
        <w:spacing w:before="225" w:line="360" w:lineRule="auto"/>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1.项目名称：福建连城智德供应链有限公司公开竞价选取资产评估服务机构。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2.评估内容：对拟收购龙岩安能燃气有限公司资产进行评估。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3.评估费最高限价：壹拾肆万元整（¥140000.00），费用包含税金、差旅费及管理费等。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4.工作要求（具体按委托人要求及合同约定执行）：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（1）成交人须到评估资产现场进行市场勘察、核实核对，明确评估对象估价时点的状况。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（2）评估目的对拟收购龙岩安能燃气有限公司资产进行评估，要综合考虑各因素，合法、客观、公正地进行评估，出具符合规范的评估报告。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（3）评估机构及签字的注册评估师对出具的评估报告的客观性、真实性、公正性承担法律责任。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（4）在收到评估业务通知后，成交人须安排评估师到现场与经办人员对接，并于收齐评估相关材料之日起</w:t>
      </w:r>
      <w:r>
        <w:rPr>
          <w:rFonts w:hint="eastAsia" w:ascii="宋体" w:hAnsi="宋体" w:eastAsia="宋体" w:cs="宋体"/>
          <w:i w:val="0"/>
          <w:iCs w:val="0"/>
          <w:caps w:val="0"/>
          <w:color w:val="404040"/>
          <w:spacing w:val="0"/>
          <w:kern w:val="0"/>
          <w:sz w:val="24"/>
          <w:szCs w:val="24"/>
          <w:highlight w:val="none"/>
          <w:shd w:val="clear" w:fill="FFFFFF"/>
          <w:lang w:val="en-US" w:eastAsia="zh-CN" w:bidi="ar"/>
        </w:rPr>
        <w:t>10日内按时完</w:t>
      </w:r>
      <w:r>
        <w:rPr>
          <w:rFonts w:hint="eastAsia" w:ascii="宋体" w:hAnsi="宋体" w:eastAsia="宋体" w:cs="宋体"/>
          <w:i w:val="0"/>
          <w:iCs w:val="0"/>
          <w:caps w:val="0"/>
          <w:color w:val="404040"/>
          <w:spacing w:val="0"/>
          <w:kern w:val="0"/>
          <w:sz w:val="24"/>
          <w:szCs w:val="24"/>
          <w:shd w:val="clear" w:fill="FFFFFF"/>
          <w:lang w:val="en-US" w:eastAsia="zh-CN" w:bidi="ar"/>
        </w:rPr>
        <w:t>成预评估工作并提交预评估报告，预评估报告经甲方审核无误后再出具正式评估报告，无正当理由不得拖延，如因项目复杂可根据具体情况另行商定完成时间。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（5）对提交的有关资料和评估结果保密。</w:t>
      </w:r>
    </w:p>
    <w:p>
      <w:pPr>
        <w:widowControl/>
        <w:shd w:val="clear" w:color="auto" w:fill="FFFFFF"/>
        <w:snapToGrid w:val="0"/>
        <w:spacing w:before="225" w:line="360" w:lineRule="auto"/>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1.遵守中华人民共和国法律、法规，且能够诚信经营，具有资产评估资质，独立法人资格的国内企业。</w:t>
      </w:r>
    </w:p>
    <w:p>
      <w:pPr>
        <w:widowControl/>
        <w:shd w:val="clear" w:color="auto" w:fill="FFFFFF"/>
        <w:snapToGrid w:val="0"/>
        <w:spacing w:before="225" w:line="360" w:lineRule="auto"/>
        <w:ind w:firstLine="480" w:firstLineChars="200"/>
        <w:rPr>
          <w:rFonts w:hint="eastAsia" w:ascii="宋体" w:hAnsi="宋体" w:eastAsia="宋体" w:cs="宋体"/>
          <w:b/>
          <w:bCs/>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w:t>
      </w:r>
      <w:r>
        <w:rPr>
          <w:rFonts w:hint="eastAsia" w:ascii="宋体" w:hAnsi="宋体" w:eastAsia="宋体" w:cs="宋体"/>
          <w:b/>
          <w:bCs/>
          <w:i w:val="0"/>
          <w:iCs w:val="0"/>
          <w:caps w:val="0"/>
          <w:color w:val="404040"/>
          <w:spacing w:val="0"/>
          <w:kern w:val="0"/>
          <w:sz w:val="24"/>
          <w:szCs w:val="24"/>
          <w:shd w:val="clear" w:fill="FFFFFF"/>
          <w:lang w:val="en-US" w:eastAsia="zh-CN" w:bidi="ar"/>
        </w:rPr>
        <w:t>竞价人必须是委托人邀请的供应商：</w:t>
      </w:r>
      <w:bookmarkStart w:id="0" w:name="_GoBack"/>
      <w:bookmarkEnd w:id="0"/>
      <w:r>
        <w:rPr>
          <w:rFonts w:hint="eastAsia" w:ascii="宋体" w:hAnsi="宋体" w:eastAsia="宋体" w:cs="宋体"/>
          <w:b/>
          <w:bCs/>
          <w:i w:val="0"/>
          <w:iCs w:val="0"/>
          <w:caps w:val="0"/>
          <w:color w:val="404040"/>
          <w:spacing w:val="0"/>
          <w:kern w:val="0"/>
          <w:sz w:val="24"/>
          <w:szCs w:val="24"/>
          <w:shd w:val="clear" w:fill="FFFFFF"/>
          <w:lang w:val="en-US" w:eastAsia="zh-CN" w:bidi="ar"/>
        </w:rPr>
        <w:t>北京中天华资产评估有限责任公司、北京中企华资产评估有限责任公司和上海立信资产评估有限公司。</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b/>
          <w:bCs/>
          <w:color w:val="000000"/>
          <w:kern w:val="2"/>
          <w:sz w:val="24"/>
          <w:szCs w:val="24"/>
          <w:shd w:val="clear" w:color="auto" w:fill="FFFFFF"/>
          <w:lang w:val="en-US" w:eastAsia="zh-CN" w:bidi="ar-SA"/>
        </w:rPr>
        <w:t>四、竞价保证金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eastAsia="宋体" w:cs="宋体"/>
          <w:b/>
          <w:bCs/>
          <w:color w:val="0000FF"/>
          <w:kern w:val="0"/>
          <w:sz w:val="24"/>
          <w:szCs w:val="24"/>
          <w:u w:val="single"/>
          <w:shd w:val="clear" w:color="auto" w:fill="FFFFFF"/>
          <w:lang w:val="en-US" w:eastAsia="zh-CN"/>
        </w:rPr>
        <w:t>10000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2024</w:t>
      </w:r>
      <w:r>
        <w:rPr>
          <w:rFonts w:hint="eastAsia" w:ascii="宋体" w:hAnsi="宋体" w:eastAsia="宋体" w:cs="宋体"/>
          <w:color w:val="0000FF"/>
          <w:kern w:val="0"/>
          <w:sz w:val="24"/>
          <w:szCs w:val="24"/>
          <w:shd w:val="clear" w:color="auto" w:fill="FFFFFF"/>
        </w:rPr>
        <w:t>年</w:t>
      </w:r>
      <w:r>
        <w:rPr>
          <w:rFonts w:hint="eastAsia" w:ascii="宋体" w:hAnsi="宋体" w:eastAsia="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eastAsia="宋体" w:cs="宋体"/>
          <w:color w:val="0000FF"/>
          <w:kern w:val="0"/>
          <w:sz w:val="24"/>
          <w:szCs w:val="24"/>
          <w:u w:val="none"/>
          <w:shd w:val="clear" w:color="auto" w:fill="FFFFFF"/>
          <w:lang w:val="en-US" w:eastAsia="zh-CN"/>
        </w:rPr>
        <w:t>8</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2.竞价成交后，成交人必须在成交之日起2个工作日内与本公司签订《竞价结果通知书》，并在签订《竞价结果通知书》2个工作日内向委托人提供《委托评估合同》，由委托人经过相应审批程序后签订。</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3.成交人的竞价保证金在成交人与委托人签订委托合同后10个工作日内一次性无息退回。</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4.未成交人的保证金，在竞价结束后10个工作日内（遇法定节假日顺延）无息退回。</w:t>
      </w:r>
    </w:p>
    <w:p>
      <w:pPr>
        <w:widowControl/>
        <w:shd w:val="clear" w:color="auto" w:fill="FFFFFF"/>
        <w:snapToGrid w:val="0"/>
        <w:spacing w:before="225" w:line="360" w:lineRule="auto"/>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1.有意参加竞价人应提供如下有效证照复印件：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（1）营业执照副本、法定代表人身份证复印件；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（2）资质证书或备案证明复印件；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（3）签订完整的承诺书。</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如法定代表人无法亲自到现场办理竞价手续的，应提供《授权委托书》原件和委托代理人身份证复印件。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以上材料复印件须注明与原件相符并加盖公章。</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2.报名方式</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360" w:lineRule="auto"/>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360" w:lineRule="auto"/>
        <w:ind w:left="14" w:firstLine="48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3.本次竞价采用网络反向一次性报价、价低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b/>
          <w:bCs/>
          <w:color w:val="FF0000"/>
          <w:kern w:val="0"/>
          <w:sz w:val="24"/>
          <w:szCs w:val="24"/>
          <w:shd w:val="clear" w:color="auto" w:fill="FFFFFF"/>
          <w:lang w:val="en-US" w:eastAsia="zh-CN"/>
        </w:rPr>
        <w:t>评估费用不高于最高限价进行报价</w:t>
      </w:r>
      <w:r>
        <w:rPr>
          <w:rFonts w:hint="eastAsia" w:ascii="宋体" w:hAnsi="宋体" w:eastAsia="宋体" w:cs="宋体"/>
          <w:color w:val="000000"/>
          <w:kern w:val="0"/>
          <w:sz w:val="24"/>
          <w:szCs w:val="24"/>
          <w:shd w:val="clear" w:color="auto" w:fill="FFFFFF"/>
        </w:rPr>
        <w:t>，同时成交人应签署《竞价结果通知书》等相关文件，否则视同为违约。</w:t>
      </w:r>
    </w:p>
    <w:p>
      <w:pPr>
        <w:widowControl/>
        <w:shd w:val="clear" w:color="auto" w:fill="FFFFFF"/>
        <w:snapToGrid w:val="0"/>
        <w:spacing w:before="225" w:line="360" w:lineRule="auto"/>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shd w:val="clear" w:color="auto" w:fill="FFFFFF"/>
          <w:lang w:val="en-US" w:eastAsia="zh-CN" w:bidi="ar-SA"/>
        </w:rPr>
        <w:t>七、交易服务费</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w:t>
      </w:r>
      <w:r>
        <w:rPr>
          <w:rFonts w:hint="eastAsia" w:ascii="宋体" w:hAnsi="宋体" w:eastAsia="宋体" w:cs="宋体"/>
          <w:color w:val="000000"/>
          <w:kern w:val="0"/>
          <w:sz w:val="24"/>
          <w:szCs w:val="24"/>
          <w:shd w:val="clear" w:color="auto" w:fill="FFFFFF"/>
          <w:lang w:val="en-US" w:eastAsia="zh-CN"/>
        </w:rPr>
        <w:t>按以下费率</w:t>
      </w:r>
      <w:r>
        <w:rPr>
          <w:rFonts w:hint="eastAsia" w:ascii="宋体" w:hAnsi="宋体" w:eastAsia="宋体" w:cs="宋体"/>
          <w:color w:val="000000"/>
          <w:kern w:val="0"/>
          <w:sz w:val="24"/>
          <w:szCs w:val="24"/>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4"/>
          <w:szCs w:val="24"/>
          <w:shd w:val="clear" w:color="auto" w:fill="FFFFFF"/>
        </w:rPr>
        <w:t>2个工作日</w:t>
      </w:r>
      <w:r>
        <w:rPr>
          <w:rFonts w:hint="eastAsia" w:ascii="宋体" w:hAnsi="宋体" w:eastAsia="宋体" w:cs="宋体"/>
          <w:color w:val="000000"/>
          <w:kern w:val="0"/>
          <w:sz w:val="24"/>
          <w:szCs w:val="24"/>
          <w:shd w:val="clear" w:color="auto" w:fill="FFFFFF"/>
        </w:rPr>
        <w:t>内补齐。交易服务费未按期付清的，视成交人根本违约，竞价保证金不予退回。</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产权交易服务费收费表：</w:t>
      </w:r>
    </w:p>
    <w:tbl>
      <w:tblPr>
        <w:tblStyle w:val="2"/>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产权交易总额</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100-200万元（含200万元）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200-500万元（含500万元）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500-1000万元（含1000万元）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1000-</w:t>
            </w: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万元（含</w:t>
            </w: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6</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万元以上</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0.3%</w:t>
            </w:r>
          </w:p>
        </w:tc>
      </w:tr>
    </w:tbl>
    <w:p>
      <w:pPr>
        <w:widowControl/>
        <w:shd w:val="clear" w:color="auto" w:fill="FFFFFF"/>
        <w:snapToGrid w:val="0"/>
        <w:spacing w:before="225" w:line="360" w:lineRule="auto"/>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360" w:lineRule="auto"/>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成交人提供正式评估报告和正规增值税发票给我司后，我司在收到正式评估报告和发票后10个工作日内付清评估费。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360" w:lineRule="auto"/>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360" w:lineRule="auto"/>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360" w:lineRule="auto"/>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2"/>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360" w:lineRule="auto"/>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360" w:lineRule="auto"/>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2024</w:t>
      </w:r>
      <w:r>
        <w:rPr>
          <w:rFonts w:hint="eastAsia" w:ascii="宋体" w:hAnsi="宋体" w:eastAsia="宋体" w:cs="宋体"/>
          <w:color w:val="0000FF"/>
          <w:kern w:val="0"/>
          <w:sz w:val="24"/>
          <w:szCs w:val="24"/>
          <w:shd w:val="clear" w:color="auto" w:fill="FFFFFF"/>
        </w:rPr>
        <w:t>年</w:t>
      </w:r>
      <w:r>
        <w:rPr>
          <w:rFonts w:hint="eastAsia" w:ascii="宋体" w:hAnsi="宋体" w:eastAsia="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eastAsia="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日</w:t>
      </w: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pPr>
        <w:spacing w:line="360" w:lineRule="auto"/>
        <w:ind w:firstLine="883"/>
        <w:jc w:val="center"/>
        <w:rPr>
          <w:rFonts w:hint="eastAsia" w:ascii="宋体" w:hAnsi="宋体" w:eastAsia="宋体" w:cs="宋体"/>
          <w:b/>
          <w:color w:val="000000"/>
          <w:sz w:val="24"/>
          <w:szCs w:val="24"/>
        </w:rPr>
      </w:pPr>
    </w:p>
    <w:p>
      <w:pPr>
        <w:spacing w:line="360" w:lineRule="auto"/>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pPr>
        <w:spacing w:line="360" w:lineRule="auto"/>
        <w:ind w:firstLine="5040" w:firstLineChars="2100"/>
        <w:jc w:val="left"/>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2024年9月9日</w:t>
      </w:r>
      <w:r>
        <w:rPr>
          <w:rFonts w:hint="eastAsia" w:ascii="宋体" w:hAnsi="宋体" w:eastAsia="宋体" w:cs="宋体"/>
          <w:color w:val="000000"/>
          <w:sz w:val="24"/>
          <w:szCs w:val="24"/>
        </w:rPr>
        <w:t>上午举行的 “权益云</w:t>
      </w:r>
      <w:r>
        <w:rPr>
          <w:rFonts w:hint="eastAsia" w:ascii="宋体" w:hAnsi="宋体" w:eastAsia="宋体" w:cs="宋体"/>
          <w:b/>
          <w:bCs/>
          <w:color w:val="0000FF"/>
          <w:sz w:val="24"/>
          <w:szCs w:val="24"/>
          <w:lang w:val="en-US" w:eastAsia="zh-CN"/>
        </w:rPr>
        <w:t>反向一次</w:t>
      </w:r>
      <w:r>
        <w:rPr>
          <w:rFonts w:hint="eastAsia" w:ascii="宋体" w:hAnsi="宋体" w:eastAsia="宋体" w:cs="宋体"/>
          <w:color w:val="000000"/>
          <w:sz w:val="24"/>
          <w:szCs w:val="24"/>
        </w:rPr>
        <w:t>报价”</w:t>
      </w:r>
      <w:r>
        <w:rPr>
          <w:rFonts w:hint="eastAsia" w:ascii="宋体" w:hAnsi="宋体" w:eastAsia="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lang w:eastAsia="zh-CN"/>
        </w:rPr>
        <w:t>GKPG20240909</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 w:name="KSO_WPS_MARK_KEY" w:val="d0109764-bfe5-4f14-ad3e-5d30c5308061"/>
  </w:docVars>
  <w:rsids>
    <w:rsidRoot w:val="66955110"/>
    <w:rsid w:val="10C3762D"/>
    <w:rsid w:val="66955110"/>
    <w:rsid w:val="7F29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3433</Words>
  <Characters>3637</Characters>
  <Lines>0</Lines>
  <Paragraphs>0</Paragraphs>
  <TotalTime>0</TotalTime>
  <ScaleCrop>false</ScaleCrop>
  <LinksUpToDate>false</LinksUpToDate>
  <CharactersWithSpaces>3714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2024-09-03T01:13:00Z</dcterms:created>
  <dc:creator>user</dc:creator>
  <cp:lastModifiedBy>user</cp:lastModifiedBy>
  <dcterms:modified xsi:type="dcterms:W3CDTF">2024-09-03T01:39:17Z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4A1901F580C341178D51456CA619CB88</vt:lpwstr>
  </property>
</Properties>
</file>