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utoSpaceDE w:val="0"/>
        <w:autoSpaceDN w:val="0"/>
        <w:adjustRightInd w:val="0"/>
        <w:spacing w:line="360" w:lineRule="auto"/>
        <w:jc w:val="both"/>
        <w:textAlignment w:val="baseline"/>
        <w:rPr>
          <w:rFonts w:hint="eastAsia" w:ascii="宋体" w:hAnsi="宋体" w:eastAsia="宋体" w:cs="宋体"/>
          <w:b/>
          <w:color w:val="000000"/>
          <w:kern w:val="28"/>
          <w:sz w:val="28"/>
          <w:szCs w:val="28"/>
          <w:lang w:val="en-US" w:eastAsia="zh-CN" w:bidi="ar-SA"/>
        </w:rPr>
      </w:pPr>
      <w:r>
        <w:rPr>
          <w:rFonts w:hint="eastAsia" w:ascii="宋体" w:hAnsi="宋体" w:eastAsia="宋体" w:cs="宋体"/>
          <w:b/>
          <w:color w:val="000000"/>
          <w:kern w:val="28"/>
          <w:sz w:val="28"/>
          <w:szCs w:val="28"/>
          <w:lang w:val="en-US" w:eastAsia="zh-CN" w:bidi="ar-SA"/>
        </w:rPr>
        <w:t>附件：</w:t>
      </w:r>
    </w:p>
    <w:p>
      <w:pPr>
        <w:spacing w:line="288" w:lineRule="auto"/>
        <w:jc w:val="center"/>
        <w:rPr>
          <w:rFonts w:ascii="宋体" w:hAnsi="Times New Roman" w:eastAsia="宋体" w:cs="Times New Roman"/>
          <w:sz w:val="32"/>
          <w:szCs w:val="32"/>
        </w:rPr>
      </w:pPr>
      <w:r>
        <w:rPr>
          <w:rFonts w:hint="eastAsia" w:ascii="宋体" w:hAnsi="Times New Roman" w:eastAsia="宋体" w:cs="Times New Roman"/>
          <w:b/>
          <w:sz w:val="32"/>
          <w:szCs w:val="32"/>
        </w:rPr>
        <w:t>评估委托合同</w:t>
      </w:r>
    </w:p>
    <w:p>
      <w:pPr>
        <w:wordWrap w:val="0"/>
        <w:spacing w:line="288" w:lineRule="auto"/>
        <w:jc w:val="right"/>
        <w:rPr>
          <w:rFonts w:ascii="宋体" w:hAnsi="Times New Roman" w:eastAsia="宋体" w:cs="Times New Roman"/>
          <w:sz w:val="24"/>
          <w:szCs w:val="24"/>
        </w:rPr>
      </w:pPr>
      <w:r>
        <w:rPr>
          <w:rFonts w:ascii="宋体" w:hAnsi="Times New Roman" w:eastAsia="宋体" w:cs="Times New Roman"/>
          <w:sz w:val="24"/>
          <w:szCs w:val="24"/>
        </w:rPr>
        <w:t xml:space="preserve">              </w:t>
      </w:r>
      <w:r>
        <w:rPr>
          <w:rFonts w:hint="eastAsia" w:ascii="宋体" w:hAnsi="Times New Roman" w:eastAsia="宋体" w:cs="Times New Roman"/>
          <w:sz w:val="24"/>
          <w:szCs w:val="24"/>
        </w:rPr>
        <w:t>合同号：（20  ）     号</w:t>
      </w:r>
    </w:p>
    <w:p>
      <w:pPr>
        <w:snapToGrid w:val="0"/>
        <w:spacing w:before="100" w:beforeAutospacing="1" w:line="360" w:lineRule="auto"/>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本合同委托单位</w:t>
      </w:r>
      <w:permStart w:id="0" w:edGrp="everyone"/>
      <w:r>
        <w:rPr>
          <w:rFonts w:hint="eastAsia" w:ascii="宋体" w:hAnsi="Times New Roman" w:eastAsia="宋体" w:cs="Times New Roman"/>
          <w:sz w:val="24"/>
          <w:szCs w:val="24"/>
          <w:u w:val="single"/>
        </w:rPr>
        <w:t xml:space="preserve">                </w:t>
      </w:r>
      <w:permEnd w:id="0"/>
      <w:r>
        <w:rPr>
          <w:rFonts w:hint="eastAsia" w:ascii="宋体" w:hAnsi="Times New Roman" w:eastAsia="宋体" w:cs="Times New Roman"/>
          <w:sz w:val="24"/>
          <w:szCs w:val="24"/>
        </w:rPr>
        <w:t>（以下简称委托方）委托</w:t>
      </w:r>
      <w:r>
        <w:rPr>
          <w:rFonts w:hint="eastAsia" w:ascii="宋体" w:hAnsi="Times New Roman" w:eastAsia="宋体" w:cs="Times New Roman"/>
          <w:sz w:val="24"/>
          <w:szCs w:val="24"/>
          <w:u w:val="single"/>
          <w:lang w:val="en-US" w:eastAsia="zh-CN"/>
        </w:rPr>
        <w:t xml:space="preserve">       </w:t>
      </w:r>
      <w:r>
        <w:rPr>
          <w:rFonts w:hint="eastAsia" w:ascii="宋体" w:hAnsi="Times New Roman" w:eastAsia="宋体" w:cs="Times New Roman"/>
          <w:sz w:val="24"/>
          <w:szCs w:val="24"/>
        </w:rPr>
        <w:t>（简称受托方），由受托方使用恰当的评估方法对委托方确定的相关资产进行评估</w:t>
      </w:r>
      <w:r>
        <w:rPr>
          <w:rFonts w:ascii="宋体" w:hAnsi="Times New Roman" w:eastAsia="宋体" w:cs="Times New Roman"/>
          <w:sz w:val="24"/>
          <w:szCs w:val="24"/>
        </w:rPr>
        <w:t>,</w:t>
      </w:r>
      <w:r>
        <w:rPr>
          <w:rFonts w:hint="eastAsia" w:ascii="宋体" w:hAnsi="Times New Roman" w:eastAsia="宋体" w:cs="Times New Roman"/>
          <w:sz w:val="24"/>
          <w:szCs w:val="24"/>
        </w:rPr>
        <w:t>并依据中华人民共和国相关法律、法规将有关事项约定如下：</w:t>
      </w:r>
    </w:p>
    <w:p>
      <w:pPr>
        <w:numPr>
          <w:ilvl w:val="0"/>
          <w:numId w:val="1"/>
        </w:numPr>
        <w:tabs>
          <w:tab w:val="left" w:pos="993"/>
        </w:tabs>
        <w:spacing w:line="288" w:lineRule="auto"/>
        <w:ind w:left="0" w:firstLine="426" w:firstLineChars="177"/>
        <w:rPr>
          <w:rFonts w:ascii="宋体" w:hAnsi="Times New Roman" w:eastAsia="宋体" w:cs="Times New Roman"/>
          <w:b/>
          <w:sz w:val="24"/>
          <w:szCs w:val="24"/>
        </w:rPr>
      </w:pPr>
      <w:r>
        <w:rPr>
          <w:rFonts w:hint="eastAsia" w:ascii="宋体" w:hAnsi="Times New Roman" w:eastAsia="宋体" w:cs="Times New Roman"/>
          <w:b/>
          <w:sz w:val="24"/>
          <w:szCs w:val="24"/>
        </w:rPr>
        <w:t>评估目的、对象、范围和基准日</w:t>
      </w:r>
    </w:p>
    <w:p>
      <w:pPr>
        <w:numPr>
          <w:ilvl w:val="0"/>
          <w:numId w:val="2"/>
        </w:numPr>
        <w:tabs>
          <w:tab w:val="left" w:pos="709"/>
          <w:tab w:val="clear" w:pos="1140"/>
        </w:tabs>
        <w:ind w:left="0" w:firstLine="420"/>
        <w:rPr>
          <w:rFonts w:ascii="宋体" w:hAnsi="Times New Roman" w:eastAsia="宋体" w:cs="Times New Roman"/>
          <w:sz w:val="24"/>
          <w:szCs w:val="24"/>
        </w:rPr>
      </w:pPr>
      <w:permStart w:id="1" w:edGrp="everyone"/>
      <w:r>
        <w:rPr>
          <w:rFonts w:hint="eastAsia" w:ascii="宋体" w:hAnsi="Times New Roman" w:eastAsia="宋体" w:cs="Times New Roman"/>
          <w:sz w:val="24"/>
          <w:szCs w:val="24"/>
        </w:rPr>
        <w:t>评估目的：</w:t>
      </w:r>
    </w:p>
    <w:p>
      <w:pPr>
        <w:numPr>
          <w:ilvl w:val="0"/>
          <w:numId w:val="2"/>
        </w:numPr>
        <w:tabs>
          <w:tab w:val="left" w:pos="709"/>
          <w:tab w:val="clear" w:pos="1140"/>
        </w:tabs>
        <w:ind w:left="0" w:firstLine="420"/>
        <w:rPr>
          <w:rFonts w:ascii="宋体" w:hAnsi="Times New Roman" w:eastAsia="宋体" w:cs="Times New Roman"/>
          <w:sz w:val="24"/>
          <w:szCs w:val="24"/>
        </w:rPr>
      </w:pPr>
      <w:r>
        <w:rPr>
          <w:rFonts w:hint="eastAsia" w:ascii="宋体" w:hAnsi="Times New Roman" w:eastAsia="宋体" w:cs="Times New Roman"/>
          <w:sz w:val="24"/>
          <w:szCs w:val="24"/>
        </w:rPr>
        <w:t>评估对象:</w:t>
      </w:r>
    </w:p>
    <w:p>
      <w:pPr>
        <w:numPr>
          <w:ilvl w:val="0"/>
          <w:numId w:val="2"/>
        </w:numPr>
        <w:tabs>
          <w:tab w:val="left" w:pos="709"/>
          <w:tab w:val="clear" w:pos="1140"/>
        </w:tabs>
        <w:ind w:left="0" w:firstLine="420"/>
        <w:rPr>
          <w:rFonts w:ascii="宋体" w:hAnsi="Times New Roman" w:eastAsia="宋体" w:cs="Times New Roman"/>
          <w:sz w:val="24"/>
          <w:szCs w:val="24"/>
        </w:rPr>
      </w:pPr>
      <w:r>
        <w:rPr>
          <w:rFonts w:hint="eastAsia" w:ascii="宋体" w:hAnsi="Times New Roman" w:eastAsia="宋体" w:cs="Times New Roman"/>
          <w:sz w:val="24"/>
          <w:szCs w:val="24"/>
        </w:rPr>
        <w:t>评估范围：</w:t>
      </w:r>
    </w:p>
    <w:p>
      <w:pPr>
        <w:numPr>
          <w:ilvl w:val="0"/>
          <w:numId w:val="2"/>
        </w:numPr>
        <w:tabs>
          <w:tab w:val="left" w:pos="709"/>
          <w:tab w:val="clear" w:pos="1140"/>
        </w:tabs>
        <w:ind w:left="0" w:firstLine="420"/>
        <w:rPr>
          <w:rFonts w:ascii="宋体" w:hAnsi="Times New Roman" w:eastAsia="宋体" w:cs="Times New Roman"/>
          <w:sz w:val="24"/>
          <w:szCs w:val="24"/>
        </w:rPr>
      </w:pPr>
      <w:r>
        <w:rPr>
          <w:rFonts w:hint="eastAsia" w:ascii="宋体" w:hAnsi="Times New Roman" w:eastAsia="宋体" w:cs="Times New Roman"/>
          <w:sz w:val="24"/>
          <w:szCs w:val="24"/>
        </w:rPr>
        <w:t>评估基准日：</w:t>
      </w:r>
    </w:p>
    <w:permEnd w:id="1"/>
    <w:p>
      <w:pPr>
        <w:numPr>
          <w:ilvl w:val="0"/>
          <w:numId w:val="1"/>
        </w:numPr>
        <w:tabs>
          <w:tab w:val="left" w:pos="993"/>
        </w:tabs>
        <w:spacing w:line="288" w:lineRule="auto"/>
        <w:ind w:left="0" w:firstLine="426" w:firstLineChars="177"/>
        <w:rPr>
          <w:rFonts w:ascii="宋体" w:hAnsi="Times New Roman" w:eastAsia="宋体" w:cs="Times New Roman"/>
          <w:b/>
          <w:sz w:val="24"/>
          <w:szCs w:val="24"/>
        </w:rPr>
      </w:pPr>
      <w:r>
        <w:rPr>
          <w:rFonts w:hint="eastAsia" w:ascii="宋体" w:hAnsi="Times New Roman" w:eastAsia="宋体" w:cs="Times New Roman"/>
          <w:b/>
          <w:sz w:val="24"/>
          <w:szCs w:val="24"/>
        </w:rPr>
        <w:t>被评估单位和评估报告使用范围</w:t>
      </w:r>
    </w:p>
    <w:p>
      <w:pPr>
        <w:numPr>
          <w:ilvl w:val="0"/>
          <w:numId w:val="3"/>
        </w:numPr>
        <w:tabs>
          <w:tab w:val="left" w:pos="851"/>
          <w:tab w:val="clear" w:pos="1140"/>
        </w:tabs>
        <w:ind w:left="0" w:firstLine="420"/>
        <w:rPr>
          <w:rFonts w:ascii="宋体" w:hAnsi="Times New Roman" w:eastAsia="宋体" w:cs="Times New Roman"/>
          <w:sz w:val="24"/>
          <w:szCs w:val="24"/>
        </w:rPr>
      </w:pPr>
      <w:permStart w:id="2" w:edGrp="everyone"/>
      <w:r>
        <w:rPr>
          <w:rFonts w:hint="eastAsia" w:ascii="宋体" w:hAnsi="Times New Roman" w:eastAsia="宋体" w:cs="Times New Roman"/>
          <w:sz w:val="24"/>
          <w:szCs w:val="24"/>
        </w:rPr>
        <w:t>被评估单位：</w:t>
      </w:r>
    </w:p>
    <w:p>
      <w:pPr>
        <w:numPr>
          <w:ilvl w:val="0"/>
          <w:numId w:val="3"/>
        </w:numPr>
        <w:tabs>
          <w:tab w:val="left" w:pos="851"/>
          <w:tab w:val="clear" w:pos="1140"/>
        </w:tabs>
        <w:ind w:left="0" w:firstLine="420"/>
        <w:rPr>
          <w:rFonts w:ascii="宋体" w:hAnsi="Times New Roman" w:eastAsia="宋体" w:cs="Times New Roman"/>
          <w:sz w:val="24"/>
          <w:szCs w:val="24"/>
        </w:rPr>
      </w:pPr>
      <w:r>
        <w:rPr>
          <w:rFonts w:hint="eastAsia" w:ascii="宋体" w:hAnsi="Times New Roman" w:eastAsia="宋体" w:cs="Times New Roman"/>
          <w:sz w:val="24"/>
          <w:szCs w:val="24"/>
        </w:rPr>
        <w:t>评估报告使用范围：</w:t>
      </w:r>
      <w:permEnd w:id="2"/>
      <w:r>
        <w:rPr>
          <w:rFonts w:hint="eastAsia" w:ascii="宋体" w:hAnsi="Times New Roman" w:eastAsia="宋体" w:cs="Times New Roman"/>
          <w:sz w:val="24"/>
          <w:szCs w:val="24"/>
        </w:rPr>
        <w:t xml:space="preserve"> </w:t>
      </w:r>
    </w:p>
    <w:p>
      <w:pPr>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（1）评估报告只能用于评估报告载明的评估目的和用途；</w:t>
      </w:r>
    </w:p>
    <w:p>
      <w:pPr>
        <w:rPr>
          <w:rFonts w:ascii="宋体" w:hAnsi="Times New Roman" w:eastAsia="宋体" w:cs="Times New Roman"/>
          <w:sz w:val="24"/>
          <w:szCs w:val="24"/>
        </w:rPr>
      </w:pPr>
      <w:r>
        <w:rPr>
          <w:rFonts w:hint="eastAsia" w:ascii="宋体" w:hAnsi="Times New Roman" w:eastAsia="宋体" w:cs="Times New Roman"/>
          <w:sz w:val="24"/>
          <w:szCs w:val="24"/>
        </w:rPr>
        <w:t xml:space="preserve">    （2）评估报告只能由评估报告载明的评估报告使用者使用；</w:t>
      </w:r>
    </w:p>
    <w:p>
      <w:pPr>
        <w:ind w:firstLine="480"/>
        <w:rPr>
          <w:rFonts w:ascii="宋体" w:hAnsi="Times New Roman" w:eastAsia="宋体" w:cs="Times New Roman"/>
          <w:sz w:val="24"/>
          <w:szCs w:val="24"/>
        </w:rPr>
      </w:pPr>
      <w:r>
        <w:rPr>
          <w:rFonts w:hint="eastAsia" w:ascii="宋体" w:hAnsi="Times New Roman" w:eastAsia="宋体" w:cs="Times New Roman"/>
          <w:sz w:val="24"/>
          <w:szCs w:val="24"/>
        </w:rPr>
        <w:t>（3）评估报告在有效使用期内使用有效。</w:t>
      </w:r>
    </w:p>
    <w:p>
      <w:pPr>
        <w:numPr>
          <w:ilvl w:val="0"/>
          <w:numId w:val="1"/>
        </w:numPr>
        <w:tabs>
          <w:tab w:val="left" w:pos="993"/>
        </w:tabs>
        <w:spacing w:line="288" w:lineRule="auto"/>
        <w:ind w:left="0" w:firstLine="426"/>
        <w:rPr>
          <w:rFonts w:ascii="宋体" w:hAnsi="Times New Roman" w:eastAsia="宋体" w:cs="Times New Roman"/>
          <w:b/>
          <w:sz w:val="24"/>
          <w:szCs w:val="24"/>
        </w:rPr>
      </w:pPr>
      <w:r>
        <w:rPr>
          <w:rFonts w:hint="eastAsia" w:ascii="宋体" w:hAnsi="Times New Roman" w:eastAsia="宋体" w:cs="Times New Roman"/>
          <w:b/>
          <w:sz w:val="24"/>
          <w:szCs w:val="24"/>
        </w:rPr>
        <w:t>双方的责任</w:t>
      </w:r>
    </w:p>
    <w:p>
      <w:pPr>
        <w:spacing w:line="288" w:lineRule="auto"/>
        <w:ind w:firstLine="426" w:firstLineChars="177"/>
        <w:rPr>
          <w:rFonts w:ascii="宋体" w:hAnsi="Times New Roman" w:eastAsia="宋体" w:cs="Times New Roman"/>
          <w:b/>
          <w:sz w:val="24"/>
          <w:szCs w:val="24"/>
        </w:rPr>
      </w:pPr>
      <w:r>
        <w:rPr>
          <w:rFonts w:ascii="宋体" w:hAnsi="Times New Roman" w:eastAsia="宋体" w:cs="Times New Roman"/>
          <w:b/>
          <w:sz w:val="24"/>
          <w:szCs w:val="24"/>
        </w:rPr>
        <w:t>(</w:t>
      </w:r>
      <w:r>
        <w:rPr>
          <w:rFonts w:hint="eastAsia" w:ascii="宋体" w:hAnsi="Times New Roman" w:eastAsia="宋体" w:cs="Times New Roman"/>
          <w:b/>
          <w:sz w:val="24"/>
          <w:szCs w:val="24"/>
        </w:rPr>
        <w:t>一</w:t>
      </w:r>
      <w:r>
        <w:rPr>
          <w:rFonts w:ascii="宋体" w:hAnsi="Times New Roman" w:eastAsia="宋体" w:cs="Times New Roman"/>
          <w:b/>
          <w:sz w:val="24"/>
          <w:szCs w:val="24"/>
        </w:rPr>
        <w:t>)</w:t>
      </w:r>
      <w:r>
        <w:rPr>
          <w:rFonts w:hint="eastAsia" w:ascii="宋体" w:hAnsi="Times New Roman" w:eastAsia="宋体" w:cs="Times New Roman"/>
          <w:b/>
          <w:sz w:val="24"/>
          <w:szCs w:val="24"/>
        </w:rPr>
        <w:t>受托方责任：</w:t>
      </w:r>
    </w:p>
    <w:p>
      <w:pPr>
        <w:spacing w:line="288" w:lineRule="auto"/>
        <w:ind w:firstLine="424" w:firstLineChars="177"/>
        <w:rPr>
          <w:rFonts w:ascii="宋体" w:hAnsi="Times New Roman" w:eastAsia="宋体" w:cs="Times New Roman"/>
          <w:sz w:val="24"/>
          <w:szCs w:val="24"/>
        </w:rPr>
      </w:pPr>
      <w:r>
        <w:rPr>
          <w:rFonts w:ascii="宋体" w:hAnsi="Times New Roman" w:eastAsia="宋体" w:cs="Times New Roman"/>
          <w:sz w:val="24"/>
          <w:szCs w:val="24"/>
        </w:rPr>
        <w:t>1</w:t>
      </w:r>
      <w:r>
        <w:rPr>
          <w:rFonts w:hint="eastAsia" w:ascii="宋体" w:hAnsi="Times New Roman" w:eastAsia="宋体" w:cs="Times New Roman"/>
          <w:sz w:val="24"/>
          <w:szCs w:val="24"/>
        </w:rPr>
        <w:t>、受托方遵守相关法律、法规和资产评估准则，采用恰当的评估方法和必要的评估程序，按照约定的评估目的、范围和评估基准日对委估资产进行评估，并出具评估报告。</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2、受托方应当根据项目情况，对评估对象进行现场调查，收集权属证明、财务会计信息和其他与评估业务相关的资料进行分析整理，并在其资质及能力范围内对相关材料的真实性、准确性、完整性做出合理的判断后方可作为评估依据。</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3、受托方对委托方提供的评估资料负有保密责任。未经委托方书面同意，受托方不得将该资料提供给委托方和受托方以外的第三者，法律法规规定的除外。</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4、受托方应当在该项目人员的调配方面遵守独立性原则。</w:t>
      </w:r>
    </w:p>
    <w:p>
      <w:pPr>
        <w:spacing w:line="288" w:lineRule="auto"/>
        <w:ind w:firstLine="426" w:firstLineChars="177"/>
        <w:rPr>
          <w:rFonts w:ascii="宋体" w:hAnsi="Times New Roman" w:eastAsia="宋体" w:cs="Times New Roman"/>
          <w:b/>
          <w:sz w:val="24"/>
          <w:szCs w:val="24"/>
        </w:rPr>
      </w:pPr>
      <w:r>
        <w:rPr>
          <w:rFonts w:ascii="宋体" w:hAnsi="Times New Roman" w:eastAsia="宋体" w:cs="Times New Roman"/>
          <w:b/>
          <w:sz w:val="24"/>
          <w:szCs w:val="24"/>
        </w:rPr>
        <w:t>(</w:t>
      </w:r>
      <w:r>
        <w:rPr>
          <w:rFonts w:hint="eastAsia" w:ascii="宋体" w:hAnsi="Times New Roman" w:eastAsia="宋体" w:cs="Times New Roman"/>
          <w:b/>
          <w:sz w:val="24"/>
          <w:szCs w:val="24"/>
        </w:rPr>
        <w:t>二</w:t>
      </w:r>
      <w:r>
        <w:rPr>
          <w:rFonts w:ascii="宋体" w:hAnsi="Times New Roman" w:eastAsia="宋体" w:cs="Times New Roman"/>
          <w:b/>
          <w:sz w:val="24"/>
          <w:szCs w:val="24"/>
        </w:rPr>
        <w:t>)</w:t>
      </w:r>
      <w:r>
        <w:rPr>
          <w:rFonts w:hint="eastAsia" w:ascii="宋体" w:hAnsi="Times New Roman" w:eastAsia="宋体" w:cs="Times New Roman"/>
          <w:b/>
          <w:sz w:val="24"/>
          <w:szCs w:val="24"/>
        </w:rPr>
        <w:t>委托方责任：</w:t>
      </w:r>
    </w:p>
    <w:p>
      <w:pPr>
        <w:spacing w:line="288" w:lineRule="auto"/>
        <w:ind w:firstLine="424" w:firstLineChars="177"/>
        <w:rPr>
          <w:rFonts w:ascii="宋体" w:hAnsi="Times New Roman" w:eastAsia="宋体" w:cs="Times New Roman"/>
          <w:sz w:val="24"/>
          <w:szCs w:val="24"/>
        </w:rPr>
      </w:pPr>
      <w:r>
        <w:rPr>
          <w:rFonts w:ascii="宋体" w:hAnsi="Times New Roman" w:eastAsia="宋体" w:cs="Times New Roman"/>
          <w:sz w:val="24"/>
          <w:szCs w:val="24"/>
        </w:rPr>
        <w:t>1</w:t>
      </w:r>
      <w:r>
        <w:rPr>
          <w:rFonts w:hint="eastAsia" w:ascii="宋体" w:hAnsi="Times New Roman" w:eastAsia="宋体" w:cs="Times New Roman"/>
          <w:sz w:val="24"/>
          <w:szCs w:val="24"/>
        </w:rPr>
        <w:t>、委托方应当为资产评估师提供执行公允评估程序所需的工作条件，及相关当事方之间的协调。</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2、委托方应对受托方开展评估工作给予充分的支持，提供评估所需的全部文件包括但不限于权属证明、财务会计信息及其他相关资料，并以签字、盖章或者其他方式进行确认。</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3、委托方应对其所提供的文件资料、会计记录、财产物资清单的真实性、合法性、完整性承担全部责任。</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4、作为评估程序的一部分，委托方应提供一份委托评估的承诺书，对有关资产、负债、权益方面的情况作必要的说明。</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5、如果委托方并非被评估资产的实际占有方，委托方应要求被评估单位配合受托方出具相关承诺及相关权属证明、财务会计信息及其他有关资料并进行必要的前期审核，对已发现的问题须及时告知受托方。</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6、受托方在评估过程中如发现需要其他专业机构的专业意见才能继续推进评估进程时，可与委托方协商选定相关专业机构来出具专业意见，由此产生的费用由委托方另行支付，不包括在本合同第四条约定的服务费中。</w:t>
      </w:r>
    </w:p>
    <w:p>
      <w:pPr>
        <w:spacing w:line="288" w:lineRule="auto"/>
        <w:ind w:firstLine="424" w:firstLineChars="177"/>
        <w:rPr>
          <w:rFonts w:ascii="宋体" w:hAnsi="Times New Roman" w:eastAsia="宋体" w:cs="Times New Roman"/>
          <w:b/>
          <w:sz w:val="24"/>
          <w:szCs w:val="24"/>
        </w:rPr>
      </w:pPr>
      <w:r>
        <w:rPr>
          <w:rFonts w:hint="eastAsia" w:ascii="宋体" w:hAnsi="Times New Roman" w:eastAsia="宋体" w:cs="Times New Roman"/>
          <w:sz w:val="24"/>
          <w:szCs w:val="24"/>
        </w:rPr>
        <w:t>四、</w:t>
      </w:r>
      <w:r>
        <w:rPr>
          <w:rFonts w:hint="eastAsia" w:ascii="宋体" w:hAnsi="Times New Roman" w:eastAsia="宋体" w:cs="Times New Roman"/>
          <w:b/>
          <w:sz w:val="24"/>
          <w:szCs w:val="24"/>
        </w:rPr>
        <w:t>服务费金额及支付方法</w:t>
      </w:r>
    </w:p>
    <w:p>
      <w:pPr>
        <w:numPr>
          <w:ilvl w:val="0"/>
          <w:numId w:val="4"/>
        </w:numPr>
        <w:spacing w:line="288" w:lineRule="auto"/>
        <w:ind w:left="0" w:firstLine="425"/>
        <w:rPr>
          <w:rFonts w:ascii="宋体" w:hAnsi="Times New Roman" w:eastAsia="宋体" w:cs="Times New Roman"/>
          <w:sz w:val="24"/>
          <w:szCs w:val="24"/>
        </w:rPr>
      </w:pPr>
      <w:permStart w:id="3" w:edGrp="everyone"/>
      <w:r>
        <w:rPr>
          <w:rFonts w:hint="eastAsia" w:ascii="宋体" w:hAnsi="Times New Roman" w:eastAsia="宋体" w:cs="Times New Roman"/>
          <w:sz w:val="24"/>
          <w:szCs w:val="24"/>
        </w:rPr>
        <w:t>本项评估服务费含税为（人民币）（大写）</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元，费用包含税金、差旅费及管理费等</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由委托方负责向受托方支付，由受托方出具增值税（专用或普通）发票。</w:t>
      </w:r>
    </w:p>
    <w:p>
      <w:pPr>
        <w:numPr>
          <w:ilvl w:val="0"/>
          <w:numId w:val="4"/>
        </w:numPr>
        <w:spacing w:line="288" w:lineRule="auto"/>
        <w:ind w:left="0" w:firstLine="425"/>
        <w:rPr>
          <w:rFonts w:ascii="宋体" w:hAnsi="Times New Roman" w:eastAsia="宋体" w:cs="Times New Roman"/>
          <w:sz w:val="24"/>
          <w:szCs w:val="24"/>
        </w:rPr>
      </w:pPr>
      <w:r>
        <w:rPr>
          <w:rFonts w:hint="eastAsia" w:ascii="宋体" w:hAnsi="Times New Roman" w:eastAsia="宋体" w:cs="Times New Roman"/>
          <w:sz w:val="24"/>
          <w:szCs w:val="24"/>
        </w:rPr>
        <w:t>上述评估服务费在本委托合同经双方签章后，委托方即应支付</w:t>
      </w:r>
      <w:r>
        <w:rPr>
          <w:rFonts w:ascii="宋体" w:hAnsi="Times New Roman" w:eastAsia="宋体" w:cs="Times New Roman"/>
          <w:sz w:val="24"/>
          <w:szCs w:val="24"/>
        </w:rPr>
        <w:t>50</w:t>
      </w:r>
      <w:r>
        <w:rPr>
          <w:rFonts w:hint="eastAsia" w:ascii="宋体" w:hAnsi="Times New Roman" w:eastAsia="宋体" w:cs="Times New Roman"/>
          <w:sz w:val="24"/>
          <w:szCs w:val="24"/>
        </w:rPr>
        <w:t>％；提供评估结论或报告初稿（电子或书面）后，委托方应支付8</w:t>
      </w:r>
      <w:r>
        <w:rPr>
          <w:rFonts w:ascii="宋体" w:hAnsi="Times New Roman" w:eastAsia="宋体" w:cs="Times New Roman"/>
          <w:sz w:val="24"/>
          <w:szCs w:val="24"/>
        </w:rPr>
        <w:t>0</w:t>
      </w:r>
      <w:r>
        <w:rPr>
          <w:rFonts w:hint="eastAsia" w:ascii="宋体" w:hAnsi="Times New Roman" w:eastAsia="宋体" w:cs="Times New Roman"/>
          <w:sz w:val="24"/>
          <w:szCs w:val="24"/>
        </w:rPr>
        <w:t>%，评估报告书完成时，委托方支付1</w:t>
      </w:r>
      <w:r>
        <w:rPr>
          <w:rFonts w:ascii="宋体" w:hAnsi="Times New Roman" w:eastAsia="宋体" w:cs="Times New Roman"/>
          <w:sz w:val="24"/>
          <w:szCs w:val="24"/>
        </w:rPr>
        <w:t>00</w:t>
      </w:r>
      <w:r>
        <w:rPr>
          <w:rFonts w:hint="eastAsia" w:ascii="宋体" w:hAnsi="Times New Roman" w:eastAsia="宋体" w:cs="Times New Roman"/>
          <w:sz w:val="24"/>
          <w:szCs w:val="24"/>
        </w:rPr>
        <w:t>%。（如金额较大，</w:t>
      </w:r>
      <w:r>
        <w:rPr>
          <w:rFonts w:hint="eastAsia" w:ascii="宋体" w:hAnsi="Times New Roman" w:eastAsia="宋体" w:cs="Times New Roman"/>
          <w:sz w:val="24"/>
          <w:szCs w:val="24"/>
          <w:lang w:val="en-US" w:eastAsia="zh-CN"/>
        </w:rPr>
        <w:t>由</w:t>
      </w:r>
      <w:r>
        <w:rPr>
          <w:rFonts w:hint="eastAsia" w:ascii="宋体" w:hAnsi="Times New Roman" w:eastAsia="宋体" w:cs="Times New Roman"/>
          <w:sz w:val="24"/>
          <w:szCs w:val="24"/>
        </w:rPr>
        <w:t>双方协商约定）。</w:t>
      </w:r>
    </w:p>
    <w:permEnd w:id="3"/>
    <w:p>
      <w:pPr>
        <w:numPr>
          <w:ilvl w:val="0"/>
          <w:numId w:val="4"/>
        </w:numPr>
        <w:spacing w:line="300" w:lineRule="auto"/>
        <w:ind w:left="0" w:firstLine="425"/>
        <w:rPr>
          <w:rFonts w:ascii="宋体" w:hAnsi="Times New Roman" w:eastAsia="宋体" w:cs="Times New Roman"/>
          <w:sz w:val="24"/>
          <w:szCs w:val="24"/>
        </w:rPr>
      </w:pPr>
      <w:r>
        <w:rPr>
          <w:rFonts w:hint="eastAsia" w:ascii="宋体" w:hAnsi="Times New Roman" w:eastAsia="宋体" w:cs="Times New Roman"/>
          <w:sz w:val="24"/>
          <w:szCs w:val="24"/>
        </w:rPr>
        <w:t>因委托方原因造成评估业务中止（终止）时，委托方应当按照已完成的工作量支付相应的评估服务费，具体标准如下：</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（1）如受托方已开始现场工作：</w:t>
      </w:r>
      <w:r>
        <w:rPr>
          <w:rFonts w:ascii="宋体" w:hAnsi="Times New Roman" w:eastAsia="宋体" w:cs="Times New Roman"/>
          <w:sz w:val="24"/>
          <w:szCs w:val="24"/>
        </w:rPr>
        <w:t>委托方</w:t>
      </w:r>
      <w:r>
        <w:rPr>
          <w:rFonts w:hint="eastAsia" w:ascii="宋体" w:hAnsi="Times New Roman" w:eastAsia="宋体" w:cs="Times New Roman"/>
          <w:sz w:val="24"/>
          <w:szCs w:val="24"/>
        </w:rPr>
        <w:t>支付评估服务费的50%；</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（2）如</w:t>
      </w:r>
      <w:bookmarkStart w:id="0" w:name="_Hlk151639378"/>
      <w:r>
        <w:rPr>
          <w:rFonts w:hint="eastAsia" w:ascii="宋体" w:hAnsi="Times New Roman" w:eastAsia="宋体" w:cs="Times New Roman"/>
          <w:sz w:val="24"/>
          <w:szCs w:val="24"/>
        </w:rPr>
        <w:t>受托方已完成初步评估结论或报告初稿（电子或书面）：</w:t>
      </w:r>
      <w:r>
        <w:rPr>
          <w:rFonts w:ascii="宋体" w:hAnsi="Times New Roman" w:eastAsia="宋体" w:cs="Times New Roman"/>
          <w:sz w:val="24"/>
          <w:szCs w:val="24"/>
        </w:rPr>
        <w:t>委托方</w:t>
      </w:r>
      <w:r>
        <w:rPr>
          <w:rFonts w:hint="eastAsia" w:ascii="宋体" w:hAnsi="Times New Roman" w:eastAsia="宋体" w:cs="Times New Roman"/>
          <w:sz w:val="24"/>
          <w:szCs w:val="24"/>
        </w:rPr>
        <w:t>支付评估服务费的80%</w:t>
      </w:r>
      <w:bookmarkEnd w:id="0"/>
      <w:r>
        <w:rPr>
          <w:rFonts w:hint="eastAsia" w:ascii="宋体" w:hAnsi="Times New Roman" w:eastAsia="宋体" w:cs="Times New Roman"/>
          <w:sz w:val="24"/>
          <w:szCs w:val="24"/>
        </w:rPr>
        <w:t>；</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（3）如评估报告已提交集团或国资监管部门审核且受托方已开始答复相应审核意见的，委托方支付评估服务费的</w:t>
      </w:r>
      <w:r>
        <w:rPr>
          <w:rFonts w:ascii="宋体" w:hAnsi="Times New Roman" w:eastAsia="宋体" w:cs="Times New Roman"/>
          <w:sz w:val="24"/>
          <w:szCs w:val="24"/>
        </w:rPr>
        <w:t>95</w:t>
      </w:r>
      <w:r>
        <w:rPr>
          <w:rFonts w:hint="eastAsia" w:ascii="宋体" w:hAnsi="Times New Roman" w:eastAsia="宋体" w:cs="Times New Roman"/>
          <w:sz w:val="24"/>
          <w:szCs w:val="24"/>
        </w:rPr>
        <w:t>%</w:t>
      </w:r>
    </w:p>
    <w:p>
      <w:pPr>
        <w:widowControl w:val="0"/>
        <w:spacing w:line="288" w:lineRule="auto"/>
        <w:ind w:firstLine="424" w:firstLineChars="177"/>
        <w:jc w:val="both"/>
        <w:rPr>
          <w:rFonts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w:t>
      </w:r>
      <w:r>
        <w:rPr>
          <w:rFonts w:ascii="宋体" w:hAnsi="Times New Roman" w:eastAsia="宋体" w:cs="Times New Roman"/>
          <w:kern w:val="2"/>
          <w:sz w:val="24"/>
          <w:szCs w:val="24"/>
          <w:lang w:val="en-US" w:eastAsia="zh-CN" w:bidi="ar-SA"/>
        </w:rPr>
        <w:t>4</w:t>
      </w:r>
      <w:r>
        <w:rPr>
          <w:rFonts w:hint="eastAsia" w:ascii="宋体" w:hAnsi="Times New Roman" w:eastAsia="宋体" w:cs="Times New Roman"/>
          <w:kern w:val="2"/>
          <w:sz w:val="24"/>
          <w:szCs w:val="24"/>
          <w:lang w:val="en-US" w:eastAsia="zh-CN" w:bidi="ar-SA"/>
        </w:rPr>
        <w:t>）如受托方已完成最终报告（电子或书面）：</w:t>
      </w:r>
      <w:r>
        <w:rPr>
          <w:rFonts w:ascii="宋体" w:hAnsi="Times New Roman" w:eastAsia="宋体" w:cs="Times New Roman"/>
          <w:kern w:val="2"/>
          <w:sz w:val="24"/>
          <w:szCs w:val="24"/>
          <w:lang w:val="en-US" w:eastAsia="zh-CN" w:bidi="ar-SA"/>
        </w:rPr>
        <w:t>委托方</w:t>
      </w:r>
      <w:r>
        <w:rPr>
          <w:rFonts w:hint="eastAsia" w:ascii="宋体" w:hAnsi="Times New Roman" w:eastAsia="宋体" w:cs="Times New Roman"/>
          <w:kern w:val="2"/>
          <w:sz w:val="24"/>
          <w:szCs w:val="24"/>
          <w:lang w:val="en-US" w:eastAsia="zh-CN" w:bidi="ar-SA"/>
        </w:rPr>
        <w:t>支付评估服务费的100%。</w:t>
      </w:r>
    </w:p>
    <w:p>
      <w:pPr>
        <w:tabs>
          <w:tab w:val="left" w:pos="993"/>
        </w:tabs>
        <w:spacing w:line="288" w:lineRule="auto"/>
        <w:rPr>
          <w:rFonts w:ascii="宋体" w:hAnsi="Times New Roman" w:eastAsia="宋体" w:cs="Times New Roman"/>
          <w:b/>
          <w:sz w:val="24"/>
          <w:szCs w:val="24"/>
        </w:rPr>
      </w:pPr>
      <w:r>
        <w:rPr>
          <w:rFonts w:hint="eastAsia" w:ascii="宋体" w:hAnsi="Times New Roman" w:eastAsia="宋体" w:cs="Times New Roman"/>
          <w:b/>
          <w:sz w:val="24"/>
          <w:szCs w:val="24"/>
        </w:rPr>
        <w:t>五、委托合同的变更、中止（终止）或解除</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 xml:space="preserve">1、签约各方发现相关事项约定不明确，或者履行评估程序受到限制时需增加、调整约定事项的，可以协商对委托合同相关条款进行变更，并签订补充协议或者重新签订委托合同。   </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2、委托合同签订后，评估目的、评估对象、评估范围、评估基准日发生变化或者在合同履行中约定的其他内容发生变化，签约各方发现相关事项存在遗漏、约定不明确，评估机构可以要求与委托人签订补充合同或者重新签订评估委托合同，或以法律允许的其他方式对评估委托合同的相关条款进行变更。</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3、当评估程序所受限制对与评估目的相对应的评估结论构成重大影响时，评估机构可以中止（终止）履行委托合同；相关限制无法排除时，评估机构可以解除委托合同。</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4、委托人如拒绝提供或者不如实提供执行评估业务所需的权属证明、财务会计信息和其他资料的，评估机构有权拒绝履行合同。</w:t>
      </w:r>
    </w:p>
    <w:p>
      <w:pPr>
        <w:widowControl w:val="0"/>
        <w:numPr>
          <w:ilvl w:val="0"/>
          <w:numId w:val="5"/>
        </w:numPr>
        <w:tabs>
          <w:tab w:val="left" w:pos="993"/>
        </w:tabs>
        <w:spacing w:line="288" w:lineRule="auto"/>
        <w:ind w:left="1146" w:hanging="720" w:firstLineChars="0"/>
        <w:jc w:val="both"/>
        <w:rPr>
          <w:rFonts w:ascii="宋体" w:hAnsi="Times New Roman" w:eastAsia="宋体" w:cs="Times New Roman"/>
          <w:b/>
          <w:kern w:val="2"/>
          <w:sz w:val="24"/>
          <w:szCs w:val="24"/>
          <w:lang w:val="en-US" w:eastAsia="zh-CN" w:bidi="ar-SA"/>
        </w:rPr>
      </w:pPr>
      <w:r>
        <w:rPr>
          <w:rFonts w:hint="eastAsia" w:ascii="宋体" w:hAnsi="Times New Roman" w:eastAsia="宋体" w:cs="Times New Roman"/>
          <w:b/>
          <w:kern w:val="2"/>
          <w:sz w:val="24"/>
          <w:szCs w:val="24"/>
          <w:lang w:val="en-US" w:eastAsia="zh-CN" w:bidi="ar-SA"/>
        </w:rPr>
        <w:t>其他约定</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1、评估报告仅供委托方和委托合同约定的其他评估报告使用者使用，法律、法规另有规定的除外。委托方应在有效期内使用评估报告。</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2、资产评估师和评估机构对委托方和其他评估报告使用者不当使用评估报告所造成的后果不承担责任。</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3、未征得评估机构同意，评估报告的内容不得被摘抄、引用或者披露于公开媒体，法律、法规规定以及相关当事方另有约定的除外。</w:t>
      </w:r>
    </w:p>
    <w:p>
      <w:pPr>
        <w:spacing w:line="288" w:lineRule="auto"/>
        <w:ind w:firstLine="424" w:firstLineChars="177"/>
        <w:rPr>
          <w:rFonts w:ascii="宋体" w:hAnsi="Times New Roman" w:eastAsia="宋体" w:cs="Times New Roman"/>
          <w:sz w:val="24"/>
          <w:szCs w:val="24"/>
        </w:rPr>
      </w:pPr>
      <w:permStart w:id="4" w:edGrp="everyone"/>
      <w:r>
        <w:rPr>
          <w:rFonts w:hint="eastAsia" w:ascii="宋体" w:hAnsi="Times New Roman" w:eastAsia="宋体" w:cs="Times New Roman"/>
          <w:sz w:val="24"/>
          <w:szCs w:val="24"/>
        </w:rPr>
        <w:t>4、受托方将在委托方提交所有材料后</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个工作日提交评估报告。</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5、评估报告提交方式：</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 xml:space="preserve">。   </w:t>
      </w:r>
    </w:p>
    <w:permEnd w:id="4"/>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6、若涉及引用其他专业机构报告的，应增加相应的补充条款。</w:t>
      </w:r>
    </w:p>
    <w:p>
      <w:pPr>
        <w:spacing w:line="288" w:lineRule="auto"/>
        <w:ind w:firstLine="424" w:firstLineChars="177"/>
        <w:rPr>
          <w:rFonts w:ascii="宋体" w:hAnsi="Times New Roman" w:eastAsia="宋体" w:cs="Times New Roman"/>
          <w:sz w:val="24"/>
          <w:szCs w:val="24"/>
        </w:rPr>
      </w:pPr>
      <w:r>
        <w:rPr>
          <w:rFonts w:hint="eastAsia" w:ascii="宋体" w:hAnsi="Times New Roman" w:eastAsia="宋体" w:cs="Times New Roman"/>
          <w:sz w:val="24"/>
          <w:szCs w:val="24"/>
        </w:rPr>
        <w:t>7、当签约双方执行该委托合同中发生纠纷时，双方可通过自愿协商解决或交由受托方</w:t>
      </w:r>
      <w:r>
        <w:rPr>
          <w:rFonts w:ascii="宋体" w:hAnsi="Times New Roman" w:eastAsia="宋体" w:cs="Times New Roman"/>
          <w:sz w:val="24"/>
          <w:szCs w:val="24"/>
        </w:rPr>
        <w:t>所在地人民法院</w:t>
      </w:r>
      <w:r>
        <w:rPr>
          <w:rFonts w:hint="eastAsia" w:ascii="宋体" w:hAnsi="Times New Roman" w:eastAsia="宋体" w:cs="Times New Roman"/>
          <w:sz w:val="24"/>
          <w:szCs w:val="24"/>
        </w:rPr>
        <w:t>通过诉讼解决。</w:t>
      </w:r>
    </w:p>
    <w:p>
      <w:pPr>
        <w:widowControl w:val="0"/>
        <w:numPr>
          <w:ilvl w:val="0"/>
          <w:numId w:val="5"/>
        </w:numPr>
        <w:tabs>
          <w:tab w:val="left" w:pos="993"/>
        </w:tabs>
        <w:spacing w:line="288" w:lineRule="auto"/>
        <w:ind w:left="1146" w:hanging="720" w:firstLineChars="0"/>
        <w:jc w:val="both"/>
        <w:rPr>
          <w:rFonts w:hint="default" w:ascii="宋体" w:hAnsi="Times New Roman" w:eastAsia="宋体" w:cs="Times New Roman"/>
          <w:b/>
          <w:kern w:val="2"/>
          <w:sz w:val="24"/>
          <w:szCs w:val="24"/>
          <w:vertAlign w:val="baseline"/>
          <w:lang w:val="en-US" w:eastAsia="zh-CN" w:bidi="ar-SA"/>
        </w:rPr>
      </w:pPr>
      <w:r>
        <w:rPr>
          <w:rFonts w:hint="eastAsia" w:ascii="宋体" w:hAnsi="Times New Roman" w:eastAsia="宋体" w:cs="Times New Roman"/>
          <w:b/>
          <w:kern w:val="2"/>
          <w:sz w:val="24"/>
          <w:szCs w:val="24"/>
          <w:lang w:val="en-US" w:eastAsia="zh-CN" w:bidi="ar-SA"/>
        </w:rPr>
        <w:t>本委托合同一式两份，经双方签署后生效，双方各执一份。</w:t>
      </w:r>
    </w:p>
    <w:tbl>
      <w:tblPr>
        <w:tblStyle w:val="3"/>
        <w:tblW w:w="8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0"/>
        <w:gridCol w:w="4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Times New Roman" w:eastAsia="宋体" w:cs="Times New Roman"/>
                <w:sz w:val="24"/>
                <w:szCs w:val="24"/>
              </w:rPr>
              <w:t>委托方：</w:t>
            </w:r>
          </w:p>
        </w:tc>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受托方：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Times New Roman" w:eastAsia="宋体" w:cs="Times New Roman"/>
                <w:sz w:val="24"/>
                <w:szCs w:val="24"/>
              </w:rPr>
              <w:t>法定代表人或授权代理人：</w:t>
            </w:r>
          </w:p>
        </w:tc>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Times New Roman" w:eastAsia="宋体" w:cs="Times New Roman"/>
                <w:sz w:val="24"/>
                <w:szCs w:val="24"/>
              </w:rPr>
              <w:t>法定代表人或授权代理人：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地址：</w:t>
            </w:r>
          </w:p>
        </w:tc>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p>
        </w:tc>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银行帐号：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电话：</w:t>
            </w:r>
          </w:p>
        </w:tc>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传真：</w:t>
            </w:r>
          </w:p>
        </w:tc>
        <w:tc>
          <w:tcPr>
            <w:tcW w:w="4280" w:type="dxa"/>
          </w:tcPr>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vertAlign w:val="baseline"/>
                <w:lang w:val="en-US" w:eastAsia="zh-CN" w:bidi="ar-SA"/>
              </w:rPr>
            </w:pPr>
            <w:r>
              <w:rPr>
                <w:rFonts w:hint="eastAsia" w:ascii="宋体" w:hAnsi="Calibri" w:eastAsia="宋体" w:cs="Times New Roman"/>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280" w:type="dxa"/>
          </w:tcPr>
          <w:p>
            <w:pPr>
              <w:widowControl w:val="0"/>
              <w:numPr>
                <w:ilvl w:val="0"/>
                <w:numId w:val="0"/>
              </w:numPr>
              <w:tabs>
                <w:tab w:val="left" w:pos="993"/>
              </w:tabs>
              <w:spacing w:line="288" w:lineRule="auto"/>
              <w:ind w:left="426" w:leftChars="0"/>
              <w:jc w:val="both"/>
              <w:rPr>
                <w:rFonts w:hint="eastAsia" w:ascii="宋体" w:hAnsi="Calibri" w:eastAsia="宋体" w:cs="Times New Roman"/>
                <w:sz w:val="24"/>
                <w:szCs w:val="24"/>
              </w:rPr>
            </w:pPr>
          </w:p>
        </w:tc>
        <w:tc>
          <w:tcPr>
            <w:tcW w:w="4280" w:type="dxa"/>
          </w:tcPr>
          <w:p>
            <w:pPr>
              <w:widowControl w:val="0"/>
              <w:numPr>
                <w:ilvl w:val="0"/>
                <w:numId w:val="0"/>
              </w:numPr>
              <w:tabs>
                <w:tab w:val="left" w:pos="993"/>
              </w:tabs>
              <w:spacing w:line="288" w:lineRule="auto"/>
              <w:ind w:left="426" w:leftChars="0"/>
              <w:jc w:val="both"/>
              <w:rPr>
                <w:rFonts w:hint="eastAsia" w:ascii="宋体" w:hAnsi="Calibri" w:eastAsia="宋体" w:cs="Times New Roman"/>
                <w:sz w:val="24"/>
                <w:szCs w:val="24"/>
              </w:rPr>
            </w:pPr>
            <w:r>
              <w:rPr>
                <w:rFonts w:hint="eastAsia" w:ascii="宋体" w:hAnsi="Calibri" w:eastAsia="宋体" w:cs="Times New Roman"/>
                <w:sz w:val="24"/>
                <w:szCs w:val="24"/>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4280" w:type="dxa"/>
          </w:tcPr>
          <w:p>
            <w:pPr>
              <w:widowControl w:val="0"/>
              <w:numPr>
                <w:ilvl w:val="0"/>
                <w:numId w:val="0"/>
              </w:numPr>
              <w:tabs>
                <w:tab w:val="left" w:pos="993"/>
              </w:tabs>
              <w:spacing w:line="288" w:lineRule="auto"/>
              <w:ind w:left="426" w:leftChars="0"/>
              <w:jc w:val="both"/>
              <w:rPr>
                <w:rFonts w:hint="eastAsia" w:ascii="宋体" w:hAnsi="Calibri" w:eastAsia="宋体" w:cs="Times New Roman"/>
                <w:sz w:val="24"/>
                <w:szCs w:val="24"/>
              </w:rPr>
            </w:pPr>
          </w:p>
        </w:tc>
        <w:tc>
          <w:tcPr>
            <w:tcW w:w="4280" w:type="dxa"/>
          </w:tcPr>
          <w:p>
            <w:pPr>
              <w:widowControl w:val="0"/>
              <w:numPr>
                <w:ilvl w:val="0"/>
                <w:numId w:val="0"/>
              </w:numPr>
              <w:tabs>
                <w:tab w:val="left" w:pos="993"/>
              </w:tabs>
              <w:spacing w:line="288" w:lineRule="auto"/>
              <w:ind w:left="426" w:leftChars="0"/>
              <w:jc w:val="both"/>
              <w:rPr>
                <w:rFonts w:hint="eastAsia" w:ascii="宋体" w:hAnsi="Calibri" w:eastAsia="宋体" w:cs="Times New Roman"/>
                <w:sz w:val="24"/>
                <w:szCs w:val="24"/>
              </w:rPr>
            </w:pPr>
            <w:r>
              <w:rPr>
                <w:rFonts w:hint="eastAsia" w:ascii="宋体" w:hAnsi="Calibri" w:eastAsia="宋体" w:cs="Times New Roman"/>
                <w:sz w:val="24"/>
                <w:szCs w:val="24"/>
              </w:rPr>
              <w:t xml:space="preserve">签订日期：  </w:t>
            </w:r>
            <w:r>
              <w:rPr>
                <w:rFonts w:ascii="宋体" w:hAnsi="Calibri" w:eastAsia="宋体" w:cs="Times New Roman"/>
                <w:sz w:val="24"/>
                <w:szCs w:val="24"/>
              </w:rPr>
              <w:t xml:space="preserve">   </w:t>
            </w:r>
            <w:r>
              <w:rPr>
                <w:rFonts w:hint="eastAsia" w:ascii="宋体" w:hAnsi="Calibri" w:eastAsia="宋体" w:cs="Times New Roman"/>
                <w:sz w:val="24"/>
                <w:szCs w:val="24"/>
              </w:rPr>
              <w:t xml:space="preserve">年  </w:t>
            </w:r>
            <w:r>
              <w:rPr>
                <w:rFonts w:ascii="宋体" w:hAnsi="Calibri" w:eastAsia="宋体" w:cs="Times New Roman"/>
                <w:sz w:val="24"/>
                <w:szCs w:val="24"/>
              </w:rPr>
              <w:t xml:space="preserve"> </w:t>
            </w:r>
            <w:r>
              <w:rPr>
                <w:rFonts w:hint="eastAsia" w:ascii="宋体" w:hAnsi="Calibri" w:eastAsia="宋体" w:cs="Times New Roman"/>
                <w:sz w:val="24"/>
                <w:szCs w:val="24"/>
              </w:rPr>
              <w:t>月   日</w:t>
            </w:r>
          </w:p>
        </w:tc>
      </w:tr>
    </w:tbl>
    <w:p>
      <w:pPr>
        <w:widowControl w:val="0"/>
        <w:numPr>
          <w:ilvl w:val="0"/>
          <w:numId w:val="0"/>
        </w:numPr>
        <w:tabs>
          <w:tab w:val="left" w:pos="993"/>
        </w:tabs>
        <w:spacing w:line="288" w:lineRule="auto"/>
        <w:ind w:left="426" w:leftChars="0"/>
        <w:jc w:val="both"/>
        <w:rPr>
          <w:rFonts w:hint="default" w:ascii="宋体" w:hAnsi="Times New Roman" w:eastAsia="宋体" w:cs="Times New Roman"/>
          <w:b/>
          <w:kern w:val="2"/>
          <w:sz w:val="24"/>
          <w:szCs w:val="24"/>
          <w:lang w:val="en-US" w:eastAsia="zh-CN" w:bidi="ar-SA"/>
        </w:rPr>
      </w:pPr>
    </w:p>
    <w:p>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1"/>
        <w:lang w:val="en-US" w:eastAsia="zh-CN" w:bidi="ar-SA"/>
      </w:rPr>
      <w:fldChar w:fldCharType="begin"/>
    </w:r>
    <w:r>
      <w:rPr>
        <w:rFonts w:ascii="Times New Roman" w:hAnsi="Times New Roman" w:eastAsia="宋体" w:cs="Times New Roman"/>
        <w:kern w:val="2"/>
        <w:sz w:val="21"/>
        <w:lang w:val="en-US" w:eastAsia="zh-CN" w:bidi="ar-SA"/>
      </w:rPr>
      <w:instrText xml:space="preserve">PAGE  </w:instrText>
    </w:r>
    <w:r>
      <w:rPr>
        <w:rFonts w:ascii="Times New Roman" w:hAnsi="Times New Roman" w:eastAsia="宋体" w:cs="Times New Roman"/>
        <w:kern w:val="2"/>
        <w:sz w:val="21"/>
        <w:lang w:val="en-US" w:eastAsia="zh-CN" w:bidi="ar-SA"/>
      </w:rPr>
      <w:fldChar w:fldCharType="separate"/>
    </w:r>
    <w:r>
      <w:rPr>
        <w:rFonts w:ascii="Times New Roman" w:hAnsi="Times New Roman" w:eastAsia="宋体" w:cs="Times New Roman"/>
        <w:kern w:val="2"/>
        <w:sz w:val="21"/>
        <w:lang w:val="en-US" w:eastAsia="zh-CN" w:bidi="ar-SA"/>
      </w:rPr>
      <w:t>2</w:t>
    </w:r>
    <w:r>
      <w:rPr>
        <w:rFonts w:ascii="Times New Roman" w:hAnsi="Times New Roman" w:eastAsia="宋体" w:cs="Times New Roman"/>
        <w:kern w:val="2"/>
        <w:sz w:val="21"/>
        <w:lang w:val="en-US" w:eastAsia="zh-CN" w:bidi="ar-SA"/>
      </w:rPr>
      <w:fldChar w:fldCharType="end"/>
    </w:r>
  </w:p>
  <w:p>
    <w:pPr>
      <w:widowControl w:val="0"/>
      <w:tabs>
        <w:tab w:val="center" w:pos="4153"/>
        <w:tab w:val="right" w:pos="8306"/>
      </w:tabs>
      <w:snapToGrid w:val="0"/>
      <w:jc w:val="center"/>
      <w:rPr>
        <w:rFonts w:ascii="Times New Roman" w:hAnsi="Times New Roman" w:eastAsia="宋体" w:cs="Times New Roman"/>
        <w:kern w:val="2"/>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lang w:val="zh-CN"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06D11"/>
    <w:multiLevelType w:val="multilevel"/>
    <w:tmpl w:val="2D206D11"/>
    <w:lvl w:ilvl="0" w:tentative="0">
      <w:start w:val="1"/>
      <w:numFmt w:val="decimal"/>
      <w:lvlText w:val="%1、"/>
      <w:lvlJc w:val="left"/>
      <w:pPr>
        <w:tabs>
          <w:tab w:val="left" w:pos="1140"/>
        </w:tabs>
        <w:ind w:left="1140" w:hanging="720"/>
      </w:pPr>
      <w:rPr>
        <w:rFonts w:hint="default"/>
      </w:rPr>
    </w:lvl>
    <w:lvl w:ilvl="1" w:tentative="0">
      <w:start w:val="3"/>
      <w:numFmt w:val="decimal"/>
      <w:lvlText w:val="（%2）"/>
      <w:lvlJc w:val="left"/>
      <w:pPr>
        <w:ind w:left="1560" w:hanging="720"/>
      </w:pPr>
      <w:rPr>
        <w:rFonts w:hint="default"/>
        <w:lang w:val="en-U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2015846"/>
    <w:multiLevelType w:val="multilevel"/>
    <w:tmpl w:val="42015846"/>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AEC58FC"/>
    <w:multiLevelType w:val="multilevel"/>
    <w:tmpl w:val="5AEC58FC"/>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ECA2942"/>
    <w:multiLevelType w:val="multilevel"/>
    <w:tmpl w:val="5ECA2942"/>
    <w:lvl w:ilvl="0" w:tentative="0">
      <w:start w:val="6"/>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66F751AA"/>
    <w:multiLevelType w:val="multilevel"/>
    <w:tmpl w:val="66F751AA"/>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WQ3YTAxNWE0MmJlY2EwMzNiMjJiNzdlYmIxODIifQ=="/>
    <w:docVar w:name="KSO_WPS_MARK_KEY" w:val="0affdd08-402e-45c9-bfb7-66a8afcba33d"/>
  </w:docVars>
  <w:rsids>
    <w:rsidRoot w:val="359C5711"/>
    <w:rsid w:val="359C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2024-09-03T01:13:00Z</dcterms:created>
  <dc:creator>user</dc:creator>
  <cp:lastModifiedBy>user</cp:lastModifiedBy>
  <dcterms:modified xsi:type="dcterms:W3CDTF">2024-09-03T01:14:08Z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4942FE23DD7543F485930461F1F211A0</vt:lpwstr>
  </property>
</Properties>
</file>