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LCCQJJ20240902</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9月2日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8月28日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9月1日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7CB8415">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屋面光伏储能利用及光储充检一体化项目咨询服务采购项目</w:t>
      </w:r>
      <w:r>
        <w:rPr>
          <w:rFonts w:hint="eastAsia" w:asciiTheme="minorEastAsia" w:hAnsiTheme="minorEastAsia" w:eastAsiaTheme="minorEastAsia" w:cstheme="minorEastAsia"/>
          <w:color w:val="0000FF"/>
          <w:sz w:val="24"/>
          <w:szCs w:val="24"/>
          <w:highlight w:val="none"/>
        </w:rPr>
        <w:t>。</w:t>
      </w:r>
    </w:p>
    <w:p w14:paraId="5A1DB78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2.项目咨询范围：</w:t>
      </w:r>
      <w:r>
        <w:rPr>
          <w:rFonts w:hint="eastAsia" w:asciiTheme="minorEastAsia" w:hAnsiTheme="minorEastAsia" w:eastAsiaTheme="minorEastAsia" w:cstheme="minorEastAsia"/>
          <w:color w:val="0000FF"/>
          <w:kern w:val="2"/>
          <w:sz w:val="24"/>
          <w:szCs w:val="24"/>
          <w:highlight w:val="none"/>
          <w:u w:val="none"/>
          <w:lang w:val="en-US" w:eastAsia="zh-CN"/>
        </w:rPr>
        <w:t>助力数字化光伏电站的开发建设与运营，以及实现智慧能源管理，购买数字化光伏咨询服务新能源专业人员咨询服务。</w:t>
      </w:r>
    </w:p>
    <w:p w14:paraId="4CD214C3">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w:t>
      </w:r>
      <w:r>
        <w:rPr>
          <w:rFonts w:hint="eastAsia" w:asciiTheme="minorEastAsia" w:hAnsiTheme="minorEastAsia" w:eastAsiaTheme="minorEastAsia" w:cstheme="minorEastAsia"/>
          <w:color w:val="0000FF"/>
          <w:kern w:val="2"/>
          <w:sz w:val="24"/>
          <w:szCs w:val="24"/>
          <w:highlight w:val="none"/>
          <w:u w:val="none"/>
          <w:lang w:val="en-US" w:eastAsia="zh-CN"/>
        </w:rPr>
        <w:t>60000元（含税费、管理费、差旅费等）。</w:t>
      </w:r>
    </w:p>
    <w:p w14:paraId="169BAC4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4.咨询服务要求及服务方式：</w:t>
      </w:r>
    </w:p>
    <w:p w14:paraId="30FC34E3">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4.1咨询服务内容：</w:t>
      </w:r>
    </w:p>
    <w:p w14:paraId="14A4E9CA">
      <w:pPr>
        <w:widowControl/>
        <w:numPr>
          <w:ilvl w:val="0"/>
          <w:numId w:val="1"/>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成交人应基于自身优势，向委托人提供“数字化光伏及光储充检一站式解决方案”咨询服务，推动委托人实现光伏电站全流程开发建设与数字化管理运营。服务内容包含(但不限于)光伏电站数字化过程中的项目探勘咨询、技术方案和审核咨询、光伏项目质量管理咨询、协助委托人建立工程标准资料，以及电站建成后的数据调试、智慧能源管理平台接入、智慧能源管理平台的相关数据管理(包含但不限于资产管理、结算管理、增值收益管理等)等内容。</w:t>
      </w:r>
    </w:p>
    <w:p w14:paraId="443D1610">
      <w:pPr>
        <w:widowControl/>
        <w:numPr>
          <w:ilvl w:val="0"/>
          <w:numId w:val="1"/>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.成交人应协助委托人完成不低于 5 兆瓦容量的数字化光伏电站及光储充检一体化项目,并向委托人提供智慧管理平台【专业版】一年免费试用期(不包含硬件及安装调试费用)，试用时间自单个光伏电站并网发电及数字化归集之日起计算。</w:t>
      </w:r>
    </w:p>
    <w:p w14:paraId="1006D6BC">
      <w:pPr>
        <w:widowControl/>
        <w:numPr>
          <w:ilvl w:val="0"/>
          <w:numId w:val="1"/>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成交人应发挥在“数字化电站开发、智慧能源应用、低碳示范园区开发、其他工商业新能源应用、能源聚合服务、VPP虚拟电厂、碳交易”等领域的成熟技术优势，响应委托人各类技术需求，助力委托人实现光伏电站经济收益和社会效益最大化。</w:t>
      </w:r>
    </w:p>
    <w:p w14:paraId="28F22777">
      <w:pPr>
        <w:widowControl/>
        <w:numPr>
          <w:ilvl w:val="0"/>
          <w:numId w:val="1"/>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.咨询服务清单内容详见附件1。</w:t>
      </w:r>
    </w:p>
    <w:p w14:paraId="6E1BEDDC">
      <w:pPr>
        <w:widowControl/>
        <w:numPr>
          <w:ilvl w:val="0"/>
          <w:numId w:val="0"/>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4.2服务方式</w:t>
      </w:r>
    </w:p>
    <w:p w14:paraId="5D25BA52">
      <w:pPr>
        <w:widowControl/>
        <w:numPr>
          <w:ilvl w:val="0"/>
          <w:numId w:val="2"/>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.成交人通过（包含但不限于）远程指导、线上会议、现场协助、线下培训、组织到其他平台公司学习以及到公司生产基地培训等多种形式，向委托人提供培训赋能咨询服务，其中专场线下培训不少于2场。</w:t>
      </w:r>
    </w:p>
    <w:p w14:paraId="539CE1F9">
      <w:pPr>
        <w:widowControl/>
        <w:numPr>
          <w:ilvl w:val="0"/>
          <w:numId w:val="2"/>
        </w:numPr>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.双方建立互访联络机制，双方高层人员不定期互访、管理层定期交流及专业技术人员定期沟通，及时通报合作进展情况，协商解决发展中的有关问题。建立项目专项工作组，共同促进有关项目的顺利实施。</w:t>
      </w:r>
    </w:p>
    <w:p w14:paraId="7F9B5192">
      <w:pPr>
        <w:pStyle w:val="4"/>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（3）.根据项目进程，在关键节点和重要事项开展过程中，成交人应根据委托人要求派咨询人员到现场服务提供相应服务。</w:t>
      </w:r>
    </w:p>
    <w:p w14:paraId="6140E549">
      <w:pPr>
        <w:pStyle w:val="4"/>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（4）.委托人负责提供进场需要的相关手续，包括但不限于:进出需要的各项准入审批、配电间的进出、各类证件的办理，协调因需要的所在区域的停电、取电等各项工作,提供临时办公场所(如需)。</w:t>
      </w:r>
    </w:p>
    <w:p w14:paraId="307C18C6">
      <w:pPr>
        <w:pStyle w:val="4"/>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5、服务期限：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签订合同之日起至协助委托人完成不低于5兆瓦数字化光伏电站建设及5MW数字化平台（含光储充检一体化站）的试用接入之日止。</w:t>
      </w:r>
    </w:p>
    <w:p w14:paraId="0E023F40">
      <w:pPr>
        <w:pStyle w:val="4"/>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6、付款方式：</w:t>
      </w:r>
      <w:r>
        <w:rPr>
          <w:rFonts w:hint="eastAsia" w:asciiTheme="minorEastAsia" w:hAnsiTheme="minorEastAsia" w:eastAsiaTheme="minorEastAsia" w:cstheme="minorEastAsia"/>
          <w:b w:val="0"/>
          <w:bCs w:val="0"/>
          <w:color w:val="auto"/>
          <w:kern w:val="2"/>
          <w:sz w:val="24"/>
          <w:szCs w:val="24"/>
          <w:highlight w:val="none"/>
          <w:lang w:val="en-US" w:eastAsia="zh-CN" w:bidi="ar-SA"/>
        </w:rPr>
        <w:t>按合同约定方式支付。</w:t>
      </w:r>
    </w:p>
    <w:p w14:paraId="511E6ADB">
      <w:pPr>
        <w:pStyle w:val="4"/>
        <w:spacing w:line="360" w:lineRule="auto"/>
        <w:ind w:firstLine="482" w:firstLineChars="200"/>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7.报价说明：</w:t>
      </w:r>
      <w:r>
        <w:rPr>
          <w:rFonts w:hint="eastAsia" w:asciiTheme="minorEastAsia" w:hAnsiTheme="minorEastAsia" w:eastAsiaTheme="minorEastAsia" w:cstheme="minorEastAsia"/>
          <w:b/>
          <w:bCs/>
          <w:color w:val="0000FF"/>
          <w:kern w:val="2"/>
          <w:sz w:val="24"/>
          <w:szCs w:val="24"/>
          <w:highlight w:val="none"/>
          <w:u w:val="single"/>
          <w:lang w:val="en-US" w:eastAsia="zh-CN" w:bidi="ar-SA"/>
        </w:rPr>
        <w:t>本次采购要求供应商以服务费总价进行报价，超出60000元的作为无效报价，</w:t>
      </w:r>
      <w:r>
        <w:rPr>
          <w:rFonts w:hint="eastAsia" w:asciiTheme="minorEastAsia" w:hAnsiTheme="minorEastAsia" w:eastAsiaTheme="minorEastAsia" w:cstheme="minorEastAsia"/>
          <w:b/>
          <w:bCs/>
          <w:color w:val="0000FF"/>
          <w:kern w:val="2"/>
          <w:sz w:val="24"/>
          <w:szCs w:val="24"/>
          <w:highlight w:val="none"/>
          <w:u w:val="none"/>
          <w:lang w:val="en-US" w:eastAsia="zh-CN" w:bidi="ar-SA"/>
        </w:rPr>
        <w:t>填报最低的竞价人作为本项目成交人。</w:t>
      </w:r>
    </w:p>
    <w:p w14:paraId="28C6EA7B">
      <w:pPr>
        <w:pStyle w:val="4"/>
        <w:spacing w:line="360" w:lineRule="auto"/>
        <w:ind w:firstLine="482" w:firstLineChars="200"/>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8.特别提示：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竞价者必须具有履行合同所必需的能力，须提供履约专项承诺书。</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2024年9月1日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竞价人应以</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服务费总价进行报价，超出60000元的作为无效报价，填报最低的竞价人作为本项目成交人。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74FC0027">
      <w:pPr>
        <w:widowControl/>
        <w:shd w:val="clear"/>
        <w:wordWrap/>
        <w:snapToGrid/>
        <w:spacing w:before="0" w:line="360" w:lineRule="auto"/>
        <w:ind w:firstLine="480" w:firstLineChars="200"/>
        <w:jc w:val="right"/>
      </w:pPr>
      <w:r>
        <w:rPr>
          <w:rFonts w:hint="eastAsia" w:asciiTheme="minorEastAsia" w:hAnsiTheme="minorEastAsia" w:eastAsiaTheme="minorEastAsia" w:cstheme="minorEastAsia"/>
          <w:color w:val="0000FF"/>
          <w:kern w:val="2"/>
          <w:sz w:val="24"/>
          <w:szCs w:val="24"/>
          <w:highlight w:val="none"/>
          <w:shd w:val="clear"/>
          <w:lang w:val="en-US" w:eastAsia="zh-CN"/>
        </w:rPr>
        <w:t>2024年8月27日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3CE84"/>
    <w:multiLevelType w:val="singleLevel"/>
    <w:tmpl w:val="C4E3CE84"/>
    <w:lvl w:ilvl="0" w:tentative="0">
      <w:start w:val="1"/>
      <w:numFmt w:val="decimal"/>
      <w:suff w:val="nothing"/>
      <w:lvlText w:val="（%1）"/>
      <w:lvlJc w:val="left"/>
    </w:lvl>
  </w:abstractNum>
  <w:abstractNum w:abstractNumId="1">
    <w:nsid w:val="CC338E86"/>
    <w:multiLevelType w:val="singleLevel"/>
    <w:tmpl w:val="CC338E8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9C517E1"/>
    <w:rsid w:val="29C5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Arial"/>
      <w:kern w:val="2"/>
      <w:sz w:val="21"/>
      <w:szCs w:val="20"/>
      <w:lang w:val="en-US" w:eastAsia="zh-CN" w:bidi="ar-SA"/>
    </w:rPr>
  </w:style>
  <w:style w:type="paragraph" w:styleId="3">
    <w:name w:val="Normal (Web)"/>
    <w:next w:val="4"/>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2024-08-27T07:55:00Z</dcterms:created>
  <dc:creator>土豆排骨的滋味</dc:creator>
  <cp:lastModifiedBy>土豆排骨的滋味</cp:lastModifiedBy>
  <dcterms:modified xsi:type="dcterms:W3CDTF">2024-08-27T07:57:07Z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2DAE194D54C34368BBFC4A4B104344C6_11</vt:lpwstr>
  </property>
</Properties>
</file>