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64F6E5">
      <w:pPr>
        <w:widowControl/>
        <w:shd w:val="clear"/>
        <w:snapToGrid/>
        <w:spacing w:before="0" w:line="360" w:lineRule="auto"/>
        <w:ind w:left="0" w:firstLine="560" w:firstLineChars="200"/>
        <w:jc w:val="center"/>
        <w:rPr>
          <w:rFonts w:hint="eastAsia" w:asciiTheme="minorEastAsia" w:hAnsiTheme="minorEastAsia" w:eastAsiaTheme="minorEastAsia" w:cstheme="minorEastAsia"/>
          <w:b/>
          <w:bCs/>
          <w:color w:val="auto"/>
          <w:sz w:val="24"/>
          <w:szCs w:val="24"/>
          <w:highlight w:val="none"/>
        </w:rPr>
      </w:pPr>
      <w:r>
        <w:rPr>
          <w:rFonts w:hint="eastAsia" w:ascii="方正小标宋简体" w:hAnsi="方正小标宋简体" w:eastAsia="方正小标宋简体" w:cs="方正小标宋简体"/>
          <w:b w:val="0"/>
          <w:bCs w:val="0"/>
          <w:color w:val="auto"/>
          <w:kern w:val="2"/>
          <w:sz w:val="28"/>
          <w:szCs w:val="28"/>
          <w:highlight w:val="none"/>
        </w:rPr>
        <w:t>网络竞价须知</w:t>
      </w:r>
    </w:p>
    <w:p w14:paraId="7BC1977E">
      <w:pPr>
        <w:widowControl/>
        <w:shd w:val="clear"/>
        <w:snapToGrid/>
        <w:spacing w:before="0" w:line="360" w:lineRule="auto"/>
        <w:ind w:left="0"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2"/>
          <w:sz w:val="24"/>
          <w:szCs w:val="24"/>
          <w:highlight w:val="none"/>
          <w:shd w:val="clear"/>
        </w:rPr>
        <w:t>（项目编号:</w:t>
      </w:r>
      <w:r>
        <w:rPr>
          <w:rFonts w:hint="eastAsia" w:asciiTheme="minorEastAsia" w:hAnsiTheme="minorEastAsia" w:eastAsiaTheme="minorEastAsia" w:cstheme="minorEastAsia"/>
          <w:b w:val="0"/>
          <w:bCs w:val="0"/>
          <w:color w:val="0000FF"/>
          <w:kern w:val="2"/>
          <w:sz w:val="24"/>
          <w:szCs w:val="24"/>
          <w:highlight w:val="none"/>
          <w:shd w:val="clear"/>
          <w:lang w:eastAsia="zh-CN"/>
        </w:rPr>
        <w:t>LCCQJJ20240730</w:t>
      </w:r>
      <w:r>
        <w:rPr>
          <w:rFonts w:hint="eastAsia" w:asciiTheme="minorEastAsia" w:hAnsiTheme="minorEastAsia" w:eastAsiaTheme="minorEastAsia" w:cstheme="minorEastAsia"/>
          <w:b w:val="0"/>
          <w:bCs w:val="0"/>
          <w:color w:val="auto"/>
          <w:kern w:val="2"/>
          <w:sz w:val="24"/>
          <w:szCs w:val="24"/>
          <w:highlight w:val="none"/>
          <w:shd w:val="clear"/>
        </w:rPr>
        <w:t>）</w:t>
      </w:r>
    </w:p>
    <w:p w14:paraId="17A918D0">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连城县国有资产产权交易服务有限公司</w:t>
      </w:r>
      <w:r>
        <w:rPr>
          <w:rFonts w:hint="eastAsia" w:asciiTheme="minorEastAsia" w:hAnsiTheme="minorEastAsia" w:eastAsiaTheme="minorEastAsia" w:cstheme="minorEastAsia"/>
          <w:color w:val="auto"/>
          <w:kern w:val="2"/>
          <w:sz w:val="24"/>
          <w:szCs w:val="24"/>
          <w:highlight w:val="none"/>
          <w:shd w:val="clear"/>
        </w:rPr>
        <w:t>（以下简称本公司）遵循“公开、公平、公正、诚实信用”的原则，依照国家法律、法规、政策为本次竞价活动提供服务。现将有关竞价事项告知如下：</w:t>
      </w:r>
    </w:p>
    <w:p w14:paraId="6EEE083C">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一、公开竞价、报名时间、地点</w:t>
      </w:r>
    </w:p>
    <w:p w14:paraId="78038B75">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竞价时间：</w:t>
      </w:r>
      <w:r>
        <w:rPr>
          <w:rFonts w:hint="eastAsia" w:asciiTheme="minorEastAsia" w:hAnsiTheme="minorEastAsia" w:eastAsiaTheme="minorEastAsia" w:cstheme="minorEastAsia"/>
          <w:color w:val="auto"/>
          <w:kern w:val="2"/>
          <w:sz w:val="24"/>
          <w:szCs w:val="24"/>
          <w:highlight w:val="none"/>
          <w:shd w:val="clear"/>
          <w:lang w:eastAsia="zh-CN"/>
        </w:rPr>
        <w:t>2024年</w:t>
      </w:r>
      <w:r>
        <w:rPr>
          <w:rFonts w:hint="eastAsia" w:asciiTheme="minorEastAsia" w:hAnsiTheme="minorEastAsia" w:eastAsiaTheme="minorEastAsia" w:cstheme="minorEastAsia"/>
          <w:color w:val="0000FF"/>
          <w:kern w:val="2"/>
          <w:sz w:val="24"/>
          <w:szCs w:val="24"/>
          <w:highlight w:val="none"/>
          <w:shd w:val="clear"/>
          <w:lang w:val="en-US" w:eastAsia="zh-CN"/>
        </w:rPr>
        <w:t>7月30日</w:t>
      </w:r>
      <w:r>
        <w:rPr>
          <w:rFonts w:hint="eastAsia" w:asciiTheme="minorEastAsia" w:hAnsiTheme="minorEastAsia" w:eastAsiaTheme="minorEastAsia" w:cstheme="minorEastAsia"/>
          <w:color w:val="auto"/>
          <w:kern w:val="2"/>
          <w:sz w:val="24"/>
          <w:szCs w:val="24"/>
          <w:highlight w:val="none"/>
          <w:shd w:val="clear"/>
        </w:rPr>
        <w:t>9:30开始至9:50止（20分钟）。</w:t>
      </w:r>
    </w:p>
    <w:p w14:paraId="34AC23DD">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竞价地点</w:t>
      </w:r>
      <w:r>
        <w:rPr>
          <w:rFonts w:hint="eastAsia" w:asciiTheme="minorEastAsia" w:hAnsiTheme="minorEastAsia" w:eastAsiaTheme="minorEastAsia" w:cstheme="minorEastAsia"/>
          <w:color w:val="auto"/>
          <w:spacing w:val="0"/>
          <w:kern w:val="2"/>
          <w:sz w:val="24"/>
          <w:szCs w:val="24"/>
          <w:highlight w:val="none"/>
          <w:shd w:val="clear"/>
        </w:rPr>
        <w:t>：</w:t>
      </w:r>
      <w:r>
        <w:rPr>
          <w:rFonts w:hint="eastAsia" w:asciiTheme="minorEastAsia" w:hAnsiTheme="minorEastAsia" w:eastAsiaTheme="minorEastAsia" w:cstheme="minorEastAsia"/>
          <w:color w:val="auto"/>
          <w:kern w:val="2"/>
          <w:sz w:val="24"/>
          <w:szCs w:val="24"/>
          <w:highlight w:val="none"/>
          <w:shd w:val="clear"/>
        </w:rPr>
        <w:t>权益云交易平台或微信公众号“权益云交易平台”</w:t>
      </w:r>
    </w:p>
    <w:p w14:paraId="395C8268">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报名时间：</w:t>
      </w:r>
      <w:r>
        <w:rPr>
          <w:rFonts w:hint="eastAsia" w:asciiTheme="minorEastAsia" w:hAnsiTheme="minorEastAsia" w:eastAsiaTheme="minorEastAsia" w:cstheme="minorEastAsia"/>
          <w:color w:val="auto"/>
          <w:kern w:val="2"/>
          <w:sz w:val="24"/>
          <w:szCs w:val="24"/>
          <w:highlight w:val="none"/>
          <w:shd w:val="clear"/>
          <w:lang w:eastAsia="zh-CN"/>
        </w:rPr>
        <w:t>202</w:t>
      </w:r>
      <w:r>
        <w:rPr>
          <w:rFonts w:hint="eastAsia" w:asciiTheme="minorEastAsia" w:hAnsiTheme="minorEastAsia" w:eastAsiaTheme="minorEastAsia" w:cstheme="minorEastAsia"/>
          <w:color w:val="auto"/>
          <w:kern w:val="2"/>
          <w:sz w:val="24"/>
          <w:szCs w:val="24"/>
          <w:highlight w:val="none"/>
          <w:shd w:val="clear"/>
          <w:lang w:val="en-US" w:eastAsia="zh-CN"/>
        </w:rPr>
        <w:t>4</w:t>
      </w:r>
      <w:r>
        <w:rPr>
          <w:rFonts w:hint="eastAsia" w:asciiTheme="minorEastAsia" w:hAnsiTheme="minorEastAsia" w:eastAsiaTheme="minorEastAsia" w:cstheme="minorEastAsia"/>
          <w:color w:val="auto"/>
          <w:kern w:val="2"/>
          <w:sz w:val="24"/>
          <w:szCs w:val="24"/>
          <w:highlight w:val="none"/>
          <w:shd w:val="clear"/>
          <w:lang w:eastAsia="zh-CN"/>
        </w:rPr>
        <w:t>年</w:t>
      </w:r>
      <w:r>
        <w:rPr>
          <w:rFonts w:hint="eastAsia" w:asciiTheme="minorEastAsia" w:hAnsiTheme="minorEastAsia" w:eastAsiaTheme="minorEastAsia" w:cstheme="minorEastAsia"/>
          <w:color w:val="0000FF"/>
          <w:kern w:val="2"/>
          <w:sz w:val="24"/>
          <w:szCs w:val="24"/>
          <w:highlight w:val="none"/>
          <w:shd w:val="clear"/>
          <w:lang w:val="en-US" w:eastAsia="zh-CN"/>
        </w:rPr>
        <w:t>7月25日</w:t>
      </w:r>
      <w:r>
        <w:rPr>
          <w:rFonts w:hint="eastAsia" w:asciiTheme="minorEastAsia" w:hAnsiTheme="minorEastAsia" w:eastAsiaTheme="minorEastAsia" w:cstheme="minorEastAsia"/>
          <w:color w:val="auto"/>
          <w:kern w:val="2"/>
          <w:sz w:val="24"/>
          <w:szCs w:val="24"/>
          <w:highlight w:val="none"/>
          <w:shd w:val="clear"/>
        </w:rPr>
        <w:t>至</w:t>
      </w:r>
      <w:r>
        <w:rPr>
          <w:rFonts w:hint="eastAsia" w:asciiTheme="minorEastAsia" w:hAnsiTheme="minorEastAsia" w:eastAsiaTheme="minorEastAsia" w:cstheme="minorEastAsia"/>
          <w:color w:val="auto"/>
          <w:kern w:val="2"/>
          <w:sz w:val="24"/>
          <w:szCs w:val="24"/>
          <w:highlight w:val="none"/>
          <w:shd w:val="clear"/>
          <w:lang w:eastAsia="zh-CN"/>
        </w:rPr>
        <w:t>202</w:t>
      </w:r>
      <w:r>
        <w:rPr>
          <w:rFonts w:hint="eastAsia" w:asciiTheme="minorEastAsia" w:hAnsiTheme="minorEastAsia" w:eastAsiaTheme="minorEastAsia" w:cstheme="minorEastAsia"/>
          <w:color w:val="auto"/>
          <w:kern w:val="2"/>
          <w:sz w:val="24"/>
          <w:szCs w:val="24"/>
          <w:highlight w:val="none"/>
          <w:shd w:val="clear"/>
          <w:lang w:val="en-US" w:eastAsia="zh-CN"/>
        </w:rPr>
        <w:t>4</w:t>
      </w:r>
      <w:r>
        <w:rPr>
          <w:rFonts w:hint="eastAsia" w:asciiTheme="minorEastAsia" w:hAnsiTheme="minorEastAsia" w:eastAsiaTheme="minorEastAsia" w:cstheme="minorEastAsia"/>
          <w:color w:val="auto"/>
          <w:kern w:val="2"/>
          <w:sz w:val="24"/>
          <w:szCs w:val="24"/>
          <w:highlight w:val="none"/>
          <w:shd w:val="clear"/>
          <w:lang w:eastAsia="zh-CN"/>
        </w:rPr>
        <w:t>年</w:t>
      </w:r>
      <w:r>
        <w:rPr>
          <w:rFonts w:hint="eastAsia" w:asciiTheme="minorEastAsia" w:hAnsiTheme="minorEastAsia" w:eastAsiaTheme="minorEastAsia" w:cstheme="minorEastAsia"/>
          <w:color w:val="0000FF"/>
          <w:kern w:val="2"/>
          <w:sz w:val="24"/>
          <w:szCs w:val="24"/>
          <w:highlight w:val="none"/>
          <w:shd w:val="clear"/>
          <w:lang w:val="en-US" w:eastAsia="zh-CN"/>
        </w:rPr>
        <w:t>7月29日</w:t>
      </w:r>
      <w:r>
        <w:rPr>
          <w:rFonts w:hint="eastAsia" w:asciiTheme="minorEastAsia" w:hAnsiTheme="minorEastAsia" w:eastAsiaTheme="minorEastAsia" w:cstheme="minorEastAsia"/>
          <w:color w:val="0000FF"/>
          <w:kern w:val="2"/>
          <w:sz w:val="24"/>
          <w:szCs w:val="24"/>
          <w:highlight w:val="none"/>
          <w:shd w:val="clear"/>
        </w:rPr>
        <w:t>17时</w:t>
      </w:r>
      <w:r>
        <w:rPr>
          <w:rFonts w:hint="eastAsia" w:asciiTheme="minorEastAsia" w:hAnsiTheme="minorEastAsia" w:eastAsiaTheme="minorEastAsia" w:cstheme="minorEastAsia"/>
          <w:color w:val="auto"/>
          <w:kern w:val="2"/>
          <w:sz w:val="24"/>
          <w:szCs w:val="24"/>
          <w:highlight w:val="none"/>
          <w:shd w:val="clear"/>
        </w:rPr>
        <w:t>(节假日除外)</w:t>
      </w:r>
    </w:p>
    <w:p w14:paraId="159EFDBE">
      <w:pPr>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报名地点：福建省龙岩市连城县莲峰镇李彭村彭坊桥路1号4层</w:t>
      </w:r>
    </w:p>
    <w:p w14:paraId="5478B819">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lang w:eastAsia="zh-CN"/>
        </w:rPr>
      </w:pPr>
      <w:r>
        <w:rPr>
          <w:rFonts w:hint="eastAsia" w:asciiTheme="minorEastAsia" w:hAnsiTheme="minorEastAsia" w:eastAsiaTheme="minorEastAsia" w:cstheme="minorEastAsia"/>
          <w:color w:val="auto"/>
          <w:sz w:val="24"/>
          <w:szCs w:val="24"/>
          <w:highlight w:val="none"/>
          <w:shd w:val="clear"/>
        </w:rPr>
        <w:t>联系电话：</w:t>
      </w:r>
      <w:r>
        <w:rPr>
          <w:rFonts w:hint="eastAsia" w:asciiTheme="minorEastAsia" w:hAnsiTheme="minorEastAsia" w:eastAsiaTheme="minorEastAsia" w:cstheme="minorEastAsia"/>
          <w:color w:val="auto"/>
          <w:sz w:val="24"/>
          <w:szCs w:val="24"/>
          <w:highlight w:val="none"/>
          <w:shd w:val="clear"/>
          <w:lang w:eastAsia="zh-CN"/>
        </w:rPr>
        <w:t>18039848961</w:t>
      </w:r>
    </w:p>
    <w:p w14:paraId="3A1D20CA">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二</w:t>
      </w:r>
      <w:r>
        <w:rPr>
          <w:rFonts w:hint="eastAsia" w:asciiTheme="minorEastAsia" w:hAnsiTheme="minorEastAsia" w:eastAsiaTheme="minorEastAsia" w:cstheme="minorEastAsia"/>
          <w:b/>
          <w:bCs/>
          <w:color w:val="auto"/>
          <w:sz w:val="24"/>
          <w:szCs w:val="24"/>
          <w:highlight w:val="none"/>
        </w:rPr>
        <w:t>、项目</w:t>
      </w:r>
      <w:r>
        <w:rPr>
          <w:rFonts w:hint="eastAsia" w:asciiTheme="minorEastAsia" w:hAnsiTheme="minorEastAsia" w:eastAsiaTheme="minorEastAsia" w:cstheme="minorEastAsia"/>
          <w:b/>
          <w:bCs/>
          <w:color w:val="auto"/>
          <w:sz w:val="24"/>
          <w:szCs w:val="24"/>
          <w:highlight w:val="none"/>
          <w:lang w:eastAsia="zh-CN"/>
        </w:rPr>
        <w:t>概况</w:t>
      </w:r>
      <w:r>
        <w:rPr>
          <w:rFonts w:hint="eastAsia" w:asciiTheme="minorEastAsia" w:hAnsiTheme="minorEastAsia" w:eastAsiaTheme="minorEastAsia" w:cstheme="minorEastAsia"/>
          <w:b/>
          <w:bCs/>
          <w:color w:val="auto"/>
          <w:sz w:val="24"/>
          <w:szCs w:val="24"/>
          <w:highlight w:val="none"/>
        </w:rPr>
        <w:t>及</w:t>
      </w:r>
      <w:r>
        <w:rPr>
          <w:rFonts w:hint="eastAsia" w:asciiTheme="minorEastAsia" w:hAnsiTheme="minorEastAsia" w:eastAsiaTheme="minorEastAsia" w:cstheme="minorEastAsia"/>
          <w:b/>
          <w:bCs/>
          <w:color w:val="auto"/>
          <w:sz w:val="24"/>
          <w:szCs w:val="24"/>
          <w:highlight w:val="none"/>
          <w:lang w:val="en-US" w:eastAsia="zh-CN"/>
        </w:rPr>
        <w:t>合同</w:t>
      </w:r>
      <w:r>
        <w:rPr>
          <w:rFonts w:hint="eastAsia" w:asciiTheme="minorEastAsia" w:hAnsiTheme="minorEastAsia" w:eastAsiaTheme="minorEastAsia" w:cstheme="minorEastAsia"/>
          <w:b/>
          <w:bCs/>
          <w:color w:val="auto"/>
          <w:sz w:val="24"/>
          <w:szCs w:val="24"/>
          <w:highlight w:val="none"/>
        </w:rPr>
        <w:t>要求</w:t>
      </w:r>
    </w:p>
    <w:p w14:paraId="57B023F2">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color w:val="0000FF"/>
          <w:sz w:val="24"/>
          <w:szCs w:val="24"/>
          <w:highlight w:val="none"/>
        </w:rPr>
      </w:pPr>
      <w:r>
        <w:rPr>
          <w:rFonts w:hint="eastAsia" w:asciiTheme="minorEastAsia" w:hAnsiTheme="minorEastAsia" w:eastAsiaTheme="minorEastAsia" w:cstheme="minorEastAsia"/>
          <w:b/>
          <w:bCs/>
          <w:color w:val="auto"/>
          <w:sz w:val="24"/>
          <w:szCs w:val="24"/>
          <w:highlight w:val="none"/>
        </w:rPr>
        <w:t>1.项目名称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0000FF"/>
          <w:kern w:val="2"/>
          <w:sz w:val="24"/>
          <w:szCs w:val="24"/>
          <w:highlight w:val="none"/>
          <w:u w:val="none"/>
          <w:lang w:eastAsia="zh-CN"/>
        </w:rPr>
        <w:t>福建连城国有投资集团有限公司双重预防数字化系统建设（二次）</w:t>
      </w:r>
      <w:r>
        <w:rPr>
          <w:rFonts w:hint="eastAsia" w:asciiTheme="minorEastAsia" w:hAnsiTheme="minorEastAsia" w:eastAsiaTheme="minorEastAsia" w:cstheme="minorEastAsia"/>
          <w:color w:val="0000FF"/>
          <w:sz w:val="24"/>
          <w:szCs w:val="24"/>
          <w:highlight w:val="none"/>
        </w:rPr>
        <w:t>。</w:t>
      </w:r>
    </w:p>
    <w:p w14:paraId="2B24D1F4">
      <w:pPr>
        <w:pStyle w:val="10"/>
        <w:spacing w:line="360" w:lineRule="auto"/>
        <w:ind w:firstLine="482" w:firstLineChars="200"/>
        <w:rPr>
          <w:rFonts w:hint="default"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2.招标控制价：</w:t>
      </w:r>
      <w:r>
        <w:rPr>
          <w:rFonts w:hint="eastAsia" w:asciiTheme="minorEastAsia" w:hAnsiTheme="minorEastAsia" w:eastAsiaTheme="minorEastAsia" w:cstheme="minorEastAsia"/>
          <w:color w:val="0000FF"/>
          <w:kern w:val="2"/>
          <w:sz w:val="24"/>
          <w:szCs w:val="24"/>
          <w:highlight w:val="none"/>
          <w:u w:val="none"/>
          <w:lang w:val="en-US" w:eastAsia="zh-CN" w:bidi="ar-SA"/>
        </w:rPr>
        <w:t>系统建设服务费：230000元（费用包含线上及线下服务、私有云服务器及三年的系统维护费）。</w:t>
      </w:r>
    </w:p>
    <w:p w14:paraId="34CAAA46">
      <w:pPr>
        <w:pStyle w:val="10"/>
        <w:spacing w:line="360" w:lineRule="auto"/>
        <w:ind w:firstLine="482" w:firstLineChars="200"/>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3.技术服务内容及要求：</w:t>
      </w:r>
    </w:p>
    <w:p w14:paraId="32E4FE1D">
      <w:pPr>
        <w:pStyle w:val="10"/>
        <w:spacing w:line="360" w:lineRule="auto"/>
        <w:ind w:firstLine="482" w:firstLineChars="200"/>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3.1.线下服务：</w:t>
      </w:r>
    </w:p>
    <w:p w14:paraId="318FBBD4">
      <w:pPr>
        <w:pStyle w:val="10"/>
        <w:spacing w:line="360" w:lineRule="auto"/>
        <w:ind w:firstLine="480" w:firstLineChars="200"/>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（1）现场勘查、进行风险辨识、分析、提出整改建议。</w:t>
      </w:r>
    </w:p>
    <w:p w14:paraId="7717BBA3">
      <w:pPr>
        <w:pStyle w:val="10"/>
        <w:spacing w:line="360" w:lineRule="auto"/>
        <w:ind w:firstLine="480" w:firstLineChars="200"/>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（2）编写公司相关安全制度、双重预防相关材料。</w:t>
      </w:r>
    </w:p>
    <w:p w14:paraId="3C4D5149">
      <w:pPr>
        <w:pStyle w:val="10"/>
        <w:spacing w:line="360" w:lineRule="auto"/>
        <w:ind w:firstLine="480" w:firstLineChars="200"/>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（3）现场培训并辅导公司人员使用双重预防系统工具。</w:t>
      </w:r>
    </w:p>
    <w:p w14:paraId="7A40565D">
      <w:pPr>
        <w:pStyle w:val="10"/>
        <w:spacing w:line="360" w:lineRule="auto"/>
        <w:ind w:firstLine="482" w:firstLineChars="200"/>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3.2.线上服务:</w:t>
      </w:r>
    </w:p>
    <w:p w14:paraId="764D9A80">
      <w:pPr>
        <w:pStyle w:val="10"/>
        <w:spacing w:line="360" w:lineRule="auto"/>
        <w:ind w:firstLine="480" w:firstLineChars="200"/>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auto"/>
          <w:kern w:val="2"/>
          <w:sz w:val="24"/>
          <w:szCs w:val="24"/>
          <w:highlight w:val="none"/>
          <w:lang w:val="en-US" w:eastAsia="zh-CN" w:bidi="ar-SA"/>
        </w:rPr>
        <w:t>分级管控与隐患排查治理系统，能有效帮助企业实现风险分级管控，通过组织架构的搭建，实现全员参与隐患排查治理，通过信息化手段提升公司安全管理水平。模块需求：1、基础平台；2、移动应用；3、证件管理；4、层级人员履职；5教育培训；6、作业管理；7、事故管理；8应急管理；9、安全综合管理；10、分级分险管控；11、隐患排查治</w:t>
      </w:r>
      <w:r>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理。</w:t>
      </w: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系统管控</w:t>
      </w:r>
      <w:r>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覆盖范围：集团公司，一级子公司5家，二级子公司9家（其中一家未开展相关业务），未定级子公司34家（其中17家未开展相关业务），投资控股公司一家。具体内容包含：（1）提供安全生产风险分级管控与隐患排查治理系统工具</w:t>
      </w: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（移动端独立A</w:t>
      </w:r>
      <w:r>
        <w:rPr>
          <w:rFonts w:asciiTheme="minorEastAsia" w:hAnsiTheme="minorEastAsia" w:eastAsiaTheme="minorEastAsia" w:cstheme="minorEastAsia"/>
          <w:color w:val="000000" w:themeColor="text1"/>
          <w:kern w:val="2"/>
          <w:sz w:val="24"/>
          <w:szCs w:val="24"/>
          <w14:textFill>
            <w14:solidFill>
              <w14:schemeClr w14:val="tx1"/>
            </w14:solidFill>
          </w14:textFill>
        </w:rPr>
        <w:t>PP</w:t>
      </w: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。（2）提供双重预防监管，企业风险、隐患统计及分布信息一目了</w:t>
      </w:r>
      <w:r>
        <w:rPr>
          <w:rFonts w:hint="eastAsia" w:asciiTheme="minorEastAsia" w:hAnsiTheme="minorEastAsia" w:eastAsiaTheme="minorEastAsia" w:cstheme="minorEastAsia"/>
          <w:b w:val="0"/>
          <w:bCs w:val="0"/>
          <w:color w:val="auto"/>
          <w:kern w:val="2"/>
          <w:sz w:val="24"/>
          <w:szCs w:val="24"/>
          <w:highlight w:val="none"/>
          <w:lang w:val="en-US" w:eastAsia="zh-CN" w:bidi="ar-SA"/>
        </w:rPr>
        <w:t>然。且</w:t>
      </w:r>
      <w:r>
        <w:rPr>
          <w:rFonts w:hint="eastAsia" w:asciiTheme="minorEastAsia" w:hAnsiTheme="minorEastAsia" w:eastAsiaTheme="minorEastAsia" w:cstheme="minorEastAsia"/>
          <w:color w:val="auto"/>
          <w:kern w:val="2"/>
          <w:sz w:val="24"/>
          <w:szCs w:val="24"/>
          <w:highlight w:val="none"/>
          <w:u w:val="none"/>
          <w:lang w:val="en-US" w:eastAsia="zh-CN" w:bidi="ar-SA"/>
        </w:rPr>
        <w:t>须兼容委托人原有的工程软件APP及资产管理系统。</w:t>
      </w:r>
    </w:p>
    <w:p w14:paraId="20117295">
      <w:pPr>
        <w:pStyle w:val="10"/>
        <w:spacing w:line="360" w:lineRule="auto"/>
        <w:ind w:firstLine="482" w:firstLineChars="200"/>
        <w:rPr>
          <w:rFonts w:hint="default"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3.3.采购需求功能清单及实现要求</w:t>
      </w:r>
    </w:p>
    <w:tbl>
      <w:tblPr>
        <w:tblStyle w:val="8"/>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1710"/>
        <w:gridCol w:w="1434"/>
        <w:gridCol w:w="3651"/>
        <w:gridCol w:w="854"/>
      </w:tblGrid>
      <w:tr w14:paraId="2E397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Align w:val="center"/>
          </w:tcPr>
          <w:p w14:paraId="799BDC51">
            <w:pPr>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序号</w:t>
            </w:r>
          </w:p>
        </w:tc>
        <w:tc>
          <w:tcPr>
            <w:tcW w:w="1004" w:type="pct"/>
            <w:vAlign w:val="center"/>
          </w:tcPr>
          <w:p w14:paraId="0684F3A0">
            <w:pPr>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功能模块</w:t>
            </w:r>
          </w:p>
        </w:tc>
        <w:tc>
          <w:tcPr>
            <w:tcW w:w="842" w:type="pct"/>
            <w:vAlign w:val="center"/>
          </w:tcPr>
          <w:p w14:paraId="04D6F45C">
            <w:pPr>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功能点</w:t>
            </w:r>
          </w:p>
        </w:tc>
        <w:tc>
          <w:tcPr>
            <w:tcW w:w="2143" w:type="pct"/>
            <w:vAlign w:val="center"/>
          </w:tcPr>
          <w:p w14:paraId="598DFF47">
            <w:pPr>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功能点简要说明</w:t>
            </w:r>
          </w:p>
        </w:tc>
        <w:tc>
          <w:tcPr>
            <w:tcW w:w="501" w:type="pct"/>
            <w:vAlign w:val="center"/>
          </w:tcPr>
          <w:p w14:paraId="5E2A7275">
            <w:pPr>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备注</w:t>
            </w:r>
          </w:p>
        </w:tc>
      </w:tr>
      <w:tr w14:paraId="2F211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restart"/>
            <w:vAlign w:val="center"/>
          </w:tcPr>
          <w:p w14:paraId="2C7653E2">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w:t>
            </w:r>
          </w:p>
        </w:tc>
        <w:tc>
          <w:tcPr>
            <w:tcW w:w="1004" w:type="pct"/>
            <w:vMerge w:val="restart"/>
            <w:vAlign w:val="center"/>
          </w:tcPr>
          <w:p w14:paraId="2FDC5E24">
            <w:pPr>
              <w:jc w:val="center"/>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基础平台</w:t>
            </w:r>
          </w:p>
        </w:tc>
        <w:tc>
          <w:tcPr>
            <w:tcW w:w="842" w:type="pct"/>
            <w:vAlign w:val="center"/>
          </w:tcPr>
          <w:p w14:paraId="2C633115">
            <w:pPr>
              <w:jc w:val="center"/>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权限管理</w:t>
            </w:r>
          </w:p>
        </w:tc>
        <w:tc>
          <w:tcPr>
            <w:tcW w:w="2143" w:type="pct"/>
            <w:vAlign w:val="center"/>
          </w:tcPr>
          <w:p w14:paraId="4F8FB4FC">
            <w:pP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sz w:val="24"/>
                <w:szCs w:val="24"/>
                <w:lang w:val="en-US" w:eastAsia="zh-CN"/>
              </w:rPr>
              <w:t>构建集团风险组织架构体系，打通垂直管理体系，例如风险与合规管理委员会；支持分级分权，按单位、部门、岗位、层级、角色等维度设置权限。</w:t>
            </w:r>
          </w:p>
        </w:tc>
        <w:tc>
          <w:tcPr>
            <w:tcW w:w="501" w:type="pct"/>
          </w:tcPr>
          <w:p w14:paraId="732A2907">
            <w:pPr>
              <w:jc w:val="both"/>
              <w:rPr>
                <w:rFonts w:hint="eastAsia" w:asciiTheme="minorEastAsia" w:hAnsiTheme="minorEastAsia" w:eastAsiaTheme="minorEastAsia" w:cstheme="minorEastAsia"/>
                <w:b/>
                <w:bCs/>
                <w:sz w:val="24"/>
                <w:szCs w:val="24"/>
                <w:vertAlign w:val="baseline"/>
                <w:lang w:eastAsia="zh-CN"/>
              </w:rPr>
            </w:pPr>
          </w:p>
        </w:tc>
      </w:tr>
      <w:tr w14:paraId="1EE36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1AF37B28">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004" w:type="pct"/>
            <w:vMerge w:val="continue"/>
            <w:vAlign w:val="center"/>
          </w:tcPr>
          <w:p w14:paraId="3B641506">
            <w:pPr>
              <w:jc w:val="center"/>
              <w:rPr>
                <w:rFonts w:hint="eastAsia" w:asciiTheme="minorEastAsia" w:hAnsiTheme="minorEastAsia" w:eastAsiaTheme="minorEastAsia" w:cstheme="minorEastAsia"/>
                <w:b w:val="0"/>
                <w:bCs w:val="0"/>
                <w:sz w:val="24"/>
                <w:szCs w:val="24"/>
                <w:vertAlign w:val="baseline"/>
                <w:lang w:eastAsia="zh-CN"/>
              </w:rPr>
            </w:pPr>
          </w:p>
        </w:tc>
        <w:tc>
          <w:tcPr>
            <w:tcW w:w="842" w:type="pct"/>
            <w:vAlign w:val="center"/>
          </w:tcPr>
          <w:p w14:paraId="76F6188B">
            <w:pPr>
              <w:jc w:val="center"/>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系统设置</w:t>
            </w:r>
          </w:p>
        </w:tc>
        <w:tc>
          <w:tcPr>
            <w:tcW w:w="2143" w:type="pct"/>
            <w:vAlign w:val="center"/>
          </w:tcPr>
          <w:p w14:paraId="5C1804AB">
            <w:pP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sz w:val="24"/>
                <w:szCs w:val="24"/>
                <w:lang w:val="en-US" w:eastAsia="zh-CN"/>
              </w:rPr>
              <w:t>系统安全中心、日志中心、运维中心等。</w:t>
            </w:r>
          </w:p>
        </w:tc>
        <w:tc>
          <w:tcPr>
            <w:tcW w:w="501" w:type="pct"/>
          </w:tcPr>
          <w:p w14:paraId="284A9B14">
            <w:pPr>
              <w:jc w:val="both"/>
              <w:rPr>
                <w:rFonts w:hint="eastAsia" w:asciiTheme="minorEastAsia" w:hAnsiTheme="minorEastAsia" w:eastAsiaTheme="minorEastAsia" w:cstheme="minorEastAsia"/>
                <w:b/>
                <w:bCs/>
                <w:sz w:val="24"/>
                <w:szCs w:val="24"/>
                <w:vertAlign w:val="baseline"/>
                <w:lang w:eastAsia="zh-CN"/>
              </w:rPr>
            </w:pPr>
          </w:p>
        </w:tc>
      </w:tr>
      <w:tr w14:paraId="08BD1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130619DA">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004" w:type="pct"/>
            <w:vMerge w:val="continue"/>
            <w:vAlign w:val="center"/>
          </w:tcPr>
          <w:p w14:paraId="763E064F">
            <w:pPr>
              <w:jc w:val="center"/>
              <w:rPr>
                <w:rFonts w:hint="eastAsia" w:asciiTheme="minorEastAsia" w:hAnsiTheme="minorEastAsia" w:eastAsiaTheme="minorEastAsia" w:cstheme="minorEastAsia"/>
                <w:b w:val="0"/>
                <w:bCs w:val="0"/>
                <w:sz w:val="24"/>
                <w:szCs w:val="24"/>
                <w:vertAlign w:val="baseline"/>
                <w:lang w:eastAsia="zh-CN"/>
              </w:rPr>
            </w:pPr>
          </w:p>
        </w:tc>
        <w:tc>
          <w:tcPr>
            <w:tcW w:w="842" w:type="pct"/>
            <w:vAlign w:val="center"/>
          </w:tcPr>
          <w:p w14:paraId="39CC361E">
            <w:pPr>
              <w:jc w:val="center"/>
              <w:rPr>
                <w:rFonts w:hint="eastAsia" w:asciiTheme="minorEastAsia" w:hAnsiTheme="minorEastAsia" w:eastAsiaTheme="minorEastAsia" w:cstheme="minorEastAsia"/>
                <w:b w:val="0"/>
                <w:bCs w:val="0"/>
                <w:color w:val="000000" w:themeColor="text1"/>
                <w:sz w:val="24"/>
                <w:szCs w:val="24"/>
                <w:vertAlign w:val="baseli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eastAsia="zh-CN"/>
                <w14:textFill>
                  <w14:solidFill>
                    <w14:schemeClr w14:val="tx1"/>
                  </w14:solidFill>
                </w14:textFill>
              </w:rPr>
              <w:t>基础平台</w:t>
            </w:r>
          </w:p>
        </w:tc>
        <w:tc>
          <w:tcPr>
            <w:tcW w:w="2143" w:type="pct"/>
            <w:vAlign w:val="center"/>
          </w:tcPr>
          <w:p w14:paraId="60B8F399">
            <w:pPr>
              <w:rPr>
                <w:rFonts w:hint="eastAsia" w:asciiTheme="minorEastAsia" w:hAnsiTheme="minorEastAsia" w:eastAsiaTheme="minorEastAsia" w:cstheme="minorEastAsia"/>
                <w:b/>
                <w:bCs/>
                <w:color w:val="000000" w:themeColor="text1"/>
                <w:sz w:val="24"/>
                <w:szCs w:val="24"/>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组织权限中心、用户中心等，平台支持负载均衡、数据库备份容灾、缓存服务器等功能，并采用独立文件服务器、支持文件在线预览、人脸识别服务、监控平台等服务，为企业提供更加安全可靠的服务。</w:t>
            </w:r>
          </w:p>
        </w:tc>
        <w:tc>
          <w:tcPr>
            <w:tcW w:w="501" w:type="pct"/>
          </w:tcPr>
          <w:p w14:paraId="7D08043E">
            <w:pPr>
              <w:jc w:val="both"/>
              <w:rPr>
                <w:rFonts w:hint="eastAsia" w:asciiTheme="minorEastAsia" w:hAnsiTheme="minorEastAsia" w:eastAsiaTheme="minorEastAsia" w:cstheme="minorEastAsia"/>
                <w:b/>
                <w:bCs/>
                <w:sz w:val="24"/>
                <w:szCs w:val="24"/>
                <w:vertAlign w:val="baseline"/>
                <w:lang w:eastAsia="zh-CN"/>
              </w:rPr>
            </w:pPr>
          </w:p>
        </w:tc>
      </w:tr>
      <w:tr w14:paraId="09454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restart"/>
            <w:vAlign w:val="center"/>
          </w:tcPr>
          <w:p w14:paraId="0D4B708B">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2</w:t>
            </w:r>
          </w:p>
        </w:tc>
        <w:tc>
          <w:tcPr>
            <w:tcW w:w="1004" w:type="pct"/>
            <w:vMerge w:val="restart"/>
            <w:vAlign w:val="center"/>
          </w:tcPr>
          <w:p w14:paraId="7B7A268E">
            <w:pPr>
              <w:jc w:val="center"/>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移动应用</w:t>
            </w:r>
          </w:p>
        </w:tc>
        <w:tc>
          <w:tcPr>
            <w:tcW w:w="842" w:type="pct"/>
            <w:vAlign w:val="center"/>
          </w:tcPr>
          <w:p w14:paraId="2AD3DECE">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eastAsia="zh-CN"/>
              </w:rPr>
              <w:t>移动</w:t>
            </w:r>
            <w:r>
              <w:rPr>
                <w:rFonts w:hint="eastAsia" w:asciiTheme="minorEastAsia" w:hAnsiTheme="minorEastAsia" w:eastAsiaTheme="minorEastAsia" w:cstheme="minorEastAsia"/>
                <w:b w:val="0"/>
                <w:bCs w:val="0"/>
                <w:sz w:val="24"/>
                <w:szCs w:val="24"/>
                <w:vertAlign w:val="baseline"/>
                <w:lang w:val="en-US" w:eastAsia="zh-CN"/>
              </w:rPr>
              <w:t>APP</w:t>
            </w:r>
          </w:p>
        </w:tc>
        <w:tc>
          <w:tcPr>
            <w:tcW w:w="2143" w:type="pct"/>
            <w:vAlign w:val="center"/>
          </w:tcPr>
          <w:p w14:paraId="1142FCC1">
            <w:pP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sz w:val="24"/>
                <w:szCs w:val="24"/>
                <w:lang w:val="en-US" w:eastAsia="zh-CN"/>
              </w:rPr>
              <w:t>PC移动一体化，PC端主要功能支持移动应用，安卓、IOS、鸿蒙等。</w:t>
            </w:r>
          </w:p>
        </w:tc>
        <w:tc>
          <w:tcPr>
            <w:tcW w:w="501" w:type="pct"/>
          </w:tcPr>
          <w:p w14:paraId="0306DA60">
            <w:pPr>
              <w:jc w:val="both"/>
              <w:rPr>
                <w:rFonts w:hint="eastAsia" w:asciiTheme="minorEastAsia" w:hAnsiTheme="minorEastAsia" w:eastAsiaTheme="minorEastAsia" w:cstheme="minorEastAsia"/>
                <w:b/>
                <w:bCs/>
                <w:sz w:val="24"/>
                <w:szCs w:val="24"/>
                <w:vertAlign w:val="baseline"/>
                <w:lang w:eastAsia="zh-CN"/>
              </w:rPr>
            </w:pPr>
          </w:p>
        </w:tc>
      </w:tr>
      <w:tr w14:paraId="019C6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3423DF02">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004" w:type="pct"/>
            <w:vMerge w:val="continue"/>
            <w:vAlign w:val="center"/>
          </w:tcPr>
          <w:p w14:paraId="67323286">
            <w:pPr>
              <w:jc w:val="center"/>
              <w:rPr>
                <w:rFonts w:hint="eastAsia" w:asciiTheme="minorEastAsia" w:hAnsiTheme="minorEastAsia" w:eastAsiaTheme="minorEastAsia" w:cstheme="minorEastAsia"/>
                <w:b w:val="0"/>
                <w:bCs w:val="0"/>
                <w:sz w:val="24"/>
                <w:szCs w:val="24"/>
                <w:vertAlign w:val="baseline"/>
                <w:lang w:eastAsia="zh-CN"/>
              </w:rPr>
            </w:pPr>
          </w:p>
        </w:tc>
        <w:tc>
          <w:tcPr>
            <w:tcW w:w="842" w:type="pct"/>
            <w:vAlign w:val="center"/>
          </w:tcPr>
          <w:p w14:paraId="33115A71">
            <w:pPr>
              <w:jc w:val="center"/>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第三集成</w:t>
            </w:r>
          </w:p>
        </w:tc>
        <w:tc>
          <w:tcPr>
            <w:tcW w:w="2143" w:type="pct"/>
            <w:vAlign w:val="center"/>
          </w:tcPr>
          <w:p w14:paraId="6F4DAEF4">
            <w:pP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sz w:val="24"/>
                <w:szCs w:val="24"/>
                <w:lang w:val="en-US" w:eastAsia="zh-CN"/>
              </w:rPr>
              <w:t>支持与微信、企业微信、钉钉等第三方移动应用集成整合。</w:t>
            </w:r>
          </w:p>
        </w:tc>
        <w:tc>
          <w:tcPr>
            <w:tcW w:w="501" w:type="pct"/>
          </w:tcPr>
          <w:p w14:paraId="77C5BDDC">
            <w:pPr>
              <w:jc w:val="both"/>
              <w:rPr>
                <w:rFonts w:hint="eastAsia" w:asciiTheme="minorEastAsia" w:hAnsiTheme="minorEastAsia" w:eastAsiaTheme="minorEastAsia" w:cstheme="minorEastAsia"/>
                <w:b/>
                <w:bCs/>
                <w:sz w:val="24"/>
                <w:szCs w:val="24"/>
                <w:vertAlign w:val="baseline"/>
                <w:lang w:eastAsia="zh-CN"/>
              </w:rPr>
            </w:pPr>
          </w:p>
        </w:tc>
      </w:tr>
      <w:tr w14:paraId="7938A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restart"/>
            <w:vAlign w:val="center"/>
          </w:tcPr>
          <w:p w14:paraId="1368E163">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3</w:t>
            </w:r>
          </w:p>
        </w:tc>
        <w:tc>
          <w:tcPr>
            <w:tcW w:w="1004" w:type="pct"/>
            <w:vMerge w:val="restart"/>
            <w:vAlign w:val="center"/>
          </w:tcPr>
          <w:p w14:paraId="0B145E29">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证件管理</w:t>
            </w:r>
          </w:p>
        </w:tc>
        <w:tc>
          <w:tcPr>
            <w:tcW w:w="842" w:type="pct"/>
            <w:vAlign w:val="center"/>
          </w:tcPr>
          <w:p w14:paraId="21CAD711">
            <w:pPr>
              <w:keepNext w:val="0"/>
              <w:keepLines w:val="0"/>
              <w:widowControl/>
              <w:suppressLineNumbers w:val="0"/>
              <w:jc w:val="center"/>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val="en-US" w:eastAsia="zh-CN"/>
              </w:rPr>
              <w:t>证件上传</w:t>
            </w:r>
          </w:p>
        </w:tc>
        <w:tc>
          <w:tcPr>
            <w:tcW w:w="2143" w:type="pct"/>
          </w:tcPr>
          <w:p w14:paraId="49615F9A">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人员证件管理提供所有工程人员相关证件上传管理，可以对企 业的证件进行统计分析，并确保证件合规，支持证件台账导出；</w:t>
            </w:r>
          </w:p>
        </w:tc>
        <w:tc>
          <w:tcPr>
            <w:tcW w:w="501" w:type="pct"/>
          </w:tcPr>
          <w:p w14:paraId="7F5195E8">
            <w:pPr>
              <w:jc w:val="both"/>
              <w:rPr>
                <w:rFonts w:hint="eastAsia" w:asciiTheme="minorEastAsia" w:hAnsiTheme="minorEastAsia" w:eastAsiaTheme="minorEastAsia" w:cstheme="minorEastAsia"/>
                <w:b w:val="0"/>
                <w:bCs w:val="0"/>
                <w:sz w:val="24"/>
                <w:szCs w:val="24"/>
                <w:vertAlign w:val="baseline"/>
                <w:lang w:eastAsia="zh-CN"/>
              </w:rPr>
            </w:pPr>
          </w:p>
        </w:tc>
      </w:tr>
      <w:tr w14:paraId="4F0A0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5C7BCF87">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004" w:type="pct"/>
            <w:vMerge w:val="continue"/>
            <w:vAlign w:val="center"/>
          </w:tcPr>
          <w:p w14:paraId="3D6381D5">
            <w:pPr>
              <w:jc w:val="center"/>
              <w:rPr>
                <w:rFonts w:hint="eastAsia" w:asciiTheme="minorEastAsia" w:hAnsiTheme="minorEastAsia" w:eastAsiaTheme="minorEastAsia" w:cstheme="minorEastAsia"/>
                <w:b w:val="0"/>
                <w:bCs w:val="0"/>
                <w:sz w:val="24"/>
                <w:szCs w:val="24"/>
                <w:vertAlign w:val="baseline"/>
                <w:lang w:eastAsia="zh-CN"/>
              </w:rPr>
            </w:pPr>
          </w:p>
        </w:tc>
        <w:tc>
          <w:tcPr>
            <w:tcW w:w="842" w:type="pct"/>
            <w:vAlign w:val="center"/>
          </w:tcPr>
          <w:p w14:paraId="4D43BA65">
            <w:pPr>
              <w:keepNext w:val="0"/>
              <w:keepLines w:val="0"/>
              <w:widowControl/>
              <w:suppressLineNumbers w:val="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到期提醒</w:t>
            </w:r>
          </w:p>
          <w:p w14:paraId="6F8B4788">
            <w:pPr>
              <w:keepNext w:val="0"/>
              <w:keepLines w:val="0"/>
              <w:widowControl/>
              <w:suppressLineNumbers w:val="0"/>
              <w:jc w:val="center"/>
              <w:rPr>
                <w:rFonts w:hint="eastAsia" w:asciiTheme="minorEastAsia" w:hAnsiTheme="minorEastAsia" w:eastAsiaTheme="minorEastAsia" w:cstheme="minorEastAsia"/>
                <w:b w:val="0"/>
                <w:bCs w:val="0"/>
                <w:sz w:val="24"/>
                <w:szCs w:val="24"/>
                <w:vertAlign w:val="baseline"/>
                <w:lang w:val="en-US" w:eastAsia="zh-CN"/>
              </w:rPr>
            </w:pPr>
          </w:p>
        </w:tc>
        <w:tc>
          <w:tcPr>
            <w:tcW w:w="2143" w:type="pct"/>
          </w:tcPr>
          <w:p w14:paraId="60B51400">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基于安全生产管理要求，平台支持所有证件的到期自动提醒，以免出现证件过期的违规作业，确保证件的合规性；</w:t>
            </w:r>
          </w:p>
        </w:tc>
        <w:tc>
          <w:tcPr>
            <w:tcW w:w="501" w:type="pct"/>
          </w:tcPr>
          <w:p w14:paraId="546FA3BC">
            <w:pPr>
              <w:jc w:val="both"/>
              <w:rPr>
                <w:rFonts w:hint="eastAsia" w:asciiTheme="minorEastAsia" w:hAnsiTheme="minorEastAsia" w:eastAsiaTheme="minorEastAsia" w:cstheme="minorEastAsia"/>
                <w:b w:val="0"/>
                <w:bCs w:val="0"/>
                <w:sz w:val="24"/>
                <w:szCs w:val="24"/>
                <w:vertAlign w:val="baseline"/>
                <w:lang w:eastAsia="zh-CN"/>
              </w:rPr>
            </w:pPr>
          </w:p>
        </w:tc>
      </w:tr>
      <w:tr w14:paraId="3ACC1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tcPr>
          <w:p w14:paraId="44A79178">
            <w:pPr>
              <w:jc w:val="both"/>
              <w:rPr>
                <w:rFonts w:hint="eastAsia" w:asciiTheme="minorEastAsia" w:hAnsiTheme="minorEastAsia" w:eastAsiaTheme="minorEastAsia" w:cstheme="minorEastAsia"/>
                <w:b/>
                <w:bCs/>
                <w:sz w:val="24"/>
                <w:szCs w:val="24"/>
                <w:vertAlign w:val="baseline"/>
                <w:lang w:val="en-US" w:eastAsia="zh-CN"/>
              </w:rPr>
            </w:pPr>
          </w:p>
        </w:tc>
        <w:tc>
          <w:tcPr>
            <w:tcW w:w="1004" w:type="pct"/>
            <w:vMerge w:val="continue"/>
          </w:tcPr>
          <w:p w14:paraId="2AB3865D">
            <w:pPr>
              <w:jc w:val="both"/>
              <w:rPr>
                <w:rFonts w:hint="eastAsia" w:asciiTheme="minorEastAsia" w:hAnsiTheme="minorEastAsia" w:eastAsiaTheme="minorEastAsia" w:cstheme="minorEastAsia"/>
                <w:b w:val="0"/>
                <w:bCs w:val="0"/>
                <w:sz w:val="24"/>
                <w:szCs w:val="24"/>
                <w:vertAlign w:val="baseline"/>
                <w:lang w:eastAsia="zh-CN"/>
              </w:rPr>
            </w:pPr>
          </w:p>
        </w:tc>
        <w:tc>
          <w:tcPr>
            <w:tcW w:w="842" w:type="pct"/>
            <w:vAlign w:val="center"/>
          </w:tcPr>
          <w:p w14:paraId="0385949A">
            <w:pPr>
              <w:keepNext w:val="0"/>
              <w:keepLines w:val="0"/>
              <w:widowControl/>
              <w:suppressLineNumbers w:val="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关联作业</w:t>
            </w:r>
          </w:p>
          <w:p w14:paraId="2ACBD7F4">
            <w:pPr>
              <w:keepNext w:val="0"/>
              <w:keepLines w:val="0"/>
              <w:widowControl/>
              <w:suppressLineNumbers w:val="0"/>
              <w:jc w:val="center"/>
              <w:rPr>
                <w:rFonts w:hint="eastAsia" w:asciiTheme="minorEastAsia" w:hAnsiTheme="minorEastAsia" w:eastAsiaTheme="minorEastAsia" w:cstheme="minorEastAsia"/>
                <w:b w:val="0"/>
                <w:bCs w:val="0"/>
                <w:sz w:val="24"/>
                <w:szCs w:val="24"/>
                <w:vertAlign w:val="baseline"/>
                <w:lang w:val="en-US" w:eastAsia="zh-CN"/>
              </w:rPr>
            </w:pPr>
          </w:p>
        </w:tc>
        <w:tc>
          <w:tcPr>
            <w:tcW w:w="2143" w:type="pct"/>
          </w:tcPr>
          <w:p w14:paraId="7481D3B1">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人员证件管理功能最主要是为了可以自动关联现场作业，现场特殊作业必须持证上岗，对于没有证件或证件过期，不能进行特殊作业票办理；</w:t>
            </w:r>
          </w:p>
        </w:tc>
        <w:tc>
          <w:tcPr>
            <w:tcW w:w="501" w:type="pct"/>
          </w:tcPr>
          <w:p w14:paraId="3F64AF30">
            <w:pPr>
              <w:jc w:val="both"/>
              <w:rPr>
                <w:rFonts w:hint="eastAsia" w:asciiTheme="minorEastAsia" w:hAnsiTheme="minorEastAsia" w:eastAsiaTheme="minorEastAsia" w:cstheme="minorEastAsia"/>
                <w:b w:val="0"/>
                <w:bCs w:val="0"/>
                <w:sz w:val="24"/>
                <w:szCs w:val="24"/>
                <w:vertAlign w:val="baseline"/>
                <w:lang w:eastAsia="zh-CN"/>
              </w:rPr>
            </w:pPr>
          </w:p>
        </w:tc>
      </w:tr>
      <w:tr w14:paraId="6DC5B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7" w:type="pct"/>
            <w:vMerge w:val="restart"/>
            <w:vAlign w:val="center"/>
          </w:tcPr>
          <w:p w14:paraId="28A9AF7D">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4</w:t>
            </w:r>
          </w:p>
        </w:tc>
        <w:tc>
          <w:tcPr>
            <w:tcW w:w="1004" w:type="pct"/>
            <w:vMerge w:val="restart"/>
            <w:vAlign w:val="center"/>
          </w:tcPr>
          <w:p w14:paraId="3308B977">
            <w:pPr>
              <w:jc w:val="both"/>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val="en-US" w:eastAsia="zh-CN"/>
              </w:rPr>
              <w:t>层级人员履职</w:t>
            </w:r>
          </w:p>
        </w:tc>
        <w:tc>
          <w:tcPr>
            <w:tcW w:w="842" w:type="pct"/>
            <w:vAlign w:val="center"/>
          </w:tcPr>
          <w:p w14:paraId="16318C78">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安全履职配置</w:t>
            </w:r>
          </w:p>
        </w:tc>
        <w:tc>
          <w:tcPr>
            <w:tcW w:w="2143" w:type="pct"/>
          </w:tcPr>
          <w:p w14:paraId="52A66EC1">
            <w:pPr>
              <w:keepNext w:val="0"/>
              <w:keepLines w:val="0"/>
              <w:widowControl/>
              <w:suppressLineNumbers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kern w:val="0"/>
                <w:sz w:val="24"/>
                <w:szCs w:val="24"/>
                <w:lang w:val="en-US" w:eastAsia="zh-CN" w:bidi="ar"/>
              </w:rPr>
              <w:t>可以配置各岗位日常安全履职内容任务项，可关联相应岗位、 职级，可设定履职周期频率、履职对应积分值。</w:t>
            </w:r>
          </w:p>
        </w:tc>
        <w:tc>
          <w:tcPr>
            <w:tcW w:w="501" w:type="pct"/>
          </w:tcPr>
          <w:p w14:paraId="04E2A694">
            <w:pPr>
              <w:jc w:val="both"/>
              <w:rPr>
                <w:rFonts w:hint="eastAsia" w:asciiTheme="minorEastAsia" w:hAnsiTheme="minorEastAsia" w:eastAsiaTheme="minorEastAsia" w:cstheme="minorEastAsia"/>
                <w:b w:val="0"/>
                <w:bCs w:val="0"/>
                <w:sz w:val="24"/>
                <w:szCs w:val="24"/>
                <w:vertAlign w:val="baseline"/>
                <w:lang w:eastAsia="zh-CN"/>
              </w:rPr>
            </w:pPr>
          </w:p>
        </w:tc>
      </w:tr>
      <w:tr w14:paraId="7E59F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128A4AE1">
            <w:pPr>
              <w:jc w:val="center"/>
              <w:rPr>
                <w:rFonts w:hint="eastAsia" w:asciiTheme="minorEastAsia" w:hAnsiTheme="minorEastAsia" w:eastAsiaTheme="minorEastAsia" w:cstheme="minorEastAsia"/>
                <w:b/>
                <w:bCs/>
                <w:sz w:val="24"/>
                <w:szCs w:val="24"/>
                <w:vertAlign w:val="baseline"/>
                <w:lang w:val="en-US" w:eastAsia="zh-CN"/>
              </w:rPr>
            </w:pPr>
          </w:p>
        </w:tc>
        <w:tc>
          <w:tcPr>
            <w:tcW w:w="1004" w:type="pct"/>
            <w:vMerge w:val="continue"/>
            <w:vAlign w:val="center"/>
          </w:tcPr>
          <w:p w14:paraId="6FE7CB43">
            <w:pPr>
              <w:jc w:val="both"/>
              <w:rPr>
                <w:rFonts w:hint="eastAsia" w:asciiTheme="minorEastAsia" w:hAnsiTheme="minorEastAsia" w:eastAsiaTheme="minorEastAsia" w:cstheme="minorEastAsia"/>
                <w:b w:val="0"/>
                <w:bCs w:val="0"/>
                <w:sz w:val="24"/>
                <w:szCs w:val="24"/>
                <w:vertAlign w:val="baseline"/>
                <w:lang w:eastAsia="zh-CN"/>
              </w:rPr>
            </w:pPr>
          </w:p>
        </w:tc>
        <w:tc>
          <w:tcPr>
            <w:tcW w:w="842" w:type="pct"/>
            <w:vAlign w:val="center"/>
          </w:tcPr>
          <w:p w14:paraId="52FF6F5A">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安全履职记录</w:t>
            </w:r>
          </w:p>
        </w:tc>
        <w:tc>
          <w:tcPr>
            <w:tcW w:w="2143" w:type="pct"/>
          </w:tcPr>
          <w:p w14:paraId="3704D295">
            <w:pPr>
              <w:keepNext w:val="0"/>
              <w:keepLines w:val="0"/>
              <w:widowControl/>
              <w:suppressLineNumbers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kern w:val="0"/>
                <w:sz w:val="24"/>
                <w:szCs w:val="24"/>
                <w:lang w:val="en-US" w:eastAsia="zh-CN" w:bidi="ar"/>
              </w:rPr>
              <w:t>可以查看企业员工安全履职开展的记录统计情况。</w:t>
            </w:r>
          </w:p>
        </w:tc>
        <w:tc>
          <w:tcPr>
            <w:tcW w:w="501" w:type="pct"/>
          </w:tcPr>
          <w:p w14:paraId="272F1951">
            <w:pPr>
              <w:jc w:val="both"/>
              <w:rPr>
                <w:rFonts w:hint="eastAsia" w:asciiTheme="minorEastAsia" w:hAnsiTheme="minorEastAsia" w:eastAsiaTheme="minorEastAsia" w:cstheme="minorEastAsia"/>
                <w:b w:val="0"/>
                <w:bCs w:val="0"/>
                <w:sz w:val="24"/>
                <w:szCs w:val="24"/>
                <w:vertAlign w:val="baseline"/>
                <w:lang w:eastAsia="zh-CN"/>
              </w:rPr>
            </w:pPr>
          </w:p>
        </w:tc>
      </w:tr>
      <w:tr w14:paraId="52087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646FC925">
            <w:pPr>
              <w:jc w:val="center"/>
              <w:rPr>
                <w:rFonts w:hint="eastAsia" w:asciiTheme="minorEastAsia" w:hAnsiTheme="minorEastAsia" w:eastAsiaTheme="minorEastAsia" w:cstheme="minorEastAsia"/>
                <w:b/>
                <w:bCs/>
                <w:sz w:val="24"/>
                <w:szCs w:val="24"/>
                <w:vertAlign w:val="baseline"/>
                <w:lang w:val="en-US" w:eastAsia="zh-CN"/>
              </w:rPr>
            </w:pPr>
          </w:p>
        </w:tc>
        <w:tc>
          <w:tcPr>
            <w:tcW w:w="1004" w:type="pct"/>
            <w:vMerge w:val="continue"/>
            <w:vAlign w:val="center"/>
          </w:tcPr>
          <w:p w14:paraId="76D2C4E9">
            <w:pPr>
              <w:jc w:val="both"/>
              <w:rPr>
                <w:rFonts w:hint="eastAsia" w:asciiTheme="minorEastAsia" w:hAnsiTheme="minorEastAsia" w:eastAsiaTheme="minorEastAsia" w:cstheme="minorEastAsia"/>
                <w:b w:val="0"/>
                <w:bCs w:val="0"/>
                <w:sz w:val="24"/>
                <w:szCs w:val="24"/>
                <w:vertAlign w:val="baseline"/>
                <w:lang w:eastAsia="zh-CN"/>
              </w:rPr>
            </w:pPr>
          </w:p>
        </w:tc>
        <w:tc>
          <w:tcPr>
            <w:tcW w:w="842" w:type="pct"/>
            <w:vAlign w:val="center"/>
          </w:tcPr>
          <w:p w14:paraId="53191C3F">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安全履职积分</w:t>
            </w:r>
          </w:p>
        </w:tc>
        <w:tc>
          <w:tcPr>
            <w:tcW w:w="2143" w:type="pct"/>
          </w:tcPr>
          <w:p w14:paraId="23E37BFC">
            <w:pPr>
              <w:keepNext w:val="0"/>
              <w:keepLines w:val="0"/>
              <w:widowControl/>
              <w:suppressLineNumbers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kern w:val="0"/>
                <w:sz w:val="24"/>
                <w:szCs w:val="24"/>
                <w:lang w:val="en-US" w:eastAsia="zh-CN" w:bidi="ar"/>
              </w:rPr>
              <w:t>可以通过完成履职记录统计相应的履职积分并进行积分排名，同时可以导出记录数据。</w:t>
            </w:r>
          </w:p>
        </w:tc>
        <w:tc>
          <w:tcPr>
            <w:tcW w:w="501" w:type="pct"/>
          </w:tcPr>
          <w:p w14:paraId="0CEF368C">
            <w:pPr>
              <w:jc w:val="both"/>
              <w:rPr>
                <w:rFonts w:hint="eastAsia" w:asciiTheme="minorEastAsia" w:hAnsiTheme="minorEastAsia" w:eastAsiaTheme="minorEastAsia" w:cstheme="minorEastAsia"/>
                <w:b w:val="0"/>
                <w:bCs w:val="0"/>
                <w:sz w:val="24"/>
                <w:szCs w:val="24"/>
                <w:vertAlign w:val="baseline"/>
                <w:lang w:eastAsia="zh-CN"/>
              </w:rPr>
            </w:pPr>
          </w:p>
        </w:tc>
      </w:tr>
      <w:tr w14:paraId="12C08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07" w:type="pct"/>
            <w:vMerge w:val="restart"/>
            <w:vAlign w:val="center"/>
          </w:tcPr>
          <w:p w14:paraId="0158D1D0">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5</w:t>
            </w:r>
          </w:p>
        </w:tc>
        <w:tc>
          <w:tcPr>
            <w:tcW w:w="1004" w:type="pct"/>
            <w:vMerge w:val="restart"/>
            <w:vAlign w:val="center"/>
          </w:tcPr>
          <w:p w14:paraId="26D7CB49">
            <w:pPr>
              <w:jc w:val="center"/>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教育培训</w:t>
            </w:r>
          </w:p>
        </w:tc>
        <w:tc>
          <w:tcPr>
            <w:tcW w:w="842" w:type="pct"/>
            <w:vAlign w:val="center"/>
          </w:tcPr>
          <w:p w14:paraId="3DFC26F1">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教育培训文库</w:t>
            </w:r>
          </w:p>
        </w:tc>
        <w:tc>
          <w:tcPr>
            <w:tcW w:w="2143" w:type="pct"/>
          </w:tcPr>
          <w:p w14:paraId="41B52C5E">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平台安全生产教育培训平台的课程创建添加功能允许用户根 据企业自身需求和行业标准，自主设计并添加各类安全培训课程。该功能支持多种形式的课程内容，包括视频、图文、文档资料等，确保培训内容的丰富性和多样性。</w:t>
            </w:r>
          </w:p>
        </w:tc>
        <w:tc>
          <w:tcPr>
            <w:tcW w:w="501" w:type="pct"/>
          </w:tcPr>
          <w:p w14:paraId="51C631CB">
            <w:pPr>
              <w:jc w:val="both"/>
              <w:rPr>
                <w:rFonts w:hint="eastAsia" w:asciiTheme="minorEastAsia" w:hAnsiTheme="minorEastAsia" w:eastAsiaTheme="minorEastAsia" w:cstheme="minorEastAsia"/>
                <w:b w:val="0"/>
                <w:bCs w:val="0"/>
                <w:sz w:val="24"/>
                <w:szCs w:val="24"/>
                <w:vertAlign w:val="baseline"/>
                <w:lang w:eastAsia="zh-CN"/>
              </w:rPr>
            </w:pPr>
          </w:p>
        </w:tc>
      </w:tr>
      <w:tr w14:paraId="15DBC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77987CB7">
            <w:pPr>
              <w:jc w:val="center"/>
              <w:rPr>
                <w:rFonts w:hint="eastAsia" w:asciiTheme="minorEastAsia" w:hAnsiTheme="minorEastAsia" w:eastAsiaTheme="minorEastAsia" w:cstheme="minorEastAsia"/>
                <w:b/>
                <w:bCs/>
                <w:sz w:val="24"/>
                <w:szCs w:val="24"/>
                <w:vertAlign w:val="baseline"/>
                <w:lang w:val="en-US" w:eastAsia="zh-CN"/>
              </w:rPr>
            </w:pPr>
          </w:p>
        </w:tc>
        <w:tc>
          <w:tcPr>
            <w:tcW w:w="1004" w:type="pct"/>
            <w:vMerge w:val="continue"/>
            <w:vAlign w:val="center"/>
          </w:tcPr>
          <w:p w14:paraId="60662BD3">
            <w:pPr>
              <w:jc w:val="center"/>
              <w:rPr>
                <w:rFonts w:hint="eastAsia" w:asciiTheme="minorEastAsia" w:hAnsiTheme="minorEastAsia" w:eastAsiaTheme="minorEastAsia" w:cstheme="minorEastAsia"/>
                <w:b w:val="0"/>
                <w:bCs w:val="0"/>
                <w:sz w:val="24"/>
                <w:szCs w:val="24"/>
                <w:vertAlign w:val="baseline"/>
                <w:lang w:eastAsia="zh-CN"/>
              </w:rPr>
            </w:pPr>
          </w:p>
        </w:tc>
        <w:tc>
          <w:tcPr>
            <w:tcW w:w="842" w:type="pct"/>
            <w:vAlign w:val="center"/>
          </w:tcPr>
          <w:p w14:paraId="793C5375">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官方培训文库</w:t>
            </w:r>
          </w:p>
        </w:tc>
        <w:tc>
          <w:tcPr>
            <w:tcW w:w="2143" w:type="pct"/>
          </w:tcPr>
          <w:p w14:paraId="1A859E60">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平台用户提供官方制作的培训短视频，用户可以直接观看，也可以通过平台，二维码等多种方式分享给员工观看</w:t>
            </w:r>
          </w:p>
        </w:tc>
        <w:tc>
          <w:tcPr>
            <w:tcW w:w="501" w:type="pct"/>
          </w:tcPr>
          <w:p w14:paraId="360B31D2">
            <w:pPr>
              <w:jc w:val="both"/>
              <w:rPr>
                <w:rFonts w:hint="eastAsia" w:asciiTheme="minorEastAsia" w:hAnsiTheme="minorEastAsia" w:eastAsiaTheme="minorEastAsia" w:cstheme="minorEastAsia"/>
                <w:b w:val="0"/>
                <w:bCs w:val="0"/>
                <w:sz w:val="24"/>
                <w:szCs w:val="24"/>
                <w:vertAlign w:val="baseline"/>
                <w:lang w:eastAsia="zh-CN"/>
              </w:rPr>
            </w:pPr>
          </w:p>
        </w:tc>
      </w:tr>
      <w:tr w14:paraId="40E26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4777E462">
            <w:pPr>
              <w:jc w:val="center"/>
              <w:rPr>
                <w:rFonts w:hint="eastAsia" w:asciiTheme="minorEastAsia" w:hAnsiTheme="minorEastAsia" w:eastAsiaTheme="minorEastAsia" w:cstheme="minorEastAsia"/>
                <w:b/>
                <w:bCs/>
                <w:sz w:val="24"/>
                <w:szCs w:val="24"/>
                <w:vertAlign w:val="baseline"/>
                <w:lang w:val="en-US" w:eastAsia="zh-CN"/>
              </w:rPr>
            </w:pPr>
          </w:p>
        </w:tc>
        <w:tc>
          <w:tcPr>
            <w:tcW w:w="1004" w:type="pct"/>
            <w:vMerge w:val="continue"/>
            <w:vAlign w:val="center"/>
          </w:tcPr>
          <w:p w14:paraId="560190BD">
            <w:pPr>
              <w:jc w:val="center"/>
              <w:rPr>
                <w:rFonts w:hint="eastAsia" w:asciiTheme="minorEastAsia" w:hAnsiTheme="minorEastAsia" w:eastAsiaTheme="minorEastAsia" w:cstheme="minorEastAsia"/>
                <w:b w:val="0"/>
                <w:bCs w:val="0"/>
                <w:sz w:val="24"/>
                <w:szCs w:val="24"/>
                <w:vertAlign w:val="baseline"/>
                <w:lang w:eastAsia="zh-CN"/>
              </w:rPr>
            </w:pPr>
          </w:p>
        </w:tc>
        <w:tc>
          <w:tcPr>
            <w:tcW w:w="842" w:type="pct"/>
            <w:vAlign w:val="center"/>
          </w:tcPr>
          <w:p w14:paraId="6605390B">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视频收藏</w:t>
            </w:r>
          </w:p>
        </w:tc>
        <w:tc>
          <w:tcPr>
            <w:tcW w:w="2143" w:type="pct"/>
          </w:tcPr>
          <w:p w14:paraId="590E649D">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安全生产教育培训平台视频收藏功能旨在为用户提供便捷的视频内容管理体验。用户可以将自己感兴趣或认为有价值的安全生产教育视频添加到收藏夹中，方便随时查阅和学习。</w:t>
            </w:r>
          </w:p>
        </w:tc>
        <w:tc>
          <w:tcPr>
            <w:tcW w:w="501" w:type="pct"/>
          </w:tcPr>
          <w:p w14:paraId="13D0B005">
            <w:pPr>
              <w:jc w:val="both"/>
              <w:rPr>
                <w:rFonts w:hint="eastAsia" w:asciiTheme="minorEastAsia" w:hAnsiTheme="minorEastAsia" w:eastAsiaTheme="minorEastAsia" w:cstheme="minorEastAsia"/>
                <w:b w:val="0"/>
                <w:bCs w:val="0"/>
                <w:sz w:val="24"/>
                <w:szCs w:val="24"/>
                <w:vertAlign w:val="baseline"/>
                <w:lang w:eastAsia="zh-CN"/>
              </w:rPr>
            </w:pPr>
          </w:p>
        </w:tc>
      </w:tr>
      <w:tr w14:paraId="37D7C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3F29DA9F">
            <w:pPr>
              <w:jc w:val="center"/>
              <w:rPr>
                <w:rFonts w:hint="eastAsia" w:asciiTheme="minorEastAsia" w:hAnsiTheme="minorEastAsia" w:eastAsiaTheme="minorEastAsia" w:cstheme="minorEastAsia"/>
                <w:b/>
                <w:bCs/>
                <w:sz w:val="24"/>
                <w:szCs w:val="24"/>
                <w:vertAlign w:val="baseline"/>
                <w:lang w:val="en-US" w:eastAsia="zh-CN"/>
              </w:rPr>
            </w:pPr>
          </w:p>
        </w:tc>
        <w:tc>
          <w:tcPr>
            <w:tcW w:w="1004" w:type="pct"/>
            <w:vMerge w:val="continue"/>
            <w:vAlign w:val="center"/>
          </w:tcPr>
          <w:p w14:paraId="37FBFFB6">
            <w:pPr>
              <w:jc w:val="center"/>
              <w:rPr>
                <w:rFonts w:hint="eastAsia" w:asciiTheme="minorEastAsia" w:hAnsiTheme="minorEastAsia" w:eastAsiaTheme="minorEastAsia" w:cstheme="minorEastAsia"/>
                <w:b w:val="0"/>
                <w:bCs w:val="0"/>
                <w:sz w:val="24"/>
                <w:szCs w:val="24"/>
                <w:vertAlign w:val="baseline"/>
                <w:lang w:eastAsia="zh-CN"/>
              </w:rPr>
            </w:pPr>
          </w:p>
        </w:tc>
        <w:tc>
          <w:tcPr>
            <w:tcW w:w="842" w:type="pct"/>
            <w:vAlign w:val="center"/>
          </w:tcPr>
          <w:p w14:paraId="39F2C7C8">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岗前三级文库</w:t>
            </w:r>
          </w:p>
        </w:tc>
        <w:tc>
          <w:tcPr>
            <w:tcW w:w="2143" w:type="pct"/>
          </w:tcPr>
          <w:p w14:paraId="12F4C7C0">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平台安全生产教育培训平台的课程创建添加功能允许用户根据企业自身需求和行业标准，自主设计并添加各类岗前三级课程库。该功能支持多种形式的课程内容，包括视频、图文、文档资料等，确保培训内容的丰富性和多样性。</w:t>
            </w:r>
          </w:p>
        </w:tc>
        <w:tc>
          <w:tcPr>
            <w:tcW w:w="501" w:type="pct"/>
          </w:tcPr>
          <w:p w14:paraId="7DA013EB">
            <w:pPr>
              <w:jc w:val="both"/>
              <w:rPr>
                <w:rFonts w:hint="eastAsia" w:asciiTheme="minorEastAsia" w:hAnsiTheme="minorEastAsia" w:eastAsiaTheme="minorEastAsia" w:cstheme="minorEastAsia"/>
                <w:b w:val="0"/>
                <w:bCs w:val="0"/>
                <w:sz w:val="24"/>
                <w:szCs w:val="24"/>
                <w:vertAlign w:val="baseline"/>
                <w:lang w:eastAsia="zh-CN"/>
              </w:rPr>
            </w:pPr>
          </w:p>
        </w:tc>
      </w:tr>
      <w:tr w14:paraId="03DD1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507" w:type="pct"/>
            <w:vAlign w:val="center"/>
          </w:tcPr>
          <w:p w14:paraId="10F5FAAC">
            <w:pPr>
              <w:jc w:val="center"/>
              <w:rPr>
                <w:rFonts w:hint="eastAsia" w:asciiTheme="minorEastAsia" w:hAnsiTheme="minorEastAsia" w:eastAsiaTheme="minorEastAsia" w:cstheme="minorEastAsia"/>
                <w:b/>
                <w:bCs/>
                <w:sz w:val="24"/>
                <w:szCs w:val="24"/>
                <w:vertAlign w:val="baseline"/>
                <w:lang w:val="en-US" w:eastAsia="zh-CN"/>
              </w:rPr>
            </w:pPr>
          </w:p>
        </w:tc>
        <w:tc>
          <w:tcPr>
            <w:tcW w:w="1004" w:type="pct"/>
            <w:vAlign w:val="center"/>
          </w:tcPr>
          <w:p w14:paraId="0BBE9D7F">
            <w:pPr>
              <w:jc w:val="center"/>
              <w:rPr>
                <w:rFonts w:hint="eastAsia" w:asciiTheme="minorEastAsia" w:hAnsiTheme="minorEastAsia" w:eastAsiaTheme="minorEastAsia" w:cstheme="minorEastAsia"/>
                <w:b w:val="0"/>
                <w:bCs w:val="0"/>
                <w:sz w:val="24"/>
                <w:szCs w:val="24"/>
                <w:vertAlign w:val="baseline"/>
                <w:lang w:eastAsia="zh-CN"/>
              </w:rPr>
            </w:pPr>
          </w:p>
        </w:tc>
        <w:tc>
          <w:tcPr>
            <w:tcW w:w="842" w:type="pct"/>
            <w:vAlign w:val="center"/>
          </w:tcPr>
          <w:p w14:paraId="66EADC0A">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培训档案</w:t>
            </w:r>
          </w:p>
        </w:tc>
        <w:tc>
          <w:tcPr>
            <w:tcW w:w="2143" w:type="pct"/>
          </w:tcPr>
          <w:p w14:paraId="69FE91C4">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安全生产教育培训平台的培训台账统计导出功能，是为了满足企业对于员工安全培训数据的精细化管理和分析需求。该功能允许企业从平台中快速提取并导出详细的培训台账数据，以便于后续的数据处理、分析或存档，同时满足检查要求。</w:t>
            </w:r>
          </w:p>
        </w:tc>
        <w:tc>
          <w:tcPr>
            <w:tcW w:w="501" w:type="pct"/>
          </w:tcPr>
          <w:p w14:paraId="05250C64">
            <w:pPr>
              <w:jc w:val="both"/>
              <w:rPr>
                <w:rFonts w:hint="eastAsia" w:asciiTheme="minorEastAsia" w:hAnsiTheme="minorEastAsia" w:eastAsiaTheme="minorEastAsia" w:cstheme="minorEastAsia"/>
                <w:b w:val="0"/>
                <w:bCs w:val="0"/>
                <w:sz w:val="24"/>
                <w:szCs w:val="24"/>
                <w:vertAlign w:val="baseline"/>
                <w:lang w:eastAsia="zh-CN"/>
              </w:rPr>
            </w:pPr>
          </w:p>
        </w:tc>
      </w:tr>
      <w:tr w14:paraId="7819B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restart"/>
            <w:vAlign w:val="center"/>
          </w:tcPr>
          <w:p w14:paraId="79F66109">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6</w:t>
            </w:r>
          </w:p>
        </w:tc>
        <w:tc>
          <w:tcPr>
            <w:tcW w:w="1004" w:type="pct"/>
            <w:vMerge w:val="restart"/>
            <w:vAlign w:val="center"/>
          </w:tcPr>
          <w:p w14:paraId="26AEF9D3">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作业管理</w:t>
            </w:r>
          </w:p>
          <w:p w14:paraId="709DEB96">
            <w:pPr>
              <w:jc w:val="center"/>
              <w:rPr>
                <w:rFonts w:hint="eastAsia" w:asciiTheme="minorEastAsia" w:hAnsiTheme="minorEastAsia" w:eastAsiaTheme="minorEastAsia" w:cstheme="minorEastAsia"/>
                <w:b w:val="0"/>
                <w:bCs w:val="0"/>
                <w:sz w:val="24"/>
                <w:szCs w:val="24"/>
                <w:vertAlign w:val="baseline"/>
                <w:lang w:eastAsia="zh-CN"/>
              </w:rPr>
            </w:pPr>
          </w:p>
        </w:tc>
        <w:tc>
          <w:tcPr>
            <w:tcW w:w="842" w:type="pct"/>
            <w:vAlign w:val="center"/>
          </w:tcPr>
          <w:p w14:paraId="74D7F7FB">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作业申请</w:t>
            </w:r>
          </w:p>
          <w:p w14:paraId="7F2131AD">
            <w:pPr>
              <w:jc w:val="center"/>
              <w:rPr>
                <w:rFonts w:hint="eastAsia" w:asciiTheme="minorEastAsia" w:hAnsiTheme="minorEastAsia" w:eastAsiaTheme="minorEastAsia" w:cstheme="minorEastAsia"/>
                <w:b w:val="0"/>
                <w:bCs w:val="0"/>
                <w:sz w:val="24"/>
                <w:szCs w:val="24"/>
                <w:vertAlign w:val="baseline"/>
                <w:lang w:val="en-US" w:eastAsia="zh-CN"/>
              </w:rPr>
            </w:pPr>
          </w:p>
        </w:tc>
        <w:tc>
          <w:tcPr>
            <w:tcW w:w="2143" w:type="pct"/>
          </w:tcPr>
          <w:p w14:paraId="6547DF8F">
            <w:pPr>
              <w:keepNext w:val="0"/>
              <w:keepLines w:val="0"/>
              <w:widowControl/>
              <w:suppressLineNumbers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kern w:val="0"/>
                <w:sz w:val="24"/>
                <w:szCs w:val="24"/>
                <w:lang w:val="en-US" w:eastAsia="zh-CN" w:bidi="ar"/>
              </w:rPr>
              <w:t>平台提供现场作业申请审批功能，在现场作业前进行作业申请，内容包括作业点、作业风险、注意事项等，符合工程安全管理等要求；</w:t>
            </w:r>
          </w:p>
        </w:tc>
        <w:tc>
          <w:tcPr>
            <w:tcW w:w="501" w:type="pct"/>
          </w:tcPr>
          <w:p w14:paraId="72F1D4A3">
            <w:pPr>
              <w:jc w:val="both"/>
              <w:rPr>
                <w:rFonts w:hint="eastAsia" w:asciiTheme="minorEastAsia" w:hAnsiTheme="minorEastAsia" w:eastAsiaTheme="minorEastAsia" w:cstheme="minorEastAsia"/>
                <w:b w:val="0"/>
                <w:bCs w:val="0"/>
                <w:sz w:val="24"/>
                <w:szCs w:val="24"/>
                <w:vertAlign w:val="baseline"/>
                <w:lang w:eastAsia="zh-CN"/>
              </w:rPr>
            </w:pPr>
          </w:p>
        </w:tc>
      </w:tr>
      <w:tr w14:paraId="585D3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7140AA0F">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004" w:type="pct"/>
            <w:vMerge w:val="continue"/>
            <w:vAlign w:val="center"/>
          </w:tcPr>
          <w:p w14:paraId="304F5F85">
            <w:pPr>
              <w:jc w:val="center"/>
              <w:rPr>
                <w:rFonts w:hint="eastAsia" w:asciiTheme="minorEastAsia" w:hAnsiTheme="minorEastAsia" w:eastAsiaTheme="minorEastAsia" w:cstheme="minorEastAsia"/>
                <w:b w:val="0"/>
                <w:bCs w:val="0"/>
                <w:sz w:val="24"/>
                <w:szCs w:val="24"/>
                <w:vertAlign w:val="baseline"/>
                <w:lang w:eastAsia="zh-CN"/>
              </w:rPr>
            </w:pPr>
          </w:p>
        </w:tc>
        <w:tc>
          <w:tcPr>
            <w:tcW w:w="842" w:type="pct"/>
            <w:vAlign w:val="center"/>
          </w:tcPr>
          <w:p w14:paraId="46B64104">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作业审批</w:t>
            </w:r>
          </w:p>
          <w:p w14:paraId="3B50D6F6">
            <w:pPr>
              <w:jc w:val="center"/>
              <w:rPr>
                <w:rFonts w:hint="eastAsia" w:asciiTheme="minorEastAsia" w:hAnsiTheme="minorEastAsia" w:eastAsiaTheme="minorEastAsia" w:cstheme="minorEastAsia"/>
                <w:b w:val="0"/>
                <w:bCs w:val="0"/>
                <w:sz w:val="24"/>
                <w:szCs w:val="24"/>
                <w:vertAlign w:val="baseline"/>
                <w:lang w:val="en-US" w:eastAsia="zh-CN"/>
              </w:rPr>
            </w:pPr>
          </w:p>
        </w:tc>
        <w:tc>
          <w:tcPr>
            <w:tcW w:w="2143" w:type="pct"/>
          </w:tcPr>
          <w:p w14:paraId="71C03B8B">
            <w:pPr>
              <w:keepNext w:val="0"/>
              <w:keepLines w:val="0"/>
              <w:widowControl/>
              <w:suppressLineNumbers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kern w:val="0"/>
                <w:sz w:val="24"/>
                <w:szCs w:val="24"/>
                <w:lang w:val="en-US" w:eastAsia="zh-CN" w:bidi="ar"/>
              </w:rPr>
              <w:t>作业申请后，进入作业审批流程，相关作业人员和管理人员都可以进行告知或审批，确保在安全的情况下，进行现场作业，支持移动端线上签字；</w:t>
            </w:r>
          </w:p>
        </w:tc>
        <w:tc>
          <w:tcPr>
            <w:tcW w:w="501" w:type="pct"/>
          </w:tcPr>
          <w:p w14:paraId="6F4F8125">
            <w:pPr>
              <w:jc w:val="both"/>
              <w:rPr>
                <w:rFonts w:hint="eastAsia" w:asciiTheme="minorEastAsia" w:hAnsiTheme="minorEastAsia" w:eastAsiaTheme="minorEastAsia" w:cstheme="minorEastAsia"/>
                <w:b w:val="0"/>
                <w:bCs w:val="0"/>
                <w:sz w:val="24"/>
                <w:szCs w:val="24"/>
                <w:vertAlign w:val="baseline"/>
                <w:lang w:eastAsia="zh-CN"/>
              </w:rPr>
            </w:pPr>
          </w:p>
        </w:tc>
      </w:tr>
      <w:tr w14:paraId="2E644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2230399F">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004" w:type="pct"/>
            <w:vMerge w:val="continue"/>
            <w:vAlign w:val="center"/>
          </w:tcPr>
          <w:p w14:paraId="696E207D">
            <w:pPr>
              <w:jc w:val="center"/>
              <w:rPr>
                <w:rFonts w:hint="eastAsia" w:asciiTheme="minorEastAsia" w:hAnsiTheme="minorEastAsia" w:eastAsiaTheme="minorEastAsia" w:cstheme="minorEastAsia"/>
                <w:b w:val="0"/>
                <w:bCs w:val="0"/>
                <w:sz w:val="24"/>
                <w:szCs w:val="24"/>
                <w:vertAlign w:val="baseline"/>
                <w:lang w:eastAsia="zh-CN"/>
              </w:rPr>
            </w:pPr>
          </w:p>
        </w:tc>
        <w:tc>
          <w:tcPr>
            <w:tcW w:w="842" w:type="pct"/>
            <w:vAlign w:val="center"/>
          </w:tcPr>
          <w:p w14:paraId="142306C8">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作业台账</w:t>
            </w:r>
          </w:p>
          <w:p w14:paraId="75E8CF4A">
            <w:pPr>
              <w:jc w:val="center"/>
              <w:rPr>
                <w:rFonts w:hint="eastAsia" w:asciiTheme="minorEastAsia" w:hAnsiTheme="minorEastAsia" w:eastAsiaTheme="minorEastAsia" w:cstheme="minorEastAsia"/>
                <w:b w:val="0"/>
                <w:bCs w:val="0"/>
                <w:sz w:val="24"/>
                <w:szCs w:val="24"/>
                <w:vertAlign w:val="baseline"/>
                <w:lang w:val="en-US" w:eastAsia="zh-CN"/>
              </w:rPr>
            </w:pPr>
          </w:p>
        </w:tc>
        <w:tc>
          <w:tcPr>
            <w:tcW w:w="2143" w:type="pct"/>
          </w:tcPr>
          <w:p w14:paraId="5DE2A998">
            <w:pPr>
              <w:keepNext w:val="0"/>
              <w:keepLines w:val="0"/>
              <w:widowControl/>
              <w:suppressLineNumbers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kern w:val="0"/>
                <w:sz w:val="24"/>
                <w:szCs w:val="24"/>
                <w:lang w:val="en-US" w:eastAsia="zh-CN" w:bidi="ar"/>
              </w:rPr>
              <w:t>平台可以汇总每个工程项目过程中所有的作业台账，包括作业时间、作业人员、作业内容等，导出成文件作为竣工资料的台账；</w:t>
            </w:r>
          </w:p>
        </w:tc>
        <w:tc>
          <w:tcPr>
            <w:tcW w:w="501" w:type="pct"/>
          </w:tcPr>
          <w:p w14:paraId="09949647">
            <w:pPr>
              <w:jc w:val="both"/>
              <w:rPr>
                <w:rFonts w:hint="eastAsia" w:asciiTheme="minorEastAsia" w:hAnsiTheme="minorEastAsia" w:eastAsiaTheme="minorEastAsia" w:cstheme="minorEastAsia"/>
                <w:b w:val="0"/>
                <w:bCs w:val="0"/>
                <w:sz w:val="24"/>
                <w:szCs w:val="24"/>
                <w:vertAlign w:val="baseline"/>
                <w:lang w:eastAsia="zh-CN"/>
              </w:rPr>
            </w:pPr>
          </w:p>
        </w:tc>
      </w:tr>
      <w:tr w14:paraId="2DF1E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restart"/>
            <w:vAlign w:val="center"/>
          </w:tcPr>
          <w:p w14:paraId="53D68CA0">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7</w:t>
            </w:r>
          </w:p>
        </w:tc>
        <w:tc>
          <w:tcPr>
            <w:tcW w:w="1004" w:type="pct"/>
            <w:vMerge w:val="restart"/>
            <w:vAlign w:val="center"/>
          </w:tcPr>
          <w:p w14:paraId="45D11025">
            <w:pPr>
              <w:jc w:val="center"/>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sz w:val="24"/>
                <w:szCs w:val="24"/>
                <w:lang w:val="en-US" w:eastAsia="zh-CN"/>
              </w:rPr>
              <w:t>事故管理</w:t>
            </w:r>
          </w:p>
        </w:tc>
        <w:tc>
          <w:tcPr>
            <w:tcW w:w="842" w:type="pct"/>
            <w:vAlign w:val="center"/>
          </w:tcPr>
          <w:p w14:paraId="0100416A">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sz w:val="24"/>
                <w:szCs w:val="24"/>
                <w:lang w:val="en-US" w:eastAsia="zh-CN"/>
              </w:rPr>
              <w:t>事故上报</w:t>
            </w:r>
          </w:p>
        </w:tc>
        <w:tc>
          <w:tcPr>
            <w:tcW w:w="2143" w:type="pct"/>
            <w:vAlign w:val="center"/>
          </w:tcPr>
          <w:p w14:paraId="2366500E">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事故快速上报、跟进进度、事故台账。</w:t>
            </w:r>
          </w:p>
        </w:tc>
        <w:tc>
          <w:tcPr>
            <w:tcW w:w="501" w:type="pct"/>
          </w:tcPr>
          <w:p w14:paraId="537942C2">
            <w:pPr>
              <w:jc w:val="both"/>
              <w:rPr>
                <w:rFonts w:hint="eastAsia" w:asciiTheme="minorEastAsia" w:hAnsiTheme="minorEastAsia" w:eastAsiaTheme="minorEastAsia" w:cstheme="minorEastAsia"/>
                <w:b w:val="0"/>
                <w:bCs w:val="0"/>
                <w:sz w:val="24"/>
                <w:szCs w:val="24"/>
                <w:vertAlign w:val="baseline"/>
                <w:lang w:eastAsia="zh-CN"/>
              </w:rPr>
            </w:pPr>
          </w:p>
        </w:tc>
      </w:tr>
      <w:tr w14:paraId="2617E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38204267">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004" w:type="pct"/>
            <w:vMerge w:val="continue"/>
            <w:vAlign w:val="center"/>
          </w:tcPr>
          <w:p w14:paraId="61DD0CBB">
            <w:pPr>
              <w:jc w:val="center"/>
              <w:rPr>
                <w:rFonts w:hint="eastAsia" w:asciiTheme="minorEastAsia" w:hAnsiTheme="minorEastAsia" w:eastAsiaTheme="minorEastAsia" w:cstheme="minorEastAsia"/>
                <w:b w:val="0"/>
                <w:bCs w:val="0"/>
                <w:sz w:val="24"/>
                <w:szCs w:val="24"/>
                <w:vertAlign w:val="baseline"/>
                <w:lang w:eastAsia="zh-CN"/>
              </w:rPr>
            </w:pPr>
          </w:p>
        </w:tc>
        <w:tc>
          <w:tcPr>
            <w:tcW w:w="842" w:type="pct"/>
            <w:vAlign w:val="center"/>
          </w:tcPr>
          <w:p w14:paraId="478D98BE">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sz w:val="24"/>
                <w:szCs w:val="24"/>
                <w:lang w:val="en-US" w:eastAsia="zh-CN"/>
              </w:rPr>
              <w:t>事故报告</w:t>
            </w:r>
          </w:p>
        </w:tc>
        <w:tc>
          <w:tcPr>
            <w:tcW w:w="2143" w:type="pct"/>
            <w:vAlign w:val="center"/>
          </w:tcPr>
          <w:p w14:paraId="03677CFB">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事故总结报告，形成经验教训。</w:t>
            </w:r>
          </w:p>
        </w:tc>
        <w:tc>
          <w:tcPr>
            <w:tcW w:w="501" w:type="pct"/>
          </w:tcPr>
          <w:p w14:paraId="5659E027">
            <w:pPr>
              <w:jc w:val="both"/>
              <w:rPr>
                <w:rFonts w:hint="eastAsia" w:asciiTheme="minorEastAsia" w:hAnsiTheme="minorEastAsia" w:eastAsiaTheme="minorEastAsia" w:cstheme="minorEastAsia"/>
                <w:b w:val="0"/>
                <w:bCs w:val="0"/>
                <w:sz w:val="24"/>
                <w:szCs w:val="24"/>
                <w:vertAlign w:val="baseline"/>
                <w:lang w:eastAsia="zh-CN"/>
              </w:rPr>
            </w:pPr>
          </w:p>
        </w:tc>
      </w:tr>
      <w:tr w14:paraId="7F1D2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507" w:type="pct"/>
            <w:vMerge w:val="restart"/>
            <w:vAlign w:val="center"/>
          </w:tcPr>
          <w:p w14:paraId="7574E302">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8</w:t>
            </w:r>
          </w:p>
        </w:tc>
        <w:tc>
          <w:tcPr>
            <w:tcW w:w="1004" w:type="pct"/>
            <w:vMerge w:val="restart"/>
            <w:vAlign w:val="center"/>
          </w:tcPr>
          <w:p w14:paraId="57AFC1EB">
            <w:pPr>
              <w:jc w:val="center"/>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sz w:val="24"/>
                <w:szCs w:val="24"/>
                <w:lang w:val="en-US" w:eastAsia="zh-CN"/>
              </w:rPr>
              <w:t>应急管理</w:t>
            </w:r>
          </w:p>
        </w:tc>
        <w:tc>
          <w:tcPr>
            <w:tcW w:w="842" w:type="pct"/>
            <w:vAlign w:val="center"/>
          </w:tcPr>
          <w:p w14:paraId="725BF016">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sz w:val="24"/>
                <w:szCs w:val="24"/>
                <w:lang w:val="en-US" w:eastAsia="zh-CN"/>
              </w:rPr>
              <w:t>应急小组管理</w:t>
            </w:r>
          </w:p>
        </w:tc>
        <w:tc>
          <w:tcPr>
            <w:tcW w:w="2143" w:type="pct"/>
            <w:vAlign w:val="center"/>
          </w:tcPr>
          <w:p w14:paraId="0775A915">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应急小组成员、职责、联系方式等。</w:t>
            </w:r>
          </w:p>
        </w:tc>
        <w:tc>
          <w:tcPr>
            <w:tcW w:w="501" w:type="pct"/>
          </w:tcPr>
          <w:p w14:paraId="6981C99E">
            <w:pPr>
              <w:jc w:val="both"/>
              <w:rPr>
                <w:rFonts w:hint="eastAsia" w:asciiTheme="minorEastAsia" w:hAnsiTheme="minorEastAsia" w:eastAsiaTheme="minorEastAsia" w:cstheme="minorEastAsia"/>
                <w:b w:val="0"/>
                <w:bCs w:val="0"/>
                <w:sz w:val="24"/>
                <w:szCs w:val="24"/>
                <w:vertAlign w:val="baseline"/>
                <w:lang w:eastAsia="zh-CN"/>
              </w:rPr>
            </w:pPr>
          </w:p>
        </w:tc>
      </w:tr>
      <w:tr w14:paraId="0E726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tcPr>
          <w:p w14:paraId="2A6EE2BF">
            <w:pPr>
              <w:jc w:val="both"/>
              <w:rPr>
                <w:rFonts w:hint="eastAsia" w:asciiTheme="minorEastAsia" w:hAnsiTheme="minorEastAsia" w:eastAsiaTheme="minorEastAsia" w:cstheme="minorEastAsia"/>
                <w:b/>
                <w:bCs/>
                <w:sz w:val="24"/>
                <w:szCs w:val="24"/>
                <w:vertAlign w:val="baseline"/>
                <w:lang w:val="en-US" w:eastAsia="zh-CN"/>
              </w:rPr>
            </w:pPr>
          </w:p>
        </w:tc>
        <w:tc>
          <w:tcPr>
            <w:tcW w:w="1004" w:type="pct"/>
            <w:vMerge w:val="continue"/>
            <w:vAlign w:val="center"/>
          </w:tcPr>
          <w:p w14:paraId="54196EA9">
            <w:pPr>
              <w:rPr>
                <w:rFonts w:hint="eastAsia" w:asciiTheme="minorEastAsia" w:hAnsiTheme="minorEastAsia" w:eastAsiaTheme="minorEastAsia" w:cstheme="minorEastAsia"/>
                <w:b w:val="0"/>
                <w:bCs w:val="0"/>
                <w:sz w:val="24"/>
                <w:szCs w:val="24"/>
                <w:vertAlign w:val="baseline"/>
                <w:lang w:eastAsia="zh-CN"/>
              </w:rPr>
            </w:pPr>
          </w:p>
        </w:tc>
        <w:tc>
          <w:tcPr>
            <w:tcW w:w="842" w:type="pct"/>
            <w:vAlign w:val="center"/>
          </w:tcPr>
          <w:p w14:paraId="20D8D206">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sz w:val="24"/>
                <w:szCs w:val="24"/>
                <w:lang w:val="en-US" w:eastAsia="zh-CN"/>
              </w:rPr>
              <w:t>应急演练计划</w:t>
            </w:r>
          </w:p>
        </w:tc>
        <w:tc>
          <w:tcPr>
            <w:tcW w:w="2143" w:type="pct"/>
            <w:vAlign w:val="center"/>
          </w:tcPr>
          <w:p w14:paraId="2E5BD919">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应急演练计划、演练记录台账等。</w:t>
            </w:r>
          </w:p>
        </w:tc>
        <w:tc>
          <w:tcPr>
            <w:tcW w:w="501" w:type="pct"/>
          </w:tcPr>
          <w:p w14:paraId="020425A3">
            <w:pPr>
              <w:jc w:val="both"/>
              <w:rPr>
                <w:rFonts w:hint="eastAsia" w:asciiTheme="minorEastAsia" w:hAnsiTheme="minorEastAsia" w:eastAsiaTheme="minorEastAsia" w:cstheme="minorEastAsia"/>
                <w:b w:val="0"/>
                <w:bCs w:val="0"/>
                <w:sz w:val="24"/>
                <w:szCs w:val="24"/>
                <w:vertAlign w:val="baseline"/>
                <w:lang w:eastAsia="zh-CN"/>
              </w:rPr>
            </w:pPr>
          </w:p>
        </w:tc>
      </w:tr>
      <w:tr w14:paraId="4103A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tcPr>
          <w:p w14:paraId="5F87F0AF">
            <w:pPr>
              <w:jc w:val="both"/>
              <w:rPr>
                <w:rFonts w:hint="eastAsia" w:asciiTheme="minorEastAsia" w:hAnsiTheme="minorEastAsia" w:eastAsiaTheme="minorEastAsia" w:cstheme="minorEastAsia"/>
                <w:b/>
                <w:bCs/>
                <w:sz w:val="24"/>
                <w:szCs w:val="24"/>
                <w:vertAlign w:val="baseline"/>
                <w:lang w:val="en-US" w:eastAsia="zh-CN"/>
              </w:rPr>
            </w:pPr>
          </w:p>
        </w:tc>
        <w:tc>
          <w:tcPr>
            <w:tcW w:w="1004" w:type="pct"/>
            <w:vMerge w:val="continue"/>
            <w:vAlign w:val="center"/>
          </w:tcPr>
          <w:p w14:paraId="4884ECDF">
            <w:pPr>
              <w:rPr>
                <w:rFonts w:hint="eastAsia" w:asciiTheme="minorEastAsia" w:hAnsiTheme="minorEastAsia" w:eastAsiaTheme="minorEastAsia" w:cstheme="minorEastAsia"/>
                <w:b w:val="0"/>
                <w:bCs w:val="0"/>
                <w:sz w:val="24"/>
                <w:szCs w:val="24"/>
                <w:vertAlign w:val="baseline"/>
                <w:lang w:eastAsia="zh-CN"/>
              </w:rPr>
            </w:pPr>
          </w:p>
        </w:tc>
        <w:tc>
          <w:tcPr>
            <w:tcW w:w="842" w:type="pct"/>
            <w:vAlign w:val="center"/>
          </w:tcPr>
          <w:p w14:paraId="37327003">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sz w:val="24"/>
                <w:szCs w:val="24"/>
                <w:lang w:val="en-US" w:eastAsia="zh-CN"/>
              </w:rPr>
              <w:t>应急预案</w:t>
            </w:r>
          </w:p>
        </w:tc>
        <w:tc>
          <w:tcPr>
            <w:tcW w:w="2143" w:type="pct"/>
            <w:vAlign w:val="center"/>
          </w:tcPr>
          <w:p w14:paraId="6C1AFE0C">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应急预案新建、版本管理、预案台账查询等。</w:t>
            </w:r>
          </w:p>
        </w:tc>
        <w:tc>
          <w:tcPr>
            <w:tcW w:w="501" w:type="pct"/>
          </w:tcPr>
          <w:p w14:paraId="76677B0D">
            <w:pPr>
              <w:jc w:val="both"/>
              <w:rPr>
                <w:rFonts w:hint="eastAsia" w:asciiTheme="minorEastAsia" w:hAnsiTheme="minorEastAsia" w:eastAsiaTheme="minorEastAsia" w:cstheme="minorEastAsia"/>
                <w:b w:val="0"/>
                <w:bCs w:val="0"/>
                <w:sz w:val="24"/>
                <w:szCs w:val="24"/>
                <w:vertAlign w:val="baseline"/>
                <w:lang w:eastAsia="zh-CN"/>
              </w:rPr>
            </w:pPr>
          </w:p>
        </w:tc>
      </w:tr>
      <w:tr w14:paraId="004AC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tcPr>
          <w:p w14:paraId="0720F7A7">
            <w:pPr>
              <w:jc w:val="both"/>
              <w:rPr>
                <w:rFonts w:hint="eastAsia" w:asciiTheme="minorEastAsia" w:hAnsiTheme="minorEastAsia" w:eastAsiaTheme="minorEastAsia" w:cstheme="minorEastAsia"/>
                <w:b/>
                <w:bCs/>
                <w:sz w:val="24"/>
                <w:szCs w:val="24"/>
                <w:vertAlign w:val="baseline"/>
                <w:lang w:val="en-US" w:eastAsia="zh-CN"/>
              </w:rPr>
            </w:pPr>
          </w:p>
        </w:tc>
        <w:tc>
          <w:tcPr>
            <w:tcW w:w="1004" w:type="pct"/>
            <w:vMerge w:val="continue"/>
            <w:vAlign w:val="center"/>
          </w:tcPr>
          <w:p w14:paraId="5C6B38FF">
            <w:pPr>
              <w:rPr>
                <w:rFonts w:hint="eastAsia" w:asciiTheme="minorEastAsia" w:hAnsiTheme="minorEastAsia" w:eastAsiaTheme="minorEastAsia" w:cstheme="minorEastAsia"/>
                <w:b w:val="0"/>
                <w:bCs w:val="0"/>
                <w:sz w:val="24"/>
                <w:szCs w:val="24"/>
                <w:vertAlign w:val="baseline"/>
                <w:lang w:eastAsia="zh-CN"/>
              </w:rPr>
            </w:pPr>
          </w:p>
        </w:tc>
        <w:tc>
          <w:tcPr>
            <w:tcW w:w="842" w:type="pct"/>
            <w:vAlign w:val="center"/>
          </w:tcPr>
          <w:p w14:paraId="549A2F2C">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sz w:val="24"/>
                <w:szCs w:val="24"/>
                <w:lang w:val="en-US" w:eastAsia="zh-CN"/>
              </w:rPr>
              <w:t>应急资源</w:t>
            </w:r>
          </w:p>
        </w:tc>
        <w:tc>
          <w:tcPr>
            <w:tcW w:w="2143" w:type="pct"/>
            <w:vAlign w:val="center"/>
          </w:tcPr>
          <w:p w14:paraId="2D2635AA">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应急相关资源管理。</w:t>
            </w:r>
          </w:p>
        </w:tc>
        <w:tc>
          <w:tcPr>
            <w:tcW w:w="501" w:type="pct"/>
          </w:tcPr>
          <w:p w14:paraId="34246C19">
            <w:pPr>
              <w:jc w:val="both"/>
              <w:rPr>
                <w:rFonts w:hint="eastAsia" w:asciiTheme="minorEastAsia" w:hAnsiTheme="minorEastAsia" w:eastAsiaTheme="minorEastAsia" w:cstheme="minorEastAsia"/>
                <w:b w:val="0"/>
                <w:bCs w:val="0"/>
                <w:sz w:val="24"/>
                <w:szCs w:val="24"/>
                <w:vertAlign w:val="baseline"/>
                <w:lang w:eastAsia="zh-CN"/>
              </w:rPr>
            </w:pPr>
          </w:p>
        </w:tc>
      </w:tr>
      <w:tr w14:paraId="068D4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07" w:type="pct"/>
            <w:vMerge w:val="restart"/>
            <w:vAlign w:val="center"/>
          </w:tcPr>
          <w:p w14:paraId="08CBB241">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9</w:t>
            </w:r>
          </w:p>
        </w:tc>
        <w:tc>
          <w:tcPr>
            <w:tcW w:w="1004" w:type="pct"/>
            <w:vMerge w:val="restart"/>
            <w:vAlign w:val="center"/>
          </w:tcPr>
          <w:p w14:paraId="0EB3EC87">
            <w:pPr>
              <w:jc w:val="center"/>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安全综合管理</w:t>
            </w:r>
          </w:p>
        </w:tc>
        <w:tc>
          <w:tcPr>
            <w:tcW w:w="842" w:type="pct"/>
            <w:vAlign w:val="center"/>
          </w:tcPr>
          <w:p w14:paraId="6482C2DE">
            <w:pPr>
              <w:pStyle w:val="3"/>
              <w:jc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方针目标责任</w:t>
            </w:r>
          </w:p>
        </w:tc>
        <w:tc>
          <w:tcPr>
            <w:tcW w:w="2143" w:type="pct"/>
          </w:tcPr>
          <w:p w14:paraId="29CDC333">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集团：安全理念方针贯宣、年度目标分解制定、年度工作要点制定；</w:t>
            </w:r>
          </w:p>
          <w:p w14:paraId="65ABF60F">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企业：岗位责任状/组织责任状任务下发及电子签订，实现责任状签订流程线上化、文档留痕以及集团（企业）签订率汇总统计。</w:t>
            </w:r>
          </w:p>
        </w:tc>
        <w:tc>
          <w:tcPr>
            <w:tcW w:w="501" w:type="pct"/>
          </w:tcPr>
          <w:p w14:paraId="063D208A">
            <w:pPr>
              <w:jc w:val="both"/>
              <w:rPr>
                <w:rFonts w:hint="eastAsia" w:asciiTheme="minorEastAsia" w:hAnsiTheme="minorEastAsia" w:eastAsiaTheme="minorEastAsia" w:cstheme="minorEastAsia"/>
                <w:b w:val="0"/>
                <w:bCs w:val="0"/>
                <w:sz w:val="24"/>
                <w:szCs w:val="24"/>
                <w:vertAlign w:val="baseline"/>
                <w:lang w:eastAsia="zh-CN"/>
              </w:rPr>
            </w:pPr>
          </w:p>
        </w:tc>
      </w:tr>
      <w:tr w14:paraId="3BE77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52275B7F">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004" w:type="pct"/>
            <w:vMerge w:val="continue"/>
            <w:vAlign w:val="center"/>
          </w:tcPr>
          <w:p w14:paraId="599DC457">
            <w:pPr>
              <w:jc w:val="center"/>
              <w:rPr>
                <w:rFonts w:hint="eastAsia" w:asciiTheme="minorEastAsia" w:hAnsiTheme="minorEastAsia" w:eastAsiaTheme="minorEastAsia" w:cstheme="minorEastAsia"/>
                <w:b w:val="0"/>
                <w:bCs w:val="0"/>
                <w:sz w:val="24"/>
                <w:szCs w:val="24"/>
                <w:vertAlign w:val="baseline"/>
                <w:lang w:eastAsia="zh-CN"/>
              </w:rPr>
            </w:pPr>
          </w:p>
        </w:tc>
        <w:tc>
          <w:tcPr>
            <w:tcW w:w="842" w:type="pct"/>
            <w:vAlign w:val="center"/>
          </w:tcPr>
          <w:p w14:paraId="6AF7A141">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法规制度体系</w:t>
            </w:r>
          </w:p>
        </w:tc>
        <w:tc>
          <w:tcPr>
            <w:tcW w:w="2143" w:type="pct"/>
          </w:tcPr>
          <w:p w14:paraId="400DCAB2">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集团：安全法规识别、标准规范、集团制度贯宣，支持全文</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检索</w:t>
            </w:r>
            <w:r>
              <w:rPr>
                <w:rFonts w:hint="eastAsia" w:asciiTheme="minorEastAsia" w:hAnsiTheme="minorEastAsia" w:eastAsiaTheme="minorEastAsia" w:cstheme="minorEastAsia"/>
                <w:sz w:val="24"/>
                <w:szCs w:val="24"/>
                <w:lang w:val="en-US" w:eastAsia="zh-CN"/>
              </w:rPr>
              <w:t>；</w:t>
            </w:r>
          </w:p>
          <w:p w14:paraId="61349B5D">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企业：企业制度贯宣，支持全文检索</w:t>
            </w:r>
          </w:p>
        </w:tc>
        <w:tc>
          <w:tcPr>
            <w:tcW w:w="501" w:type="pct"/>
          </w:tcPr>
          <w:p w14:paraId="025D908B">
            <w:pPr>
              <w:jc w:val="both"/>
              <w:rPr>
                <w:rFonts w:hint="eastAsia" w:asciiTheme="minorEastAsia" w:hAnsiTheme="minorEastAsia" w:eastAsiaTheme="minorEastAsia" w:cstheme="minorEastAsia"/>
                <w:b w:val="0"/>
                <w:bCs w:val="0"/>
                <w:sz w:val="24"/>
                <w:szCs w:val="24"/>
                <w:vertAlign w:val="baseline"/>
                <w:lang w:eastAsia="zh-CN"/>
              </w:rPr>
            </w:pPr>
          </w:p>
        </w:tc>
      </w:tr>
      <w:tr w14:paraId="21DEA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3E0446CA">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004" w:type="pct"/>
            <w:vMerge w:val="continue"/>
            <w:vAlign w:val="center"/>
          </w:tcPr>
          <w:p w14:paraId="2489EF77">
            <w:pPr>
              <w:jc w:val="center"/>
              <w:rPr>
                <w:rFonts w:hint="eastAsia" w:asciiTheme="minorEastAsia" w:hAnsiTheme="minorEastAsia" w:eastAsiaTheme="minorEastAsia" w:cstheme="minorEastAsia"/>
                <w:b w:val="0"/>
                <w:bCs w:val="0"/>
                <w:sz w:val="24"/>
                <w:szCs w:val="24"/>
                <w:vertAlign w:val="baseline"/>
                <w:lang w:eastAsia="zh-CN"/>
              </w:rPr>
            </w:pPr>
          </w:p>
        </w:tc>
        <w:tc>
          <w:tcPr>
            <w:tcW w:w="842" w:type="pct"/>
            <w:vAlign w:val="center"/>
          </w:tcPr>
          <w:p w14:paraId="276DE382">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安全组织机构</w:t>
            </w:r>
          </w:p>
        </w:tc>
        <w:tc>
          <w:tcPr>
            <w:tcW w:w="2143" w:type="pct"/>
          </w:tcPr>
          <w:p w14:paraId="177255A3">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各部门单位安全组织机构及职责、主要负责人信息及职责展示。</w:t>
            </w:r>
          </w:p>
        </w:tc>
        <w:tc>
          <w:tcPr>
            <w:tcW w:w="501" w:type="pct"/>
          </w:tcPr>
          <w:p w14:paraId="724D8D4A">
            <w:pPr>
              <w:jc w:val="both"/>
              <w:rPr>
                <w:rFonts w:hint="eastAsia" w:asciiTheme="minorEastAsia" w:hAnsiTheme="minorEastAsia" w:eastAsiaTheme="minorEastAsia" w:cstheme="minorEastAsia"/>
                <w:b w:val="0"/>
                <w:bCs w:val="0"/>
                <w:sz w:val="24"/>
                <w:szCs w:val="24"/>
                <w:vertAlign w:val="baseline"/>
                <w:lang w:eastAsia="zh-CN"/>
              </w:rPr>
            </w:pPr>
          </w:p>
        </w:tc>
      </w:tr>
      <w:tr w14:paraId="3AC7D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restart"/>
            <w:vAlign w:val="center"/>
          </w:tcPr>
          <w:p w14:paraId="0928EE0B">
            <w:pPr>
              <w:jc w:val="cente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10</w:t>
            </w:r>
          </w:p>
        </w:tc>
        <w:tc>
          <w:tcPr>
            <w:tcW w:w="1004" w:type="pct"/>
            <w:vMerge w:val="restart"/>
            <w:vAlign w:val="center"/>
          </w:tcPr>
          <w:p w14:paraId="48A2EFFC">
            <w:pPr>
              <w:jc w:val="center"/>
              <w:rPr>
                <w:rFonts w:hint="eastAsia" w:asciiTheme="minorEastAsia" w:hAnsiTheme="minorEastAsia" w:eastAsiaTheme="minorEastAsia" w:cstheme="minorEastAsia"/>
                <w:b w:val="0"/>
                <w:bCs w:val="0"/>
                <w:color w:val="000000" w:themeColor="text1"/>
                <w:sz w:val="24"/>
                <w:szCs w:val="24"/>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风险分级管控</w:t>
            </w:r>
          </w:p>
        </w:tc>
        <w:tc>
          <w:tcPr>
            <w:tcW w:w="842" w:type="pct"/>
            <w:vAlign w:val="center"/>
          </w:tcPr>
          <w:p w14:paraId="0BF19133">
            <w:pPr>
              <w:jc w:val="cente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基础信息</w:t>
            </w:r>
          </w:p>
        </w:tc>
        <w:tc>
          <w:tcPr>
            <w:tcW w:w="2143" w:type="pct"/>
            <w:vAlign w:val="center"/>
          </w:tcPr>
          <w:p w14:paraId="5D736EB9">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设备设施、作业活动/岗位、部位场所等信息管理。</w:t>
            </w:r>
          </w:p>
        </w:tc>
        <w:tc>
          <w:tcPr>
            <w:tcW w:w="501" w:type="pct"/>
          </w:tcPr>
          <w:p w14:paraId="365BB700">
            <w:pPr>
              <w:jc w:val="both"/>
              <w:rPr>
                <w:rFonts w:hint="eastAsia" w:asciiTheme="minorEastAsia" w:hAnsiTheme="minorEastAsia" w:eastAsiaTheme="minorEastAsia" w:cstheme="minorEastAsia"/>
                <w:b w:val="0"/>
                <w:bCs w:val="0"/>
                <w:sz w:val="24"/>
                <w:szCs w:val="24"/>
                <w:vertAlign w:val="baseline"/>
                <w:lang w:eastAsia="zh-CN"/>
              </w:rPr>
            </w:pPr>
          </w:p>
        </w:tc>
      </w:tr>
      <w:tr w14:paraId="372C2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6026C385">
            <w:pPr>
              <w:jc w:val="center"/>
              <w:rPr>
                <w:rFonts w:hint="eastAsia" w:asciiTheme="minorEastAsia" w:hAnsiTheme="minorEastAsia" w:eastAsiaTheme="minorEastAsia" w:cstheme="minorEastAsia"/>
                <w:b/>
                <w:bCs/>
                <w:color w:val="000000" w:themeColor="text1"/>
                <w:sz w:val="24"/>
                <w:szCs w:val="24"/>
                <w:vertAlign w:val="baseline"/>
                <w:lang w:val="en-US" w:eastAsia="zh-CN"/>
                <w14:textFill>
                  <w14:solidFill>
                    <w14:schemeClr w14:val="tx1"/>
                  </w14:solidFill>
                </w14:textFill>
              </w:rPr>
            </w:pPr>
          </w:p>
        </w:tc>
        <w:tc>
          <w:tcPr>
            <w:tcW w:w="1004" w:type="pct"/>
            <w:vMerge w:val="continue"/>
            <w:vAlign w:val="center"/>
          </w:tcPr>
          <w:p w14:paraId="7E15313D">
            <w:pPr>
              <w:jc w:val="center"/>
              <w:rPr>
                <w:rFonts w:hint="eastAsia" w:asciiTheme="minorEastAsia" w:hAnsiTheme="minorEastAsia" w:eastAsiaTheme="minorEastAsia" w:cstheme="minorEastAsia"/>
                <w:b w:val="0"/>
                <w:bCs w:val="0"/>
                <w:color w:val="000000" w:themeColor="text1"/>
                <w:sz w:val="24"/>
                <w:szCs w:val="24"/>
                <w:vertAlign w:val="baseline"/>
                <w:lang w:eastAsia="zh-CN"/>
                <w14:textFill>
                  <w14:solidFill>
                    <w14:schemeClr w14:val="tx1"/>
                  </w14:solidFill>
                </w14:textFill>
              </w:rPr>
            </w:pPr>
          </w:p>
        </w:tc>
        <w:tc>
          <w:tcPr>
            <w:tcW w:w="842" w:type="pct"/>
            <w:vAlign w:val="center"/>
          </w:tcPr>
          <w:p w14:paraId="5BC792F9">
            <w:pPr>
              <w:jc w:val="cente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项目管理</w:t>
            </w:r>
          </w:p>
        </w:tc>
        <w:tc>
          <w:tcPr>
            <w:tcW w:w="2143" w:type="pct"/>
            <w:vAlign w:val="center"/>
          </w:tcPr>
          <w:p w14:paraId="5DB7FD92">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前期策划、制度建设、动员与教育培训等以项目管理。</w:t>
            </w:r>
          </w:p>
        </w:tc>
        <w:tc>
          <w:tcPr>
            <w:tcW w:w="501" w:type="pct"/>
          </w:tcPr>
          <w:p w14:paraId="67EBFA62">
            <w:pPr>
              <w:jc w:val="both"/>
              <w:rPr>
                <w:rFonts w:hint="eastAsia" w:asciiTheme="minorEastAsia" w:hAnsiTheme="minorEastAsia" w:eastAsiaTheme="minorEastAsia" w:cstheme="minorEastAsia"/>
                <w:b w:val="0"/>
                <w:bCs w:val="0"/>
                <w:sz w:val="24"/>
                <w:szCs w:val="24"/>
                <w:vertAlign w:val="baseline"/>
                <w:lang w:eastAsia="zh-CN"/>
              </w:rPr>
            </w:pPr>
          </w:p>
        </w:tc>
      </w:tr>
      <w:tr w14:paraId="78CFA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45C7BD7A">
            <w:pPr>
              <w:jc w:val="center"/>
              <w:rPr>
                <w:rFonts w:hint="eastAsia" w:asciiTheme="minorEastAsia" w:hAnsiTheme="minorEastAsia" w:eastAsiaTheme="minorEastAsia" w:cstheme="minorEastAsia"/>
                <w:b/>
                <w:bCs/>
                <w:color w:val="000000" w:themeColor="text1"/>
                <w:sz w:val="24"/>
                <w:szCs w:val="24"/>
                <w:vertAlign w:val="baseline"/>
                <w:lang w:val="en-US" w:eastAsia="zh-CN"/>
                <w14:textFill>
                  <w14:solidFill>
                    <w14:schemeClr w14:val="tx1"/>
                  </w14:solidFill>
                </w14:textFill>
              </w:rPr>
            </w:pPr>
          </w:p>
        </w:tc>
        <w:tc>
          <w:tcPr>
            <w:tcW w:w="1004" w:type="pct"/>
            <w:vMerge w:val="continue"/>
            <w:vAlign w:val="center"/>
          </w:tcPr>
          <w:p w14:paraId="4DE278F1">
            <w:pPr>
              <w:jc w:val="center"/>
              <w:rPr>
                <w:rFonts w:hint="eastAsia" w:asciiTheme="minorEastAsia" w:hAnsiTheme="minorEastAsia" w:eastAsiaTheme="minorEastAsia" w:cstheme="minorEastAsia"/>
                <w:b w:val="0"/>
                <w:bCs w:val="0"/>
                <w:color w:val="000000" w:themeColor="text1"/>
                <w:sz w:val="24"/>
                <w:szCs w:val="24"/>
                <w:vertAlign w:val="baseline"/>
                <w:lang w:eastAsia="zh-CN"/>
                <w14:textFill>
                  <w14:solidFill>
                    <w14:schemeClr w14:val="tx1"/>
                  </w14:solidFill>
                </w14:textFill>
              </w:rPr>
            </w:pPr>
          </w:p>
        </w:tc>
        <w:tc>
          <w:tcPr>
            <w:tcW w:w="842" w:type="pct"/>
            <w:vAlign w:val="center"/>
          </w:tcPr>
          <w:p w14:paraId="625B9F63">
            <w:pPr>
              <w:jc w:val="cente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风险点管理</w:t>
            </w:r>
          </w:p>
        </w:tc>
        <w:tc>
          <w:tcPr>
            <w:tcW w:w="2143" w:type="pct"/>
            <w:vAlign w:val="center"/>
          </w:tcPr>
          <w:p w14:paraId="7055B810">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风险点类型、风险点卡片、风险点台账等管理。</w:t>
            </w:r>
          </w:p>
        </w:tc>
        <w:tc>
          <w:tcPr>
            <w:tcW w:w="501" w:type="pct"/>
          </w:tcPr>
          <w:p w14:paraId="54102A74">
            <w:pPr>
              <w:jc w:val="both"/>
              <w:rPr>
                <w:rFonts w:hint="eastAsia" w:asciiTheme="minorEastAsia" w:hAnsiTheme="minorEastAsia" w:eastAsiaTheme="minorEastAsia" w:cstheme="minorEastAsia"/>
                <w:b w:val="0"/>
                <w:bCs w:val="0"/>
                <w:sz w:val="24"/>
                <w:szCs w:val="24"/>
                <w:vertAlign w:val="baseline"/>
                <w:lang w:eastAsia="zh-CN"/>
              </w:rPr>
            </w:pPr>
          </w:p>
        </w:tc>
      </w:tr>
      <w:tr w14:paraId="59217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5831890F">
            <w:pPr>
              <w:jc w:val="center"/>
              <w:rPr>
                <w:rFonts w:hint="eastAsia" w:asciiTheme="minorEastAsia" w:hAnsiTheme="minorEastAsia" w:eastAsiaTheme="minorEastAsia" w:cstheme="minorEastAsia"/>
                <w:b/>
                <w:bCs/>
                <w:color w:val="000000" w:themeColor="text1"/>
                <w:sz w:val="24"/>
                <w:szCs w:val="24"/>
                <w:vertAlign w:val="baseline"/>
                <w:lang w:val="en-US" w:eastAsia="zh-CN"/>
                <w14:textFill>
                  <w14:solidFill>
                    <w14:schemeClr w14:val="tx1"/>
                  </w14:solidFill>
                </w14:textFill>
              </w:rPr>
            </w:pPr>
          </w:p>
        </w:tc>
        <w:tc>
          <w:tcPr>
            <w:tcW w:w="1004" w:type="pct"/>
            <w:vMerge w:val="continue"/>
            <w:vAlign w:val="center"/>
          </w:tcPr>
          <w:p w14:paraId="56D9E5BC">
            <w:pPr>
              <w:jc w:val="center"/>
              <w:rPr>
                <w:rFonts w:hint="eastAsia" w:asciiTheme="minorEastAsia" w:hAnsiTheme="minorEastAsia" w:eastAsiaTheme="minorEastAsia" w:cstheme="minorEastAsia"/>
                <w:b w:val="0"/>
                <w:bCs w:val="0"/>
                <w:color w:val="000000" w:themeColor="text1"/>
                <w:sz w:val="24"/>
                <w:szCs w:val="24"/>
                <w:vertAlign w:val="baseline"/>
                <w:lang w:eastAsia="zh-CN"/>
                <w14:textFill>
                  <w14:solidFill>
                    <w14:schemeClr w14:val="tx1"/>
                  </w14:solidFill>
                </w14:textFill>
              </w:rPr>
            </w:pPr>
          </w:p>
        </w:tc>
        <w:tc>
          <w:tcPr>
            <w:tcW w:w="842" w:type="pct"/>
            <w:vAlign w:val="center"/>
          </w:tcPr>
          <w:p w14:paraId="2BD52CF0">
            <w:pPr>
              <w:jc w:val="cente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风险事件管理</w:t>
            </w:r>
          </w:p>
        </w:tc>
        <w:tc>
          <w:tcPr>
            <w:tcW w:w="2143" w:type="pct"/>
            <w:vAlign w:val="center"/>
          </w:tcPr>
          <w:p w14:paraId="292F0DFD">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风险事件上报、风险事件台账等管理。</w:t>
            </w:r>
          </w:p>
        </w:tc>
        <w:tc>
          <w:tcPr>
            <w:tcW w:w="501" w:type="pct"/>
          </w:tcPr>
          <w:p w14:paraId="0D437CEC">
            <w:pPr>
              <w:jc w:val="both"/>
              <w:rPr>
                <w:rFonts w:hint="eastAsia" w:asciiTheme="minorEastAsia" w:hAnsiTheme="minorEastAsia" w:eastAsiaTheme="minorEastAsia" w:cstheme="minorEastAsia"/>
                <w:b w:val="0"/>
                <w:bCs w:val="0"/>
                <w:sz w:val="24"/>
                <w:szCs w:val="24"/>
                <w:vertAlign w:val="baseline"/>
                <w:lang w:eastAsia="zh-CN"/>
              </w:rPr>
            </w:pPr>
          </w:p>
        </w:tc>
      </w:tr>
      <w:tr w14:paraId="2C9BD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1199EFCE">
            <w:pPr>
              <w:jc w:val="center"/>
              <w:rPr>
                <w:rFonts w:hint="eastAsia" w:asciiTheme="minorEastAsia" w:hAnsiTheme="minorEastAsia" w:eastAsiaTheme="minorEastAsia" w:cstheme="minorEastAsia"/>
                <w:b/>
                <w:bCs/>
                <w:color w:val="000000" w:themeColor="text1"/>
                <w:sz w:val="24"/>
                <w:szCs w:val="24"/>
                <w:vertAlign w:val="baseline"/>
                <w:lang w:val="en-US" w:eastAsia="zh-CN"/>
                <w14:textFill>
                  <w14:solidFill>
                    <w14:schemeClr w14:val="tx1"/>
                  </w14:solidFill>
                </w14:textFill>
              </w:rPr>
            </w:pPr>
          </w:p>
        </w:tc>
        <w:tc>
          <w:tcPr>
            <w:tcW w:w="1004" w:type="pct"/>
            <w:vMerge w:val="continue"/>
            <w:vAlign w:val="center"/>
          </w:tcPr>
          <w:p w14:paraId="127BD0DA">
            <w:pPr>
              <w:jc w:val="center"/>
              <w:rPr>
                <w:rFonts w:hint="eastAsia" w:asciiTheme="minorEastAsia" w:hAnsiTheme="minorEastAsia" w:eastAsiaTheme="minorEastAsia" w:cstheme="minorEastAsia"/>
                <w:b w:val="0"/>
                <w:bCs w:val="0"/>
                <w:color w:val="000000" w:themeColor="text1"/>
                <w:sz w:val="24"/>
                <w:szCs w:val="24"/>
                <w:vertAlign w:val="baseline"/>
                <w:lang w:eastAsia="zh-CN"/>
                <w14:textFill>
                  <w14:solidFill>
                    <w14:schemeClr w14:val="tx1"/>
                  </w14:solidFill>
                </w14:textFill>
              </w:rPr>
            </w:pPr>
          </w:p>
        </w:tc>
        <w:tc>
          <w:tcPr>
            <w:tcW w:w="842" w:type="pct"/>
            <w:vAlign w:val="center"/>
          </w:tcPr>
          <w:p w14:paraId="59B43E4B">
            <w:pPr>
              <w:jc w:val="cente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风险辨识管控</w:t>
            </w:r>
          </w:p>
        </w:tc>
        <w:tc>
          <w:tcPr>
            <w:tcW w:w="2143" w:type="pct"/>
            <w:vAlign w:val="center"/>
          </w:tcPr>
          <w:p w14:paraId="2E19B5FB">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争对风险事件进行风险辨识、风险辨识规则管理、直接管控措施制定。</w:t>
            </w:r>
          </w:p>
        </w:tc>
        <w:tc>
          <w:tcPr>
            <w:tcW w:w="501" w:type="pct"/>
          </w:tcPr>
          <w:p w14:paraId="0BF405B1">
            <w:pPr>
              <w:jc w:val="both"/>
              <w:rPr>
                <w:rFonts w:hint="eastAsia" w:asciiTheme="minorEastAsia" w:hAnsiTheme="minorEastAsia" w:eastAsiaTheme="minorEastAsia" w:cstheme="minorEastAsia"/>
                <w:b w:val="0"/>
                <w:bCs w:val="0"/>
                <w:sz w:val="24"/>
                <w:szCs w:val="24"/>
                <w:vertAlign w:val="baseline"/>
                <w:lang w:eastAsia="zh-CN"/>
              </w:rPr>
            </w:pPr>
          </w:p>
        </w:tc>
      </w:tr>
      <w:tr w14:paraId="0B507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2C9CE44D">
            <w:pPr>
              <w:jc w:val="center"/>
              <w:rPr>
                <w:rFonts w:hint="eastAsia" w:asciiTheme="minorEastAsia" w:hAnsiTheme="minorEastAsia" w:eastAsiaTheme="minorEastAsia" w:cstheme="minorEastAsia"/>
                <w:b/>
                <w:bCs/>
                <w:color w:val="000000" w:themeColor="text1"/>
                <w:sz w:val="24"/>
                <w:szCs w:val="24"/>
                <w:vertAlign w:val="baseline"/>
                <w:lang w:val="en-US" w:eastAsia="zh-CN"/>
                <w14:textFill>
                  <w14:solidFill>
                    <w14:schemeClr w14:val="tx1"/>
                  </w14:solidFill>
                </w14:textFill>
              </w:rPr>
            </w:pPr>
          </w:p>
        </w:tc>
        <w:tc>
          <w:tcPr>
            <w:tcW w:w="1004" w:type="pct"/>
            <w:vMerge w:val="continue"/>
            <w:vAlign w:val="center"/>
          </w:tcPr>
          <w:p w14:paraId="3844BBB7">
            <w:pPr>
              <w:jc w:val="center"/>
              <w:rPr>
                <w:rFonts w:hint="eastAsia" w:asciiTheme="minorEastAsia" w:hAnsiTheme="minorEastAsia" w:eastAsiaTheme="minorEastAsia" w:cstheme="minorEastAsia"/>
                <w:b w:val="0"/>
                <w:bCs w:val="0"/>
                <w:color w:val="000000" w:themeColor="text1"/>
                <w:sz w:val="24"/>
                <w:szCs w:val="24"/>
                <w:vertAlign w:val="baseline"/>
                <w:lang w:eastAsia="zh-CN"/>
                <w14:textFill>
                  <w14:solidFill>
                    <w14:schemeClr w14:val="tx1"/>
                  </w14:solidFill>
                </w14:textFill>
              </w:rPr>
            </w:pPr>
          </w:p>
        </w:tc>
        <w:tc>
          <w:tcPr>
            <w:tcW w:w="842" w:type="pct"/>
            <w:vAlign w:val="center"/>
          </w:tcPr>
          <w:p w14:paraId="6D104E1B">
            <w:pPr>
              <w:jc w:val="cente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风险分布管理</w:t>
            </w:r>
          </w:p>
        </w:tc>
        <w:tc>
          <w:tcPr>
            <w:tcW w:w="2143" w:type="pct"/>
            <w:vAlign w:val="center"/>
          </w:tcPr>
          <w:p w14:paraId="1B3A9484">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风险点平面分布、风险分布、风险等级示意图等管理。</w:t>
            </w:r>
          </w:p>
        </w:tc>
        <w:tc>
          <w:tcPr>
            <w:tcW w:w="501" w:type="pct"/>
          </w:tcPr>
          <w:p w14:paraId="2E265A60">
            <w:pPr>
              <w:jc w:val="both"/>
              <w:rPr>
                <w:rFonts w:hint="eastAsia" w:asciiTheme="minorEastAsia" w:hAnsiTheme="minorEastAsia" w:eastAsiaTheme="minorEastAsia" w:cstheme="minorEastAsia"/>
                <w:b w:val="0"/>
                <w:bCs w:val="0"/>
                <w:sz w:val="24"/>
                <w:szCs w:val="24"/>
                <w:vertAlign w:val="baseline"/>
                <w:lang w:eastAsia="zh-CN"/>
              </w:rPr>
            </w:pPr>
          </w:p>
        </w:tc>
      </w:tr>
      <w:tr w14:paraId="0579A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24CF2E10">
            <w:pPr>
              <w:jc w:val="center"/>
              <w:rPr>
                <w:rFonts w:hint="eastAsia" w:asciiTheme="minorEastAsia" w:hAnsiTheme="minorEastAsia" w:eastAsiaTheme="minorEastAsia" w:cstheme="minorEastAsia"/>
                <w:b/>
                <w:bCs/>
                <w:color w:val="000000" w:themeColor="text1"/>
                <w:sz w:val="24"/>
                <w:szCs w:val="24"/>
                <w:vertAlign w:val="baseline"/>
                <w:lang w:val="en-US" w:eastAsia="zh-CN"/>
                <w14:textFill>
                  <w14:solidFill>
                    <w14:schemeClr w14:val="tx1"/>
                  </w14:solidFill>
                </w14:textFill>
              </w:rPr>
            </w:pPr>
          </w:p>
        </w:tc>
        <w:tc>
          <w:tcPr>
            <w:tcW w:w="1004" w:type="pct"/>
            <w:vMerge w:val="continue"/>
            <w:vAlign w:val="center"/>
          </w:tcPr>
          <w:p w14:paraId="69ED08EA">
            <w:pPr>
              <w:jc w:val="center"/>
              <w:rPr>
                <w:rFonts w:hint="eastAsia" w:asciiTheme="minorEastAsia" w:hAnsiTheme="minorEastAsia" w:eastAsiaTheme="minorEastAsia" w:cstheme="minorEastAsia"/>
                <w:b w:val="0"/>
                <w:bCs w:val="0"/>
                <w:color w:val="000000" w:themeColor="text1"/>
                <w:sz w:val="24"/>
                <w:szCs w:val="24"/>
                <w:vertAlign w:val="baseline"/>
                <w:lang w:eastAsia="zh-CN"/>
                <w14:textFill>
                  <w14:solidFill>
                    <w14:schemeClr w14:val="tx1"/>
                  </w14:solidFill>
                </w14:textFill>
              </w:rPr>
            </w:pPr>
          </w:p>
        </w:tc>
        <w:tc>
          <w:tcPr>
            <w:tcW w:w="842" w:type="pct"/>
            <w:vAlign w:val="center"/>
          </w:tcPr>
          <w:p w14:paraId="28AF2E78">
            <w:pPr>
              <w:jc w:val="cente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风险辨识库</w:t>
            </w:r>
          </w:p>
        </w:tc>
        <w:tc>
          <w:tcPr>
            <w:tcW w:w="2143" w:type="pct"/>
            <w:vAlign w:val="center"/>
          </w:tcPr>
          <w:p w14:paraId="7C63A230">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风险辨识库统一管理。</w:t>
            </w:r>
          </w:p>
        </w:tc>
        <w:tc>
          <w:tcPr>
            <w:tcW w:w="501" w:type="pct"/>
          </w:tcPr>
          <w:p w14:paraId="543990A4">
            <w:pPr>
              <w:jc w:val="both"/>
              <w:rPr>
                <w:rFonts w:hint="eastAsia" w:asciiTheme="minorEastAsia" w:hAnsiTheme="minorEastAsia" w:eastAsiaTheme="minorEastAsia" w:cstheme="minorEastAsia"/>
                <w:b w:val="0"/>
                <w:bCs w:val="0"/>
                <w:sz w:val="24"/>
                <w:szCs w:val="24"/>
                <w:vertAlign w:val="baseline"/>
                <w:lang w:eastAsia="zh-CN"/>
              </w:rPr>
            </w:pPr>
          </w:p>
        </w:tc>
      </w:tr>
      <w:tr w14:paraId="440ED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6B3C8BFE">
            <w:pPr>
              <w:jc w:val="center"/>
              <w:rPr>
                <w:rFonts w:hint="eastAsia" w:asciiTheme="minorEastAsia" w:hAnsiTheme="minorEastAsia" w:eastAsiaTheme="minorEastAsia" w:cstheme="minorEastAsia"/>
                <w:b/>
                <w:bCs/>
                <w:color w:val="000000" w:themeColor="text1"/>
                <w:sz w:val="24"/>
                <w:szCs w:val="24"/>
                <w:vertAlign w:val="baseline"/>
                <w:lang w:val="en-US" w:eastAsia="zh-CN"/>
                <w14:textFill>
                  <w14:solidFill>
                    <w14:schemeClr w14:val="tx1"/>
                  </w14:solidFill>
                </w14:textFill>
              </w:rPr>
            </w:pPr>
          </w:p>
        </w:tc>
        <w:tc>
          <w:tcPr>
            <w:tcW w:w="1004" w:type="pct"/>
            <w:vMerge w:val="continue"/>
            <w:vAlign w:val="center"/>
          </w:tcPr>
          <w:p w14:paraId="7A0DBFE1">
            <w:pPr>
              <w:jc w:val="center"/>
              <w:rPr>
                <w:rFonts w:hint="eastAsia" w:asciiTheme="minorEastAsia" w:hAnsiTheme="minorEastAsia" w:eastAsiaTheme="minorEastAsia" w:cstheme="minorEastAsia"/>
                <w:b w:val="0"/>
                <w:bCs w:val="0"/>
                <w:color w:val="000000" w:themeColor="text1"/>
                <w:sz w:val="24"/>
                <w:szCs w:val="24"/>
                <w:vertAlign w:val="baseline"/>
                <w:lang w:eastAsia="zh-CN"/>
                <w14:textFill>
                  <w14:solidFill>
                    <w14:schemeClr w14:val="tx1"/>
                  </w14:solidFill>
                </w14:textFill>
              </w:rPr>
            </w:pPr>
          </w:p>
        </w:tc>
        <w:tc>
          <w:tcPr>
            <w:tcW w:w="842" w:type="pct"/>
            <w:vAlign w:val="center"/>
          </w:tcPr>
          <w:p w14:paraId="15083EE0">
            <w:pPr>
              <w:jc w:val="cente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风险统计分析</w:t>
            </w:r>
          </w:p>
        </w:tc>
        <w:tc>
          <w:tcPr>
            <w:tcW w:w="2143" w:type="pct"/>
            <w:vAlign w:val="center"/>
          </w:tcPr>
          <w:p w14:paraId="0FAC3AD3">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多维度风险管理数据统计分析。</w:t>
            </w:r>
          </w:p>
        </w:tc>
        <w:tc>
          <w:tcPr>
            <w:tcW w:w="501" w:type="pct"/>
          </w:tcPr>
          <w:p w14:paraId="0BA4CEBA">
            <w:pPr>
              <w:jc w:val="both"/>
              <w:rPr>
                <w:rFonts w:hint="eastAsia" w:asciiTheme="minorEastAsia" w:hAnsiTheme="minorEastAsia" w:eastAsiaTheme="minorEastAsia" w:cstheme="minorEastAsia"/>
                <w:b w:val="0"/>
                <w:bCs w:val="0"/>
                <w:sz w:val="24"/>
                <w:szCs w:val="24"/>
                <w:vertAlign w:val="baseline"/>
                <w:lang w:eastAsia="zh-CN"/>
              </w:rPr>
            </w:pPr>
          </w:p>
        </w:tc>
      </w:tr>
      <w:tr w14:paraId="12985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restart"/>
            <w:vAlign w:val="center"/>
          </w:tcPr>
          <w:p w14:paraId="5863320F">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11</w:t>
            </w:r>
          </w:p>
        </w:tc>
        <w:tc>
          <w:tcPr>
            <w:tcW w:w="1004" w:type="pct"/>
            <w:vMerge w:val="restart"/>
            <w:vAlign w:val="center"/>
          </w:tcPr>
          <w:p w14:paraId="61E6CB1F">
            <w:pPr>
              <w:jc w:val="center"/>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sz w:val="24"/>
                <w:szCs w:val="24"/>
                <w:lang w:val="en-US" w:eastAsia="zh-CN"/>
              </w:rPr>
              <w:t>隐患排查治理</w:t>
            </w:r>
          </w:p>
        </w:tc>
        <w:tc>
          <w:tcPr>
            <w:tcW w:w="842" w:type="pct"/>
            <w:vAlign w:val="center"/>
          </w:tcPr>
          <w:p w14:paraId="7796F036">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sz w:val="24"/>
                <w:szCs w:val="24"/>
                <w:lang w:val="en-US" w:eastAsia="zh-CN"/>
              </w:rPr>
              <w:t>检查依据</w:t>
            </w:r>
          </w:p>
        </w:tc>
        <w:tc>
          <w:tcPr>
            <w:tcW w:w="2143" w:type="pct"/>
            <w:vAlign w:val="center"/>
          </w:tcPr>
          <w:p w14:paraId="38E485F0">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依据来源、合规要求等形成统一依据库，提高检查的规范性。</w:t>
            </w:r>
          </w:p>
        </w:tc>
        <w:tc>
          <w:tcPr>
            <w:tcW w:w="501" w:type="pct"/>
          </w:tcPr>
          <w:p w14:paraId="05F942E4">
            <w:pPr>
              <w:jc w:val="both"/>
              <w:rPr>
                <w:rFonts w:hint="eastAsia" w:asciiTheme="minorEastAsia" w:hAnsiTheme="minorEastAsia" w:eastAsiaTheme="minorEastAsia" w:cstheme="minorEastAsia"/>
                <w:b w:val="0"/>
                <w:bCs w:val="0"/>
                <w:sz w:val="24"/>
                <w:szCs w:val="24"/>
                <w:vertAlign w:val="baseline"/>
                <w:lang w:eastAsia="zh-CN"/>
              </w:rPr>
            </w:pPr>
          </w:p>
        </w:tc>
      </w:tr>
      <w:tr w14:paraId="318E1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153FB848">
            <w:pPr>
              <w:jc w:val="center"/>
              <w:rPr>
                <w:rFonts w:hint="eastAsia" w:asciiTheme="minorEastAsia" w:hAnsiTheme="minorEastAsia" w:eastAsiaTheme="minorEastAsia" w:cstheme="minorEastAsia"/>
                <w:b/>
                <w:bCs/>
                <w:sz w:val="24"/>
                <w:szCs w:val="24"/>
                <w:vertAlign w:val="baseline"/>
                <w:lang w:val="en-US" w:eastAsia="zh-CN"/>
              </w:rPr>
            </w:pPr>
          </w:p>
        </w:tc>
        <w:tc>
          <w:tcPr>
            <w:tcW w:w="1004" w:type="pct"/>
            <w:vMerge w:val="continue"/>
            <w:vAlign w:val="center"/>
          </w:tcPr>
          <w:p w14:paraId="795C94AA">
            <w:pPr>
              <w:jc w:val="center"/>
              <w:rPr>
                <w:rFonts w:hint="eastAsia" w:asciiTheme="minorEastAsia" w:hAnsiTheme="minorEastAsia" w:eastAsiaTheme="minorEastAsia" w:cstheme="minorEastAsia"/>
                <w:b w:val="0"/>
                <w:bCs w:val="0"/>
                <w:sz w:val="24"/>
                <w:szCs w:val="24"/>
                <w:vertAlign w:val="baseline"/>
                <w:lang w:eastAsia="zh-CN"/>
              </w:rPr>
            </w:pPr>
          </w:p>
        </w:tc>
        <w:tc>
          <w:tcPr>
            <w:tcW w:w="842" w:type="pct"/>
            <w:vAlign w:val="center"/>
          </w:tcPr>
          <w:p w14:paraId="4135AE8A">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sz w:val="24"/>
                <w:szCs w:val="24"/>
                <w:lang w:val="en-US" w:eastAsia="zh-CN"/>
              </w:rPr>
              <w:t>检查表库</w:t>
            </w:r>
          </w:p>
        </w:tc>
        <w:tc>
          <w:tcPr>
            <w:tcW w:w="2143" w:type="pct"/>
            <w:vAlign w:val="center"/>
          </w:tcPr>
          <w:p w14:paraId="51C4AA17">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检查内容标准化，形成统一检查表库，便于日常检查快速调用。</w:t>
            </w:r>
          </w:p>
        </w:tc>
        <w:tc>
          <w:tcPr>
            <w:tcW w:w="501" w:type="pct"/>
          </w:tcPr>
          <w:p w14:paraId="03B04F81">
            <w:pPr>
              <w:jc w:val="both"/>
              <w:rPr>
                <w:rFonts w:hint="eastAsia" w:asciiTheme="minorEastAsia" w:hAnsiTheme="minorEastAsia" w:eastAsiaTheme="minorEastAsia" w:cstheme="minorEastAsia"/>
                <w:b w:val="0"/>
                <w:bCs w:val="0"/>
                <w:sz w:val="24"/>
                <w:szCs w:val="24"/>
                <w:vertAlign w:val="baseline"/>
                <w:lang w:eastAsia="zh-CN"/>
              </w:rPr>
            </w:pPr>
          </w:p>
        </w:tc>
      </w:tr>
      <w:tr w14:paraId="073B0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2550D25C">
            <w:pPr>
              <w:jc w:val="center"/>
              <w:rPr>
                <w:rFonts w:hint="eastAsia" w:asciiTheme="minorEastAsia" w:hAnsiTheme="minorEastAsia" w:eastAsiaTheme="minorEastAsia" w:cstheme="minorEastAsia"/>
                <w:b/>
                <w:bCs/>
                <w:sz w:val="24"/>
                <w:szCs w:val="24"/>
                <w:vertAlign w:val="baseline"/>
                <w:lang w:val="en-US" w:eastAsia="zh-CN"/>
              </w:rPr>
            </w:pPr>
          </w:p>
        </w:tc>
        <w:tc>
          <w:tcPr>
            <w:tcW w:w="1004" w:type="pct"/>
            <w:vMerge w:val="continue"/>
            <w:vAlign w:val="center"/>
          </w:tcPr>
          <w:p w14:paraId="2E58EE17">
            <w:pPr>
              <w:jc w:val="center"/>
              <w:rPr>
                <w:rFonts w:hint="eastAsia" w:asciiTheme="minorEastAsia" w:hAnsiTheme="minorEastAsia" w:eastAsiaTheme="minorEastAsia" w:cstheme="minorEastAsia"/>
                <w:b w:val="0"/>
                <w:bCs w:val="0"/>
                <w:sz w:val="24"/>
                <w:szCs w:val="24"/>
                <w:vertAlign w:val="baseline"/>
                <w:lang w:eastAsia="zh-CN"/>
              </w:rPr>
            </w:pPr>
          </w:p>
        </w:tc>
        <w:tc>
          <w:tcPr>
            <w:tcW w:w="842" w:type="pct"/>
            <w:vAlign w:val="center"/>
          </w:tcPr>
          <w:p w14:paraId="3DAAE8BF">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sz w:val="24"/>
                <w:szCs w:val="24"/>
                <w:lang w:val="en-US" w:eastAsia="zh-CN"/>
              </w:rPr>
              <w:t>检查计划</w:t>
            </w:r>
          </w:p>
        </w:tc>
        <w:tc>
          <w:tcPr>
            <w:tcW w:w="2143" w:type="pct"/>
            <w:vAlign w:val="center"/>
          </w:tcPr>
          <w:p w14:paraId="7039AD78">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安全检查计划分类管理（日常/专项/综合/节假日/季节/其他自定义类型），计划发布/通知，检查日历等。</w:t>
            </w:r>
          </w:p>
        </w:tc>
        <w:tc>
          <w:tcPr>
            <w:tcW w:w="501" w:type="pct"/>
          </w:tcPr>
          <w:p w14:paraId="48E41262">
            <w:pPr>
              <w:jc w:val="both"/>
              <w:rPr>
                <w:rFonts w:hint="eastAsia" w:asciiTheme="minorEastAsia" w:hAnsiTheme="minorEastAsia" w:eastAsiaTheme="minorEastAsia" w:cstheme="minorEastAsia"/>
                <w:b w:val="0"/>
                <w:bCs w:val="0"/>
                <w:sz w:val="24"/>
                <w:szCs w:val="24"/>
                <w:vertAlign w:val="baseline"/>
                <w:lang w:eastAsia="zh-CN"/>
              </w:rPr>
            </w:pPr>
          </w:p>
        </w:tc>
      </w:tr>
      <w:tr w14:paraId="353C5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3D126FEA">
            <w:pPr>
              <w:jc w:val="center"/>
              <w:rPr>
                <w:rFonts w:hint="eastAsia" w:asciiTheme="minorEastAsia" w:hAnsiTheme="minorEastAsia" w:eastAsiaTheme="minorEastAsia" w:cstheme="minorEastAsia"/>
                <w:b/>
                <w:bCs/>
                <w:sz w:val="24"/>
                <w:szCs w:val="24"/>
                <w:vertAlign w:val="baseline"/>
                <w:lang w:val="en-US" w:eastAsia="zh-CN"/>
              </w:rPr>
            </w:pPr>
          </w:p>
        </w:tc>
        <w:tc>
          <w:tcPr>
            <w:tcW w:w="1004" w:type="pct"/>
            <w:vMerge w:val="continue"/>
            <w:vAlign w:val="center"/>
          </w:tcPr>
          <w:p w14:paraId="593269EC">
            <w:pPr>
              <w:jc w:val="center"/>
              <w:rPr>
                <w:rFonts w:hint="eastAsia" w:asciiTheme="minorEastAsia" w:hAnsiTheme="minorEastAsia" w:eastAsiaTheme="minorEastAsia" w:cstheme="minorEastAsia"/>
                <w:b w:val="0"/>
                <w:bCs w:val="0"/>
                <w:sz w:val="24"/>
                <w:szCs w:val="24"/>
                <w:vertAlign w:val="baseline"/>
                <w:lang w:eastAsia="zh-CN"/>
              </w:rPr>
            </w:pPr>
          </w:p>
        </w:tc>
        <w:tc>
          <w:tcPr>
            <w:tcW w:w="842" w:type="pct"/>
            <w:vAlign w:val="center"/>
          </w:tcPr>
          <w:p w14:paraId="5CFD34EE">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sz w:val="24"/>
                <w:szCs w:val="24"/>
                <w:lang w:val="en-US" w:eastAsia="zh-CN"/>
              </w:rPr>
              <w:t>自检自查</w:t>
            </w:r>
          </w:p>
        </w:tc>
        <w:tc>
          <w:tcPr>
            <w:tcW w:w="2143" w:type="pct"/>
            <w:vAlign w:val="center"/>
          </w:tcPr>
          <w:p w14:paraId="6D18A737">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安全自检自查登记、自检记录、自检台账。</w:t>
            </w:r>
          </w:p>
        </w:tc>
        <w:tc>
          <w:tcPr>
            <w:tcW w:w="501" w:type="pct"/>
          </w:tcPr>
          <w:p w14:paraId="54CA1607">
            <w:pPr>
              <w:jc w:val="both"/>
              <w:rPr>
                <w:rFonts w:hint="eastAsia" w:asciiTheme="minorEastAsia" w:hAnsiTheme="minorEastAsia" w:eastAsiaTheme="minorEastAsia" w:cstheme="minorEastAsia"/>
                <w:b w:val="0"/>
                <w:bCs w:val="0"/>
                <w:sz w:val="24"/>
                <w:szCs w:val="24"/>
                <w:vertAlign w:val="baseline"/>
                <w:lang w:eastAsia="zh-CN"/>
              </w:rPr>
            </w:pPr>
          </w:p>
        </w:tc>
      </w:tr>
      <w:tr w14:paraId="0F17B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2EE654E6">
            <w:pPr>
              <w:jc w:val="center"/>
              <w:rPr>
                <w:rFonts w:hint="eastAsia" w:asciiTheme="minorEastAsia" w:hAnsiTheme="minorEastAsia" w:eastAsiaTheme="minorEastAsia" w:cstheme="minorEastAsia"/>
                <w:b/>
                <w:bCs/>
                <w:sz w:val="24"/>
                <w:szCs w:val="24"/>
                <w:vertAlign w:val="baseline"/>
                <w:lang w:val="en-US" w:eastAsia="zh-CN"/>
              </w:rPr>
            </w:pPr>
          </w:p>
        </w:tc>
        <w:tc>
          <w:tcPr>
            <w:tcW w:w="1004" w:type="pct"/>
            <w:vMerge w:val="continue"/>
            <w:vAlign w:val="center"/>
          </w:tcPr>
          <w:p w14:paraId="07C4E3DE">
            <w:pPr>
              <w:jc w:val="center"/>
              <w:rPr>
                <w:rFonts w:hint="eastAsia" w:asciiTheme="minorEastAsia" w:hAnsiTheme="minorEastAsia" w:eastAsiaTheme="minorEastAsia" w:cstheme="minorEastAsia"/>
                <w:b w:val="0"/>
                <w:bCs w:val="0"/>
                <w:sz w:val="24"/>
                <w:szCs w:val="24"/>
                <w:vertAlign w:val="baseline"/>
                <w:lang w:eastAsia="zh-CN"/>
              </w:rPr>
            </w:pPr>
          </w:p>
        </w:tc>
        <w:tc>
          <w:tcPr>
            <w:tcW w:w="842" w:type="pct"/>
            <w:vAlign w:val="center"/>
          </w:tcPr>
          <w:p w14:paraId="070836E9">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sz w:val="24"/>
                <w:szCs w:val="24"/>
                <w:lang w:val="en-US" w:eastAsia="zh-CN"/>
              </w:rPr>
              <w:t>检查报告</w:t>
            </w:r>
          </w:p>
        </w:tc>
        <w:tc>
          <w:tcPr>
            <w:tcW w:w="2143" w:type="pct"/>
            <w:vAlign w:val="center"/>
          </w:tcPr>
          <w:p w14:paraId="03C0CB03">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检查结果报告。</w:t>
            </w:r>
          </w:p>
        </w:tc>
        <w:tc>
          <w:tcPr>
            <w:tcW w:w="501" w:type="pct"/>
          </w:tcPr>
          <w:p w14:paraId="6C28F07D">
            <w:pPr>
              <w:jc w:val="both"/>
              <w:rPr>
                <w:rFonts w:hint="eastAsia" w:asciiTheme="minorEastAsia" w:hAnsiTheme="minorEastAsia" w:eastAsiaTheme="minorEastAsia" w:cstheme="minorEastAsia"/>
                <w:b w:val="0"/>
                <w:bCs w:val="0"/>
                <w:sz w:val="24"/>
                <w:szCs w:val="24"/>
                <w:vertAlign w:val="baseline"/>
                <w:lang w:eastAsia="zh-CN"/>
              </w:rPr>
            </w:pPr>
          </w:p>
        </w:tc>
      </w:tr>
      <w:tr w14:paraId="79DF4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5BC3F47B">
            <w:pPr>
              <w:jc w:val="center"/>
              <w:rPr>
                <w:rFonts w:hint="eastAsia" w:asciiTheme="minorEastAsia" w:hAnsiTheme="minorEastAsia" w:eastAsiaTheme="minorEastAsia" w:cstheme="minorEastAsia"/>
                <w:b/>
                <w:bCs/>
                <w:sz w:val="24"/>
                <w:szCs w:val="24"/>
                <w:vertAlign w:val="baseline"/>
                <w:lang w:val="en-US" w:eastAsia="zh-CN"/>
              </w:rPr>
            </w:pPr>
          </w:p>
        </w:tc>
        <w:tc>
          <w:tcPr>
            <w:tcW w:w="1004" w:type="pct"/>
            <w:vMerge w:val="continue"/>
            <w:vAlign w:val="center"/>
          </w:tcPr>
          <w:p w14:paraId="0B0A81F9">
            <w:pPr>
              <w:jc w:val="center"/>
              <w:rPr>
                <w:rFonts w:hint="eastAsia" w:asciiTheme="minorEastAsia" w:hAnsiTheme="minorEastAsia" w:eastAsiaTheme="minorEastAsia" w:cstheme="minorEastAsia"/>
                <w:b w:val="0"/>
                <w:bCs w:val="0"/>
                <w:sz w:val="24"/>
                <w:szCs w:val="24"/>
                <w:vertAlign w:val="baseline"/>
                <w:lang w:eastAsia="zh-CN"/>
              </w:rPr>
            </w:pPr>
          </w:p>
        </w:tc>
        <w:tc>
          <w:tcPr>
            <w:tcW w:w="842" w:type="pct"/>
            <w:vAlign w:val="center"/>
          </w:tcPr>
          <w:p w14:paraId="043A8294">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sz w:val="24"/>
                <w:szCs w:val="24"/>
                <w:lang w:val="en-US" w:eastAsia="zh-CN"/>
              </w:rPr>
              <w:t>隐患整改</w:t>
            </w:r>
          </w:p>
        </w:tc>
        <w:tc>
          <w:tcPr>
            <w:tcW w:w="2143" w:type="pct"/>
            <w:vAlign w:val="center"/>
          </w:tcPr>
          <w:p w14:paraId="324E98DA">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隐患整改通知、整改实现台账、整改进度、责任人等。</w:t>
            </w:r>
          </w:p>
        </w:tc>
        <w:tc>
          <w:tcPr>
            <w:tcW w:w="501" w:type="pct"/>
          </w:tcPr>
          <w:p w14:paraId="29C4FE90">
            <w:pPr>
              <w:jc w:val="both"/>
              <w:rPr>
                <w:rFonts w:hint="eastAsia" w:asciiTheme="minorEastAsia" w:hAnsiTheme="minorEastAsia" w:eastAsiaTheme="minorEastAsia" w:cstheme="minorEastAsia"/>
                <w:b w:val="0"/>
                <w:bCs w:val="0"/>
                <w:sz w:val="24"/>
                <w:szCs w:val="24"/>
                <w:vertAlign w:val="baseline"/>
                <w:lang w:eastAsia="zh-CN"/>
              </w:rPr>
            </w:pPr>
          </w:p>
        </w:tc>
      </w:tr>
      <w:tr w14:paraId="10261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6D6BCDC3">
            <w:pPr>
              <w:jc w:val="center"/>
              <w:rPr>
                <w:rFonts w:hint="eastAsia" w:asciiTheme="minorEastAsia" w:hAnsiTheme="minorEastAsia" w:eastAsiaTheme="minorEastAsia" w:cstheme="minorEastAsia"/>
                <w:b/>
                <w:bCs/>
                <w:sz w:val="24"/>
                <w:szCs w:val="24"/>
                <w:vertAlign w:val="baseline"/>
                <w:lang w:val="en-US" w:eastAsia="zh-CN"/>
              </w:rPr>
            </w:pPr>
          </w:p>
        </w:tc>
        <w:tc>
          <w:tcPr>
            <w:tcW w:w="1004" w:type="pct"/>
            <w:vMerge w:val="continue"/>
            <w:vAlign w:val="center"/>
          </w:tcPr>
          <w:p w14:paraId="441BA8C0">
            <w:pPr>
              <w:jc w:val="center"/>
              <w:rPr>
                <w:rFonts w:hint="eastAsia" w:asciiTheme="minorEastAsia" w:hAnsiTheme="minorEastAsia" w:eastAsiaTheme="minorEastAsia" w:cstheme="minorEastAsia"/>
                <w:b w:val="0"/>
                <w:bCs w:val="0"/>
                <w:sz w:val="24"/>
                <w:szCs w:val="24"/>
                <w:vertAlign w:val="baseline"/>
                <w:lang w:eastAsia="zh-CN"/>
              </w:rPr>
            </w:pPr>
          </w:p>
        </w:tc>
        <w:tc>
          <w:tcPr>
            <w:tcW w:w="842" w:type="pct"/>
            <w:vAlign w:val="center"/>
          </w:tcPr>
          <w:p w14:paraId="009DA657">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sz w:val="24"/>
                <w:szCs w:val="24"/>
                <w:lang w:val="en-US" w:eastAsia="zh-CN"/>
              </w:rPr>
              <w:t>隐患跟踪</w:t>
            </w:r>
          </w:p>
        </w:tc>
        <w:tc>
          <w:tcPr>
            <w:tcW w:w="2143" w:type="pct"/>
            <w:vAlign w:val="center"/>
          </w:tcPr>
          <w:p w14:paraId="38084F6E">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隐患整改跟进反馈、整改结果确认、验收等。</w:t>
            </w:r>
          </w:p>
        </w:tc>
        <w:tc>
          <w:tcPr>
            <w:tcW w:w="501" w:type="pct"/>
          </w:tcPr>
          <w:p w14:paraId="18E62334">
            <w:pPr>
              <w:jc w:val="both"/>
              <w:rPr>
                <w:rFonts w:hint="eastAsia" w:asciiTheme="minorEastAsia" w:hAnsiTheme="minorEastAsia" w:eastAsiaTheme="minorEastAsia" w:cstheme="minorEastAsia"/>
                <w:b w:val="0"/>
                <w:bCs w:val="0"/>
                <w:sz w:val="24"/>
                <w:szCs w:val="24"/>
                <w:vertAlign w:val="baseline"/>
                <w:lang w:eastAsia="zh-CN"/>
              </w:rPr>
            </w:pPr>
          </w:p>
        </w:tc>
      </w:tr>
      <w:tr w14:paraId="1AE9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3EDFF2E4">
            <w:pPr>
              <w:jc w:val="center"/>
              <w:rPr>
                <w:rFonts w:hint="eastAsia" w:asciiTheme="minorEastAsia" w:hAnsiTheme="minorEastAsia" w:eastAsiaTheme="minorEastAsia" w:cstheme="minorEastAsia"/>
                <w:b/>
                <w:bCs/>
                <w:sz w:val="24"/>
                <w:szCs w:val="24"/>
                <w:vertAlign w:val="baseline"/>
                <w:lang w:val="en-US" w:eastAsia="zh-CN"/>
              </w:rPr>
            </w:pPr>
          </w:p>
        </w:tc>
        <w:tc>
          <w:tcPr>
            <w:tcW w:w="1004" w:type="pct"/>
            <w:vMerge w:val="continue"/>
            <w:vAlign w:val="center"/>
          </w:tcPr>
          <w:p w14:paraId="58403E4D">
            <w:pPr>
              <w:jc w:val="center"/>
              <w:rPr>
                <w:rFonts w:hint="eastAsia" w:asciiTheme="minorEastAsia" w:hAnsiTheme="minorEastAsia" w:eastAsiaTheme="minorEastAsia" w:cstheme="minorEastAsia"/>
                <w:b w:val="0"/>
                <w:bCs w:val="0"/>
                <w:sz w:val="24"/>
                <w:szCs w:val="24"/>
                <w:vertAlign w:val="baseline"/>
                <w:lang w:eastAsia="zh-CN"/>
              </w:rPr>
            </w:pPr>
          </w:p>
        </w:tc>
        <w:tc>
          <w:tcPr>
            <w:tcW w:w="842" w:type="pct"/>
            <w:vAlign w:val="center"/>
          </w:tcPr>
          <w:p w14:paraId="370ABA0A">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sz w:val="24"/>
                <w:szCs w:val="24"/>
                <w:lang w:val="en-US" w:eastAsia="zh-CN"/>
              </w:rPr>
              <w:t>统计分析</w:t>
            </w:r>
          </w:p>
        </w:tc>
        <w:tc>
          <w:tcPr>
            <w:tcW w:w="2143" w:type="pct"/>
            <w:vAlign w:val="center"/>
          </w:tcPr>
          <w:p w14:paraId="2B6D744D">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隐患排查治理的多维度统计分析报表。</w:t>
            </w:r>
          </w:p>
        </w:tc>
        <w:tc>
          <w:tcPr>
            <w:tcW w:w="501" w:type="pct"/>
          </w:tcPr>
          <w:p w14:paraId="2FEFD740">
            <w:pPr>
              <w:jc w:val="both"/>
              <w:rPr>
                <w:rFonts w:hint="eastAsia" w:asciiTheme="minorEastAsia" w:hAnsiTheme="minorEastAsia" w:eastAsiaTheme="minorEastAsia" w:cstheme="minorEastAsia"/>
                <w:b w:val="0"/>
                <w:bCs w:val="0"/>
                <w:sz w:val="24"/>
                <w:szCs w:val="24"/>
                <w:vertAlign w:val="baseline"/>
                <w:lang w:eastAsia="zh-CN"/>
              </w:rPr>
            </w:pPr>
          </w:p>
        </w:tc>
      </w:tr>
    </w:tbl>
    <w:p w14:paraId="3A8220EC">
      <w:pPr>
        <w:pStyle w:val="10"/>
        <w:spacing w:line="360" w:lineRule="auto"/>
        <w:ind w:firstLine="482" w:firstLineChars="200"/>
        <w:rPr>
          <w:rFonts w:hint="default"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3.4.完成时间节点要求（总体工期60个工作日）</w:t>
      </w:r>
    </w:p>
    <w:tbl>
      <w:tblPr>
        <w:tblStyle w:val="8"/>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3"/>
        <w:gridCol w:w="3745"/>
        <w:gridCol w:w="724"/>
        <w:gridCol w:w="2451"/>
      </w:tblGrid>
      <w:tr w14:paraId="58777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36" w:type="pct"/>
            <w:vAlign w:val="center"/>
          </w:tcPr>
          <w:p w14:paraId="22808CF6">
            <w:pPr>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工作阶段</w:t>
            </w:r>
          </w:p>
        </w:tc>
        <w:tc>
          <w:tcPr>
            <w:tcW w:w="2199" w:type="pct"/>
            <w:vAlign w:val="center"/>
          </w:tcPr>
          <w:p w14:paraId="357F18D8">
            <w:pPr>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主要工作内容</w:t>
            </w:r>
          </w:p>
        </w:tc>
        <w:tc>
          <w:tcPr>
            <w:tcW w:w="425" w:type="pct"/>
            <w:vAlign w:val="center"/>
          </w:tcPr>
          <w:p w14:paraId="71B7E2A5">
            <w:pPr>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工期</w:t>
            </w:r>
          </w:p>
        </w:tc>
        <w:tc>
          <w:tcPr>
            <w:tcW w:w="1439" w:type="pct"/>
            <w:vAlign w:val="center"/>
          </w:tcPr>
          <w:p w14:paraId="3FC01935">
            <w:pPr>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负责人员</w:t>
            </w:r>
          </w:p>
        </w:tc>
      </w:tr>
      <w:tr w14:paraId="2582C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vAlign w:val="center"/>
          </w:tcPr>
          <w:p w14:paraId="6116E366">
            <w:pP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准备阶段</w:t>
            </w:r>
          </w:p>
        </w:tc>
        <w:tc>
          <w:tcPr>
            <w:tcW w:w="2199" w:type="pct"/>
          </w:tcPr>
          <w:p w14:paraId="0EEE663F">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召开项目启动会，与安全相关部门人员及信息部门进行系统功能需求讨论及本地化部署先行条件。</w:t>
            </w:r>
          </w:p>
        </w:tc>
        <w:tc>
          <w:tcPr>
            <w:tcW w:w="425" w:type="pct"/>
            <w:vAlign w:val="center"/>
          </w:tcPr>
          <w:p w14:paraId="6A13D719">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3天</w:t>
            </w:r>
          </w:p>
        </w:tc>
        <w:tc>
          <w:tcPr>
            <w:tcW w:w="1439" w:type="pct"/>
            <w:vAlign w:val="center"/>
          </w:tcPr>
          <w:p w14:paraId="7A60FFEA">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企业安全管理相关负责人、安全管理人员</w:t>
            </w:r>
          </w:p>
        </w:tc>
      </w:tr>
      <w:tr w14:paraId="1367F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936" w:type="pct"/>
            <w:vAlign w:val="center"/>
          </w:tcPr>
          <w:p w14:paraId="24AA92FC">
            <w:pP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线下资料收集阶段</w:t>
            </w:r>
          </w:p>
        </w:tc>
        <w:tc>
          <w:tcPr>
            <w:tcW w:w="2199" w:type="pct"/>
          </w:tcPr>
          <w:p w14:paraId="7EA039AF">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勘查现场收集相关资料：①组织框架；②人员信息；③设备设施险点信息；④作业活动风险点信息；⑤场地平面图。</w:t>
            </w:r>
          </w:p>
        </w:tc>
        <w:tc>
          <w:tcPr>
            <w:tcW w:w="425" w:type="pct"/>
            <w:vAlign w:val="center"/>
          </w:tcPr>
          <w:p w14:paraId="3012BB43">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 天</w:t>
            </w:r>
          </w:p>
        </w:tc>
        <w:tc>
          <w:tcPr>
            <w:tcW w:w="1439" w:type="pct"/>
            <w:vAlign w:val="center"/>
          </w:tcPr>
          <w:p w14:paraId="368736FA">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企业安全管理 人员及第三方安全服务工程师</w:t>
            </w:r>
          </w:p>
        </w:tc>
      </w:tr>
      <w:tr w14:paraId="173D8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vAlign w:val="center"/>
          </w:tcPr>
          <w:p w14:paraId="2EAD6D48">
            <w:pP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线下资料编制阶段</w:t>
            </w:r>
          </w:p>
        </w:tc>
        <w:tc>
          <w:tcPr>
            <w:tcW w:w="2199" w:type="pct"/>
          </w:tcPr>
          <w:p w14:paraId="5AC01111">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专家老师编制相关制度及清单：</w:t>
            </w:r>
          </w:p>
          <w:p w14:paraId="2128868D">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①双重预防相关制度；②风险点清单；③设备设施风险点分析评价清单；④作业活动风险点分析评价清单；⑤隐患排查清单。</w:t>
            </w:r>
          </w:p>
        </w:tc>
        <w:tc>
          <w:tcPr>
            <w:tcW w:w="425" w:type="pct"/>
            <w:vAlign w:val="center"/>
          </w:tcPr>
          <w:p w14:paraId="4D1820E2">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15天</w:t>
            </w:r>
          </w:p>
        </w:tc>
        <w:tc>
          <w:tcPr>
            <w:tcW w:w="1439" w:type="pct"/>
            <w:vAlign w:val="center"/>
          </w:tcPr>
          <w:p w14:paraId="143887CB">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企业安全管理 人员及第三方 安全服务工程 师</w:t>
            </w:r>
          </w:p>
        </w:tc>
      </w:tr>
      <w:tr w14:paraId="24F50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vAlign w:val="center"/>
          </w:tcPr>
          <w:p w14:paraId="0B1CD307">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系统平台搭建阶段</w:t>
            </w:r>
          </w:p>
        </w:tc>
        <w:tc>
          <w:tcPr>
            <w:tcW w:w="2199" w:type="pct"/>
            <w:vAlign w:val="top"/>
          </w:tcPr>
          <w:p w14:paraId="56F42BB9">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统一对各企业安全管理人员集中培训：①上传组织框架、人员信息、风险点导入模版资料；②上传本单位/项目平面图，并在系统 中进行定位、绘制；③进行系统基础信息设置。</w:t>
            </w:r>
          </w:p>
        </w:tc>
        <w:tc>
          <w:tcPr>
            <w:tcW w:w="425" w:type="pct"/>
            <w:vAlign w:val="top"/>
          </w:tcPr>
          <w:p w14:paraId="13B0229D">
            <w:pPr>
              <w:rPr>
                <w:rFonts w:hint="eastAsia" w:asciiTheme="minorEastAsia" w:hAnsiTheme="minorEastAsia" w:eastAsiaTheme="minorEastAsia" w:cstheme="minorEastAsia"/>
                <w:sz w:val="24"/>
                <w:szCs w:val="24"/>
                <w:lang w:val="en-US" w:eastAsia="zh-CN"/>
              </w:rPr>
            </w:pPr>
          </w:p>
          <w:p w14:paraId="35021991">
            <w:pPr>
              <w:rPr>
                <w:rFonts w:hint="eastAsia" w:asciiTheme="minorEastAsia" w:hAnsiTheme="minorEastAsia" w:eastAsiaTheme="minorEastAsia" w:cstheme="minorEastAsia"/>
                <w:sz w:val="24"/>
                <w:szCs w:val="24"/>
                <w:lang w:val="en-US" w:eastAsia="zh-CN"/>
              </w:rPr>
            </w:pPr>
          </w:p>
          <w:p w14:paraId="782C6739">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10天</w:t>
            </w:r>
          </w:p>
        </w:tc>
        <w:tc>
          <w:tcPr>
            <w:tcW w:w="1439" w:type="pct"/>
            <w:vAlign w:val="center"/>
          </w:tcPr>
          <w:p w14:paraId="70DCD1FA">
            <w:pPr>
              <w:rPr>
                <w:rFonts w:hint="eastAsia" w:asciiTheme="minorEastAsia" w:hAnsiTheme="minorEastAsia" w:eastAsiaTheme="minorEastAsia" w:cstheme="minorEastAsia"/>
                <w:sz w:val="24"/>
                <w:szCs w:val="24"/>
                <w:lang w:val="en-US" w:eastAsia="zh-CN"/>
              </w:rPr>
            </w:pPr>
          </w:p>
          <w:p w14:paraId="0D39D838">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企业安全管理 人员及第三方 系统架构服务 工程师</w:t>
            </w:r>
          </w:p>
        </w:tc>
      </w:tr>
      <w:tr w14:paraId="20F36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vAlign w:val="center"/>
          </w:tcPr>
          <w:p w14:paraId="6676DEB2">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平台使用阶段一期（各功能模块流程设置）</w:t>
            </w:r>
          </w:p>
        </w:tc>
        <w:tc>
          <w:tcPr>
            <w:tcW w:w="2199" w:type="pct"/>
            <w:vAlign w:val="top"/>
          </w:tcPr>
          <w:p w14:paraId="6EEC51F7">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统一对所有安全管理人员集中培训设置本企业：①风险点管控部门/人员；②隐患排查任务流程设置3种；③岗位、设备、区域二维码编制生成；④添加培训教育资料，设置培训任务、考试任务、会议任务等；⑤添加一企一档相关内容。</w:t>
            </w:r>
          </w:p>
        </w:tc>
        <w:tc>
          <w:tcPr>
            <w:tcW w:w="425" w:type="pct"/>
            <w:vAlign w:val="center"/>
          </w:tcPr>
          <w:p w14:paraId="16097E90">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5天</w:t>
            </w:r>
          </w:p>
        </w:tc>
        <w:tc>
          <w:tcPr>
            <w:tcW w:w="1439" w:type="pct"/>
            <w:vAlign w:val="center"/>
          </w:tcPr>
          <w:p w14:paraId="718D3ECC">
            <w:pPr>
              <w:rPr>
                <w:rFonts w:hint="eastAsia" w:asciiTheme="minorEastAsia" w:hAnsiTheme="minorEastAsia" w:eastAsiaTheme="minorEastAsia" w:cstheme="minorEastAsia"/>
                <w:sz w:val="24"/>
                <w:szCs w:val="24"/>
                <w:lang w:val="en-US" w:eastAsia="zh-CN"/>
              </w:rPr>
            </w:pPr>
          </w:p>
          <w:p w14:paraId="594DAEC8">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企业安全管理人员及第三方 系统使用服务 工程师</w:t>
            </w:r>
          </w:p>
        </w:tc>
      </w:tr>
      <w:tr w14:paraId="2D234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vAlign w:val="center"/>
          </w:tcPr>
          <w:p w14:paraId="11457F3C">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平台使用阶段二期（日常使用及后台维护）</w:t>
            </w:r>
          </w:p>
        </w:tc>
        <w:tc>
          <w:tcPr>
            <w:tcW w:w="2199" w:type="pct"/>
            <w:vAlign w:val="top"/>
          </w:tcPr>
          <w:p w14:paraId="68F70C7E">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分批次集中（现场/远程）对全员进行系统 平台使用培训（电脑端/手机 APP 端）：</w:t>
            </w:r>
          </w:p>
          <w:p w14:paraId="68E8FC6B">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①对全员进行手机 APP 端任务执行、扫 码检查、随手拍、在线参加培训、在线参加考试、任务转交、流程审批等操作；②对安全管理人员进行查看、筛选、导 出相关安全培训、安全考试；</w:t>
            </w:r>
          </w:p>
          <w:p w14:paraId="1847B2BD">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③对安全部门负责人进行组织架构、人 员信息管理、流程设置等系统相关内容培 训。</w:t>
            </w:r>
          </w:p>
        </w:tc>
        <w:tc>
          <w:tcPr>
            <w:tcW w:w="425" w:type="pct"/>
            <w:vAlign w:val="center"/>
          </w:tcPr>
          <w:p w14:paraId="49B576F1">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10天</w:t>
            </w:r>
          </w:p>
        </w:tc>
        <w:tc>
          <w:tcPr>
            <w:tcW w:w="1439" w:type="pct"/>
            <w:vAlign w:val="center"/>
          </w:tcPr>
          <w:p w14:paraId="1E51E83B">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企业安全管理人员及第三方 系统使用服务 工程师</w:t>
            </w:r>
          </w:p>
        </w:tc>
      </w:tr>
      <w:tr w14:paraId="27FDF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vAlign w:val="center"/>
          </w:tcPr>
          <w:p w14:paraId="1734F636">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平台使用阶段三期（试用阶段）</w:t>
            </w:r>
          </w:p>
        </w:tc>
        <w:tc>
          <w:tcPr>
            <w:tcW w:w="2199" w:type="pct"/>
            <w:vAlign w:val="top"/>
          </w:tcPr>
          <w:p w14:paraId="4C14042D">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试用维护：</w:t>
            </w:r>
          </w:p>
          <w:p w14:paraId="08604421">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①系统操作过程中出现的 bug 修复；②功能模块部分字段不合适修改；③部分功能需要新增内容。</w:t>
            </w:r>
          </w:p>
        </w:tc>
        <w:tc>
          <w:tcPr>
            <w:tcW w:w="425" w:type="pct"/>
            <w:vAlign w:val="center"/>
          </w:tcPr>
          <w:p w14:paraId="3ABBF684">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10天</w:t>
            </w:r>
          </w:p>
        </w:tc>
        <w:tc>
          <w:tcPr>
            <w:tcW w:w="1439" w:type="pct"/>
            <w:vAlign w:val="center"/>
          </w:tcPr>
          <w:p w14:paraId="01850CE7">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企业全员及第三方服务团队</w:t>
            </w:r>
          </w:p>
        </w:tc>
      </w:tr>
      <w:tr w14:paraId="04076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vAlign w:val="center"/>
          </w:tcPr>
          <w:p w14:paraId="0E38C820">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售后服务平台维护阶段</w:t>
            </w:r>
          </w:p>
        </w:tc>
        <w:tc>
          <w:tcPr>
            <w:tcW w:w="2199" w:type="pct"/>
            <w:vAlign w:val="top"/>
          </w:tcPr>
          <w:p w14:paraId="39BA011D">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日常使用维护：</w:t>
            </w:r>
          </w:p>
          <w:p w14:paraId="58FB7F51">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①服务器运行情况监控及维护；</w:t>
            </w:r>
          </w:p>
          <w:p w14:paraId="0D0A67C6">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②系统平台运行软件环境维护（包括意外情况修复）；③系统平台防灾备份、数据恢复；</w:t>
            </w:r>
          </w:p>
          <w:p w14:paraId="2C7E6A74">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④系统平台运行情况监控、客户误操作 处理及其他情况处理；</w:t>
            </w:r>
          </w:p>
          <w:p w14:paraId="79159C98">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⑤日常用户操作使用疑问解答。</w:t>
            </w:r>
          </w:p>
        </w:tc>
        <w:tc>
          <w:tcPr>
            <w:tcW w:w="425" w:type="pct"/>
            <w:vAlign w:val="center"/>
          </w:tcPr>
          <w:p w14:paraId="445F0651">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每年</w:t>
            </w:r>
          </w:p>
        </w:tc>
        <w:tc>
          <w:tcPr>
            <w:tcW w:w="1439" w:type="pct"/>
            <w:vAlign w:val="center"/>
          </w:tcPr>
          <w:p w14:paraId="5A30578C">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第三方服务团队</w:t>
            </w:r>
          </w:p>
        </w:tc>
      </w:tr>
    </w:tbl>
    <w:p w14:paraId="472821B7">
      <w:pPr>
        <w:pStyle w:val="11"/>
        <w:numPr>
          <w:ilvl w:val="0"/>
          <w:numId w:val="0"/>
        </w:numPr>
        <w:ind w:firstLine="482" w:firstLineChars="200"/>
        <w:rPr>
          <w:rFonts w:hint="eastAsia" w:asciiTheme="majorEastAsia" w:hAnsiTheme="majorEastAsia" w:eastAsiaTheme="majorEastAsia" w:cstheme="majorEastAsia"/>
          <w:b/>
          <w:bCs/>
          <w:color w:val="auto"/>
          <w:sz w:val="24"/>
          <w:szCs w:val="24"/>
          <w:highlight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3.5.</w:t>
      </w:r>
      <w:r>
        <w:rPr>
          <w:rFonts w:hint="eastAsia" w:asciiTheme="majorEastAsia" w:hAnsiTheme="majorEastAsia" w:eastAsiaTheme="majorEastAsia" w:cstheme="majorEastAsia"/>
          <w:b/>
          <w:bCs/>
          <w:color w:val="auto"/>
          <w:sz w:val="24"/>
          <w:szCs w:val="24"/>
          <w:highlight w:val="none"/>
          <w:lang w:val="en-US" w:eastAsia="zh-CN"/>
        </w:rPr>
        <w:t>数据备份：</w:t>
      </w:r>
    </w:p>
    <w:p w14:paraId="7F041C67">
      <w:pPr>
        <w:pStyle w:val="11"/>
        <w:numPr>
          <w:ilvl w:val="0"/>
          <w:numId w:val="0"/>
        </w:numPr>
        <w:ind w:firstLine="480" w:firstLineChars="200"/>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考虑到系统数据可能遭到不可抗拒的外界因素造成的丢失或破坏时，系统的数据备份能够及时有效的将数据恢复到</w:t>
      </w:r>
      <w:r>
        <w:rPr>
          <w:rFonts w:hint="eastAsia" w:asciiTheme="majorEastAsia" w:hAnsiTheme="majorEastAsia" w:eastAsiaTheme="majorEastAsia" w:cstheme="majorEastAsia"/>
          <w:b w:val="0"/>
          <w:bCs w:val="0"/>
          <w:color w:val="auto"/>
          <w:sz w:val="24"/>
          <w:szCs w:val="24"/>
          <w:lang w:val="en-US" w:eastAsia="zh-CN"/>
        </w:rPr>
        <w:t>最近的备份日期。通过恢复已备份的数据，使系统能稳定正常运行。</w:t>
      </w:r>
    </w:p>
    <w:p w14:paraId="5AAF7CCA">
      <w:pPr>
        <w:pStyle w:val="11"/>
        <w:numPr>
          <w:ilvl w:val="0"/>
          <w:numId w:val="0"/>
        </w:numPr>
        <w:ind w:firstLine="482" w:firstLineChars="200"/>
        <w:rPr>
          <w:rFonts w:hint="default"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bCs/>
          <w:color w:val="auto"/>
          <w:sz w:val="24"/>
          <w:szCs w:val="24"/>
          <w:lang w:val="en-US" w:eastAsia="zh-CN"/>
        </w:rPr>
        <w:t>3.6软件版权及专利权：</w:t>
      </w:r>
    </w:p>
    <w:p w14:paraId="4428369F">
      <w:pPr>
        <w:pStyle w:val="5"/>
        <w:keepNext w:val="0"/>
        <w:keepLines w:val="0"/>
        <w:widowControl/>
        <w:numPr>
          <w:ilvl w:val="0"/>
          <w:numId w:val="0"/>
        </w:numPr>
        <w:suppressLineNumbers w:val="0"/>
        <w:spacing w:before="150" w:beforeAutospacing="0" w:line="360" w:lineRule="auto"/>
        <w:ind w:firstLine="480" w:firstLineChars="200"/>
        <w:rPr>
          <w:rFonts w:hint="eastAsia" w:asciiTheme="majorEastAsia" w:hAnsiTheme="majorEastAsia" w:eastAsiaTheme="majorEastAsia" w:cstheme="majorEastAsia"/>
          <w:b w:val="0"/>
          <w:bCs w:val="0"/>
          <w:color w:val="auto"/>
          <w:kern w:val="2"/>
          <w:sz w:val="24"/>
          <w:szCs w:val="24"/>
          <w:highlight w:val="none"/>
          <w:lang w:val="en-US" w:eastAsia="zh-CN" w:bidi="ar-SA"/>
        </w:rPr>
      </w:pPr>
      <w:r>
        <w:rPr>
          <w:rFonts w:hint="eastAsia" w:asciiTheme="majorEastAsia" w:hAnsiTheme="majorEastAsia" w:eastAsiaTheme="majorEastAsia" w:cstheme="majorEastAsia"/>
          <w:b w:val="0"/>
          <w:bCs w:val="0"/>
          <w:color w:val="auto"/>
          <w:kern w:val="2"/>
          <w:sz w:val="24"/>
          <w:szCs w:val="24"/>
          <w:highlight w:val="none"/>
          <w:lang w:val="en-US" w:eastAsia="zh-CN" w:bidi="ar-SA"/>
        </w:rPr>
        <w:t>（1）供应商须保障采购人在使用货物或其任何一部分时不受到第三方关于侵犯专利权、商标权或设计权等知识产权的指控。如果任何第三方提出侵权指控，确认事实后该响应视为无效响应，供应商须承担由此可能发生的全部责任，包括且不仅限于经济损失和赔偿责任。</w:t>
      </w:r>
    </w:p>
    <w:p w14:paraId="20869E23">
      <w:pPr>
        <w:pStyle w:val="5"/>
        <w:keepNext w:val="0"/>
        <w:keepLines w:val="0"/>
        <w:widowControl/>
        <w:numPr>
          <w:ilvl w:val="0"/>
          <w:numId w:val="0"/>
        </w:numPr>
        <w:suppressLineNumbers w:val="0"/>
        <w:spacing w:before="150" w:beforeAutospacing="0" w:line="360" w:lineRule="auto"/>
        <w:ind w:firstLine="480" w:firstLineChars="200"/>
        <w:rPr>
          <w:rFonts w:hint="eastAsia" w:asciiTheme="majorEastAsia" w:hAnsiTheme="majorEastAsia" w:eastAsiaTheme="majorEastAsia" w:cstheme="majorEastAsia"/>
          <w:b w:val="0"/>
          <w:bCs w:val="0"/>
          <w:color w:val="auto"/>
          <w:kern w:val="2"/>
          <w:sz w:val="24"/>
          <w:szCs w:val="24"/>
          <w:highlight w:val="none"/>
          <w:lang w:val="en-US" w:eastAsia="zh-CN" w:bidi="ar-SA"/>
        </w:rPr>
      </w:pPr>
      <w:r>
        <w:rPr>
          <w:rFonts w:hint="eastAsia" w:asciiTheme="majorEastAsia" w:hAnsiTheme="majorEastAsia" w:eastAsiaTheme="majorEastAsia" w:cstheme="majorEastAsia"/>
          <w:b w:val="0"/>
          <w:bCs w:val="0"/>
          <w:color w:val="auto"/>
          <w:kern w:val="2"/>
          <w:sz w:val="24"/>
          <w:szCs w:val="24"/>
          <w:highlight w:val="none"/>
          <w:lang w:val="en-US" w:eastAsia="zh-CN" w:bidi="ar-SA"/>
        </w:rPr>
        <w:t>（2）供应商交付的所有APP软件的技术规格参数包括且不仅限于质量、安全等，必须符合双重预防体系</w:t>
      </w:r>
      <w:r>
        <w:rPr>
          <w:rFonts w:hint="eastAsia" w:asciiTheme="majorEastAsia" w:hAnsiTheme="majorEastAsia" w:eastAsiaTheme="majorEastAsia" w:cstheme="majorEastAsia"/>
          <w:b w:val="0"/>
          <w:bCs w:val="0"/>
          <w:color w:val="000000" w:themeColor="text1"/>
          <w:kern w:val="2"/>
          <w:sz w:val="24"/>
          <w:szCs w:val="24"/>
          <w:highlight w:val="none"/>
          <w:lang w:val="en-US" w:eastAsia="zh-CN" w:bidi="ar-SA"/>
          <w14:textFill>
            <w14:solidFill>
              <w14:schemeClr w14:val="tx1"/>
            </w14:solidFill>
          </w14:textFill>
        </w:rPr>
        <w:t>“五有”标准、政府、行</w:t>
      </w:r>
      <w:r>
        <w:rPr>
          <w:rFonts w:hint="eastAsia" w:asciiTheme="majorEastAsia" w:hAnsiTheme="majorEastAsia" w:eastAsiaTheme="majorEastAsia" w:cstheme="majorEastAsia"/>
          <w:b w:val="0"/>
          <w:bCs w:val="0"/>
          <w:color w:val="auto"/>
          <w:kern w:val="2"/>
          <w:sz w:val="24"/>
          <w:szCs w:val="24"/>
          <w:highlight w:val="none"/>
          <w:lang w:val="en-US" w:eastAsia="zh-CN" w:bidi="ar-SA"/>
        </w:rPr>
        <w:t>业相关规范标准要求。</w:t>
      </w:r>
    </w:p>
    <w:p w14:paraId="6C969703">
      <w:pPr>
        <w:pStyle w:val="11"/>
        <w:numPr>
          <w:ilvl w:val="0"/>
          <w:numId w:val="0"/>
        </w:numPr>
        <w:ind w:firstLine="482" w:firstLineChars="200"/>
        <w:jc w:val="left"/>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bCs/>
          <w:color w:val="auto"/>
          <w:kern w:val="2"/>
          <w:sz w:val="24"/>
          <w:szCs w:val="24"/>
          <w:lang w:val="en-US" w:eastAsia="zh-CN" w:bidi="ar-SA"/>
        </w:rPr>
        <w:t>3.7</w:t>
      </w:r>
      <w:r>
        <w:rPr>
          <w:rFonts w:hint="eastAsia" w:asciiTheme="majorEastAsia" w:hAnsiTheme="majorEastAsia" w:eastAsiaTheme="majorEastAsia" w:cstheme="majorEastAsia"/>
          <w:b/>
          <w:bCs/>
          <w:color w:val="auto"/>
          <w:sz w:val="24"/>
          <w:szCs w:val="24"/>
          <w:lang w:val="en-US" w:eastAsia="zh-CN"/>
        </w:rPr>
        <w:t>服务响应要求</w:t>
      </w:r>
      <w:r>
        <w:rPr>
          <w:rFonts w:hint="eastAsia" w:asciiTheme="majorEastAsia" w:hAnsiTheme="majorEastAsia" w:eastAsiaTheme="majorEastAsia" w:cstheme="majorEastAsia"/>
          <w:b w:val="0"/>
          <w:bCs w:val="0"/>
          <w:color w:val="auto"/>
          <w:sz w:val="24"/>
          <w:szCs w:val="24"/>
          <w:lang w:val="en-US" w:eastAsia="zh-CN"/>
        </w:rPr>
        <w:t>：</w:t>
      </w:r>
    </w:p>
    <w:p w14:paraId="5200EA21">
      <w:pPr>
        <w:pStyle w:val="11"/>
        <w:numPr>
          <w:ilvl w:val="0"/>
          <w:numId w:val="0"/>
        </w:numPr>
        <w:ind w:firstLine="480" w:firstLineChars="200"/>
        <w:jc w:val="left"/>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①系统软件发生紧急故障，无法继续运转，供应商应在15分钟内响应，2小时内到场对故障进行紧急处理，恢复系统业务基本运行；</w:t>
      </w:r>
    </w:p>
    <w:p w14:paraId="26277884">
      <w:pPr>
        <w:pStyle w:val="11"/>
        <w:numPr>
          <w:ilvl w:val="0"/>
          <w:numId w:val="0"/>
        </w:numPr>
        <w:ind w:firstLine="480" w:firstLineChars="200"/>
        <w:jc w:val="left"/>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②发生故障严重，性能服务受到严重影响的，应在30分钟内响应，4小时内到场对故障进行紧急处理，恢复系统业务基本运行；</w:t>
      </w:r>
    </w:p>
    <w:p w14:paraId="35B8A1C1">
      <w:pPr>
        <w:pStyle w:val="11"/>
        <w:numPr>
          <w:ilvl w:val="0"/>
          <w:numId w:val="0"/>
        </w:numPr>
        <w:ind w:firstLine="480" w:firstLineChars="200"/>
        <w:jc w:val="left"/>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③发生一般故障，应在60分钟内响应，24小时内恢复系统业务基本运行。</w:t>
      </w:r>
    </w:p>
    <w:p w14:paraId="46EACEE5">
      <w:pPr>
        <w:pStyle w:val="12"/>
        <w:numPr>
          <w:ilvl w:val="0"/>
          <w:numId w:val="0"/>
        </w:numPr>
        <w:spacing w:line="360" w:lineRule="auto"/>
        <w:ind w:leftChars="0" w:firstLine="482" w:firstLineChars="200"/>
        <w:outlineLvl w:val="2"/>
        <w:rPr>
          <w:rFonts w:hint="eastAsia" w:asciiTheme="majorEastAsia" w:hAnsiTheme="majorEastAsia" w:eastAsiaTheme="majorEastAsia" w:cstheme="majorEastAsia"/>
          <w:b/>
          <w:bCs/>
          <w:color w:val="auto"/>
          <w:kern w:val="2"/>
          <w:sz w:val="24"/>
          <w:szCs w:val="24"/>
          <w:lang w:val="en-US" w:eastAsia="zh-CN" w:bidi="ar-SA"/>
        </w:rPr>
      </w:pPr>
      <w:r>
        <w:rPr>
          <w:rFonts w:hint="eastAsia" w:asciiTheme="majorEastAsia" w:hAnsiTheme="majorEastAsia" w:eastAsiaTheme="majorEastAsia" w:cstheme="majorEastAsia"/>
          <w:b/>
          <w:bCs/>
          <w:color w:val="auto"/>
          <w:kern w:val="2"/>
          <w:sz w:val="24"/>
          <w:szCs w:val="24"/>
          <w:lang w:val="en-US" w:eastAsia="zh-CN" w:bidi="ar-SA"/>
        </w:rPr>
        <w:t>3.8、验收方式：</w:t>
      </w:r>
    </w:p>
    <w:p w14:paraId="10282EED">
      <w:pPr>
        <w:pStyle w:val="12"/>
        <w:numPr>
          <w:ilvl w:val="0"/>
          <w:numId w:val="0"/>
        </w:numPr>
        <w:spacing w:line="360" w:lineRule="auto"/>
        <w:ind w:leftChars="0" w:firstLine="480" w:firstLineChars="200"/>
        <w:outlineLvl w:val="2"/>
        <w:rPr>
          <w:rFonts w:hint="eastAsia" w:asciiTheme="majorEastAsia" w:hAnsiTheme="majorEastAsia" w:eastAsiaTheme="majorEastAsia"/>
          <w:b w:val="0"/>
          <w:bCs/>
          <w:color w:val="auto"/>
          <w:sz w:val="24"/>
          <w:szCs w:val="24"/>
          <w:highlight w:val="none"/>
          <w:lang w:val="en-US" w:eastAsia="zh-CN"/>
        </w:rPr>
      </w:pPr>
      <w:r>
        <w:rPr>
          <w:rFonts w:hint="eastAsia" w:asciiTheme="majorEastAsia" w:hAnsiTheme="majorEastAsia" w:eastAsiaTheme="majorEastAsia"/>
          <w:b w:val="0"/>
          <w:bCs/>
          <w:color w:val="auto"/>
          <w:sz w:val="24"/>
          <w:szCs w:val="24"/>
          <w:highlight w:val="none"/>
          <w:lang w:val="en-US" w:eastAsia="zh-CN"/>
        </w:rPr>
        <w:t xml:space="preserve">（1）验收标准：按国家相关标准、竞价文件中的规定及合同中相关条款要求进行验收。产品软件质量达到设计要求，安装调试各项指标符合技术参数。 </w:t>
      </w:r>
    </w:p>
    <w:p w14:paraId="5C05ADF0">
      <w:pPr>
        <w:pStyle w:val="12"/>
        <w:numPr>
          <w:ilvl w:val="0"/>
          <w:numId w:val="0"/>
        </w:numPr>
        <w:spacing w:line="360" w:lineRule="auto"/>
        <w:ind w:leftChars="0" w:firstLine="480" w:firstLineChars="200"/>
        <w:outlineLvl w:val="2"/>
        <w:rPr>
          <w:rFonts w:hint="eastAsia" w:asciiTheme="majorEastAsia" w:hAnsiTheme="majorEastAsia" w:eastAsiaTheme="majorEastAsia"/>
          <w:b w:val="0"/>
          <w:bCs/>
          <w:color w:val="auto"/>
          <w:sz w:val="24"/>
          <w:szCs w:val="24"/>
          <w:highlight w:val="none"/>
          <w:lang w:val="en-US" w:eastAsia="zh-CN"/>
        </w:rPr>
      </w:pPr>
      <w:r>
        <w:rPr>
          <w:rFonts w:hint="eastAsia" w:asciiTheme="majorEastAsia" w:hAnsiTheme="majorEastAsia" w:eastAsiaTheme="majorEastAsia"/>
          <w:b w:val="0"/>
          <w:bCs/>
          <w:color w:val="auto"/>
          <w:sz w:val="24"/>
          <w:szCs w:val="24"/>
          <w:highlight w:val="none"/>
          <w:lang w:val="en-US" w:eastAsia="zh-CN"/>
        </w:rPr>
        <w:t>（2）在合同签订后30日内提交初步软件；经过委托人15日试运行，中标人根据采购人使用意见及反馈对软件进行修正调试，15日后提交正式软件。当所有性能指标达到采购人要求时，由中标人提出系统验收书面申请，采购人在收到中标人验收申请后，在10个工作日内组织最终验收。验收由采购人及中标人双方联合对项目进行验收。验收报告由采购人及中标人双方代表签字确认。</w:t>
      </w:r>
    </w:p>
    <w:p w14:paraId="0BEE6985">
      <w:pPr>
        <w:pStyle w:val="12"/>
        <w:numPr>
          <w:ilvl w:val="0"/>
          <w:numId w:val="0"/>
        </w:numPr>
        <w:spacing w:line="360" w:lineRule="auto"/>
        <w:ind w:leftChars="0" w:firstLine="482" w:firstLineChars="200"/>
        <w:outlineLvl w:val="2"/>
        <w:rPr>
          <w:rFonts w:hint="eastAsia" w:asciiTheme="majorEastAsia" w:hAnsiTheme="majorEastAsia" w:eastAsiaTheme="majorEastAsia"/>
          <w:b/>
          <w:bCs w:val="0"/>
          <w:color w:val="auto"/>
          <w:sz w:val="24"/>
          <w:szCs w:val="24"/>
          <w:highlight w:val="none"/>
          <w:lang w:val="en-US" w:eastAsia="zh-CN"/>
        </w:rPr>
      </w:pPr>
      <w:r>
        <w:rPr>
          <w:rFonts w:hint="eastAsia" w:asciiTheme="majorEastAsia" w:hAnsiTheme="majorEastAsia" w:eastAsiaTheme="majorEastAsia"/>
          <w:b/>
          <w:bCs w:val="0"/>
          <w:color w:val="auto"/>
          <w:sz w:val="24"/>
          <w:szCs w:val="24"/>
          <w:highlight w:val="none"/>
          <w:lang w:val="en-US" w:eastAsia="zh-CN"/>
        </w:rPr>
        <w:t>3.9、售后服务要求</w:t>
      </w:r>
    </w:p>
    <w:p w14:paraId="780FF41E">
      <w:pPr>
        <w:pStyle w:val="12"/>
        <w:numPr>
          <w:ilvl w:val="0"/>
          <w:numId w:val="0"/>
        </w:numPr>
        <w:spacing w:line="360" w:lineRule="auto"/>
        <w:ind w:leftChars="0" w:firstLine="480" w:firstLineChars="200"/>
        <w:outlineLvl w:val="2"/>
        <w:rPr>
          <w:rFonts w:hint="default" w:asciiTheme="majorEastAsia" w:hAnsiTheme="majorEastAsia" w:eastAsiaTheme="majorEastAsia"/>
          <w:b w:val="0"/>
          <w:bCs/>
          <w:color w:val="auto"/>
          <w:sz w:val="24"/>
          <w:szCs w:val="24"/>
          <w:highlight w:val="none"/>
          <w:lang w:val="en-US" w:eastAsia="zh-CN"/>
        </w:rPr>
      </w:pPr>
      <w:r>
        <w:rPr>
          <w:rFonts w:hint="eastAsia" w:asciiTheme="majorEastAsia" w:hAnsiTheme="majorEastAsia" w:eastAsiaTheme="majorEastAsia"/>
          <w:b w:val="0"/>
          <w:bCs/>
          <w:color w:val="auto"/>
          <w:sz w:val="24"/>
          <w:szCs w:val="24"/>
          <w:highlight w:val="none"/>
          <w:lang w:val="en-US" w:eastAsia="zh-CN"/>
        </w:rPr>
        <w:t>（</w:t>
      </w:r>
      <w:r>
        <w:rPr>
          <w:rFonts w:hint="default" w:asciiTheme="majorEastAsia" w:hAnsiTheme="majorEastAsia" w:eastAsiaTheme="majorEastAsia"/>
          <w:b w:val="0"/>
          <w:bCs/>
          <w:color w:val="auto"/>
          <w:sz w:val="24"/>
          <w:szCs w:val="24"/>
          <w:highlight w:val="none"/>
          <w:lang w:val="en-US" w:eastAsia="zh-CN"/>
        </w:rPr>
        <w:t>1</w:t>
      </w:r>
      <w:r>
        <w:rPr>
          <w:rFonts w:hint="eastAsia" w:asciiTheme="majorEastAsia" w:hAnsiTheme="majorEastAsia" w:eastAsiaTheme="majorEastAsia"/>
          <w:b w:val="0"/>
          <w:bCs/>
          <w:color w:val="auto"/>
          <w:sz w:val="24"/>
          <w:szCs w:val="24"/>
          <w:highlight w:val="none"/>
          <w:lang w:val="en-US" w:eastAsia="zh-CN"/>
        </w:rPr>
        <w:t>）</w:t>
      </w:r>
      <w:r>
        <w:rPr>
          <w:rFonts w:hint="default" w:asciiTheme="majorEastAsia" w:hAnsiTheme="majorEastAsia" w:eastAsiaTheme="majorEastAsia"/>
          <w:b w:val="0"/>
          <w:bCs/>
          <w:color w:val="auto"/>
          <w:sz w:val="24"/>
          <w:szCs w:val="24"/>
          <w:highlight w:val="none"/>
          <w:lang w:val="en-US" w:eastAsia="zh-CN"/>
        </w:rPr>
        <w:t>双重预防机制建设系统</w:t>
      </w:r>
      <w:r>
        <w:rPr>
          <w:rFonts w:hint="eastAsia" w:asciiTheme="majorEastAsia" w:hAnsiTheme="majorEastAsia" w:eastAsiaTheme="majorEastAsia"/>
          <w:b w:val="0"/>
          <w:bCs/>
          <w:color w:val="auto"/>
          <w:sz w:val="24"/>
          <w:szCs w:val="24"/>
          <w:highlight w:val="none"/>
          <w:lang w:val="en-US" w:eastAsia="zh-CN"/>
        </w:rPr>
        <w:t>软件</w:t>
      </w:r>
      <w:r>
        <w:rPr>
          <w:rFonts w:hint="default" w:asciiTheme="majorEastAsia" w:hAnsiTheme="majorEastAsia" w:eastAsiaTheme="majorEastAsia"/>
          <w:b w:val="0"/>
          <w:bCs/>
          <w:color w:val="auto"/>
          <w:sz w:val="24"/>
          <w:szCs w:val="24"/>
          <w:highlight w:val="none"/>
          <w:lang w:val="en-US" w:eastAsia="zh-CN"/>
        </w:rPr>
        <w:t>必须兼容委托人原有的工程软件APP及资产管理系统。</w:t>
      </w:r>
    </w:p>
    <w:p w14:paraId="5D4C1638">
      <w:pPr>
        <w:pStyle w:val="12"/>
        <w:numPr>
          <w:ilvl w:val="0"/>
          <w:numId w:val="0"/>
        </w:numPr>
        <w:spacing w:line="360" w:lineRule="auto"/>
        <w:ind w:leftChars="0" w:firstLine="480" w:firstLineChars="200"/>
        <w:outlineLvl w:val="2"/>
        <w:rPr>
          <w:rFonts w:hint="default" w:asciiTheme="majorEastAsia" w:hAnsiTheme="majorEastAsia" w:eastAsiaTheme="majorEastAsia"/>
          <w:b w:val="0"/>
          <w:bCs/>
          <w:color w:val="auto"/>
          <w:sz w:val="24"/>
          <w:szCs w:val="24"/>
          <w:highlight w:val="none"/>
          <w:lang w:val="en-US" w:eastAsia="zh-CN"/>
        </w:rPr>
      </w:pPr>
      <w:r>
        <w:rPr>
          <w:rFonts w:hint="eastAsia" w:asciiTheme="majorEastAsia" w:hAnsiTheme="majorEastAsia" w:eastAsiaTheme="majorEastAsia"/>
          <w:b w:val="0"/>
          <w:bCs/>
          <w:color w:val="auto"/>
          <w:sz w:val="24"/>
          <w:szCs w:val="24"/>
          <w:highlight w:val="none"/>
          <w:lang w:val="en-US" w:eastAsia="zh-CN"/>
        </w:rPr>
        <w:t>（</w:t>
      </w:r>
      <w:r>
        <w:rPr>
          <w:rFonts w:hint="default" w:asciiTheme="majorEastAsia" w:hAnsiTheme="majorEastAsia" w:eastAsiaTheme="majorEastAsia"/>
          <w:b w:val="0"/>
          <w:bCs/>
          <w:color w:val="auto"/>
          <w:sz w:val="24"/>
          <w:szCs w:val="24"/>
          <w:highlight w:val="none"/>
          <w:lang w:val="en-US" w:eastAsia="zh-CN"/>
        </w:rPr>
        <w:t>2</w:t>
      </w:r>
      <w:r>
        <w:rPr>
          <w:rFonts w:hint="eastAsia" w:asciiTheme="majorEastAsia" w:hAnsiTheme="majorEastAsia" w:eastAsiaTheme="majorEastAsia"/>
          <w:b w:val="0"/>
          <w:bCs/>
          <w:color w:val="auto"/>
          <w:sz w:val="24"/>
          <w:szCs w:val="24"/>
          <w:highlight w:val="none"/>
          <w:lang w:val="en-US" w:eastAsia="zh-CN"/>
        </w:rPr>
        <w:t>）</w:t>
      </w:r>
      <w:r>
        <w:rPr>
          <w:rFonts w:hint="default" w:asciiTheme="majorEastAsia" w:hAnsiTheme="majorEastAsia" w:eastAsiaTheme="majorEastAsia"/>
          <w:b w:val="0"/>
          <w:bCs/>
          <w:color w:val="auto"/>
          <w:sz w:val="24"/>
          <w:szCs w:val="24"/>
          <w:highlight w:val="none"/>
          <w:lang w:val="en-US" w:eastAsia="zh-CN"/>
        </w:rPr>
        <w:t>免费提供软件培训，提供培训内容：提供系统软介绍、安装过程培训、系统管理与维护培训。（要求提供完整的技术培训资料，且要求中标供应商第一年必须提供集中培训不少于2次，其后每次重大更新不少于1次）</w:t>
      </w:r>
    </w:p>
    <w:p w14:paraId="3A9BEE66">
      <w:pPr>
        <w:pStyle w:val="12"/>
        <w:numPr>
          <w:ilvl w:val="0"/>
          <w:numId w:val="0"/>
        </w:numPr>
        <w:spacing w:line="360" w:lineRule="auto"/>
        <w:ind w:leftChars="0" w:firstLine="480" w:firstLineChars="200"/>
        <w:outlineLvl w:val="2"/>
        <w:rPr>
          <w:rFonts w:hint="default" w:asciiTheme="majorEastAsia" w:hAnsiTheme="majorEastAsia" w:eastAsiaTheme="majorEastAsia"/>
          <w:b w:val="0"/>
          <w:bCs/>
          <w:color w:val="auto"/>
          <w:sz w:val="24"/>
          <w:szCs w:val="24"/>
          <w:highlight w:val="none"/>
          <w:lang w:val="en-US" w:eastAsia="zh-CN"/>
        </w:rPr>
      </w:pPr>
      <w:r>
        <w:rPr>
          <w:rFonts w:hint="eastAsia" w:asciiTheme="majorEastAsia" w:hAnsiTheme="majorEastAsia" w:eastAsiaTheme="majorEastAsia"/>
          <w:b w:val="0"/>
          <w:bCs/>
          <w:color w:val="auto"/>
          <w:sz w:val="24"/>
          <w:szCs w:val="24"/>
          <w:highlight w:val="none"/>
          <w:lang w:val="en-US" w:eastAsia="zh-CN"/>
        </w:rPr>
        <w:t>（3）</w:t>
      </w:r>
      <w:r>
        <w:rPr>
          <w:rFonts w:hint="default" w:asciiTheme="majorEastAsia" w:hAnsiTheme="majorEastAsia" w:eastAsiaTheme="majorEastAsia"/>
          <w:b w:val="0"/>
          <w:bCs/>
          <w:color w:val="auto"/>
          <w:sz w:val="24"/>
          <w:szCs w:val="24"/>
          <w:highlight w:val="none"/>
          <w:lang w:val="en-US" w:eastAsia="zh-CN"/>
        </w:rPr>
        <w:t>提供</w:t>
      </w:r>
      <w:r>
        <w:rPr>
          <w:rFonts w:hint="eastAsia" w:asciiTheme="majorEastAsia" w:hAnsiTheme="majorEastAsia" w:eastAsiaTheme="majorEastAsia"/>
          <w:b w:val="0"/>
          <w:bCs/>
          <w:color w:val="auto"/>
          <w:sz w:val="24"/>
          <w:szCs w:val="24"/>
          <w:highlight w:val="none"/>
          <w:lang w:val="en-US" w:eastAsia="zh-CN"/>
        </w:rPr>
        <w:t>叁</w:t>
      </w:r>
      <w:bookmarkStart w:id="0" w:name="_GoBack"/>
      <w:bookmarkEnd w:id="0"/>
      <w:r>
        <w:rPr>
          <w:rFonts w:hint="default" w:asciiTheme="majorEastAsia" w:hAnsiTheme="majorEastAsia" w:eastAsiaTheme="majorEastAsia"/>
          <w:b w:val="0"/>
          <w:bCs/>
          <w:color w:val="auto"/>
          <w:sz w:val="24"/>
          <w:szCs w:val="24"/>
          <w:highlight w:val="none"/>
          <w:lang w:val="en-US" w:eastAsia="zh-CN"/>
        </w:rPr>
        <w:t>年的软件免费维护和必要的上门服务。在维护期间内，出于信息安全需要，免费对操作系统及数据库系统等进行升级补丁服务。</w:t>
      </w:r>
    </w:p>
    <w:p w14:paraId="74F63118">
      <w:pPr>
        <w:pStyle w:val="11"/>
        <w:numPr>
          <w:ilvl w:val="0"/>
          <w:numId w:val="0"/>
        </w:numPr>
        <w:ind w:firstLine="480" w:firstLineChars="200"/>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b w:val="0"/>
          <w:bCs/>
          <w:color w:val="auto"/>
          <w:sz w:val="24"/>
          <w:szCs w:val="24"/>
          <w:highlight w:val="none"/>
          <w:lang w:val="en-US" w:eastAsia="zh-CN"/>
        </w:rPr>
        <w:t>（4）采购人在免费维护期后按成交维护费支付</w:t>
      </w:r>
      <w:r>
        <w:rPr>
          <w:rFonts w:hint="eastAsia" w:asciiTheme="majorEastAsia" w:hAnsiTheme="majorEastAsia" w:eastAsiaTheme="majorEastAsia" w:cstheme="majorEastAsia"/>
          <w:b w:val="0"/>
          <w:bCs w:val="0"/>
          <w:color w:val="auto"/>
          <w:sz w:val="24"/>
          <w:szCs w:val="24"/>
          <w:lang w:val="en-US" w:eastAsia="zh-CN"/>
        </w:rPr>
        <w:t>每年系统维护费用，以</w:t>
      </w:r>
      <w:r>
        <w:rPr>
          <w:rFonts w:hint="default" w:asciiTheme="majorEastAsia" w:hAnsiTheme="majorEastAsia" w:eastAsiaTheme="majorEastAsia"/>
          <w:b w:val="0"/>
          <w:bCs/>
          <w:color w:val="auto"/>
          <w:sz w:val="24"/>
          <w:szCs w:val="24"/>
          <w:highlight w:val="none"/>
          <w:lang w:val="en-US" w:eastAsia="zh-CN"/>
        </w:rPr>
        <w:t>双重预防机制建设系统</w:t>
      </w:r>
      <w:r>
        <w:rPr>
          <w:rFonts w:hint="eastAsia" w:asciiTheme="majorEastAsia" w:hAnsiTheme="majorEastAsia" w:eastAsiaTheme="majorEastAsia"/>
          <w:b w:val="0"/>
          <w:bCs/>
          <w:color w:val="auto"/>
          <w:sz w:val="24"/>
          <w:szCs w:val="24"/>
          <w:highlight w:val="none"/>
          <w:lang w:val="en-US" w:eastAsia="zh-CN"/>
        </w:rPr>
        <w:t>软件</w:t>
      </w:r>
      <w:r>
        <w:rPr>
          <w:rFonts w:hint="eastAsia" w:asciiTheme="majorEastAsia" w:hAnsiTheme="majorEastAsia" w:eastAsiaTheme="majorEastAsia" w:cstheme="majorEastAsia"/>
          <w:b w:val="0"/>
          <w:bCs w:val="0"/>
          <w:color w:val="auto"/>
          <w:sz w:val="24"/>
          <w:szCs w:val="24"/>
          <w:lang w:val="en-US" w:eastAsia="zh-CN"/>
        </w:rPr>
        <w:t>所有性能指标达到采购人要求且验收合格之日起算壹年整。</w:t>
      </w:r>
    </w:p>
    <w:p w14:paraId="010F323A">
      <w:pPr>
        <w:pStyle w:val="6"/>
        <w:pageBreakBefore w:val="0"/>
        <w:numPr>
          <w:ilvl w:val="0"/>
          <w:numId w:val="0"/>
        </w:numPr>
        <w:kinsoku/>
        <w:overflowPunct/>
        <w:topLinePunct w:val="0"/>
        <w:autoSpaceDE/>
        <w:autoSpaceDN/>
        <w:bidi w:val="0"/>
        <w:adjustRightInd/>
        <w:snapToGrid/>
        <w:spacing w:beforeAutospacing="0" w:after="0" w:afterAutospacing="0" w:line="360" w:lineRule="auto"/>
        <w:ind w:right="0" w:rightChars="0" w:firstLine="482" w:firstLineChars="200"/>
        <w:outlineLvl w:val="9"/>
        <w:rPr>
          <w:rFonts w:hint="eastAsia" w:asciiTheme="minorEastAsia" w:hAnsiTheme="minorEastAsia" w:eastAsiaTheme="minorEastAsia" w:cstheme="minorEastAsia"/>
          <w:color w:val="000000" w:themeColor="text1"/>
          <w:kern w:val="2"/>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auto"/>
          <w:kern w:val="2"/>
          <w:sz w:val="24"/>
          <w:szCs w:val="24"/>
          <w:highlight w:val="none"/>
          <w:lang w:val="en-US" w:eastAsia="zh-CN" w:bidi="ar-SA"/>
        </w:rPr>
        <w:t>4.报价要求：</w:t>
      </w:r>
      <w:r>
        <w:rPr>
          <w:rFonts w:hint="eastAsia" w:asciiTheme="minorEastAsia" w:hAnsiTheme="minorEastAsia" w:eastAsiaTheme="minorEastAsia" w:cstheme="minorEastAsia"/>
          <w:color w:val="auto"/>
          <w:kern w:val="2"/>
          <w:sz w:val="24"/>
          <w:szCs w:val="24"/>
          <w:highlight w:val="none"/>
          <w:u w:val="none"/>
          <w:lang w:val="en-US" w:eastAsia="zh-CN" w:bidi="ar-SA"/>
        </w:rPr>
        <w:t>报价应包含线上、线下的双重预防机制建设，开展现场技术指导费、技术服务人员交通费、税费等所有费用</w:t>
      </w:r>
      <w:r>
        <w:rPr>
          <w:rFonts w:hint="eastAsia" w:asciiTheme="minorEastAsia" w:hAnsiTheme="minorEastAsia" w:eastAsiaTheme="minorEastAsia" w:cstheme="minorEastAsia"/>
          <w:color w:val="000000" w:themeColor="text1"/>
          <w:kern w:val="2"/>
          <w:sz w:val="24"/>
          <w:szCs w:val="24"/>
          <w:highlight w:val="none"/>
          <w:u w:val="none"/>
          <w:lang w:val="en-US" w:eastAsia="zh-CN" w:bidi="ar-SA"/>
          <w14:textFill>
            <w14:solidFill>
              <w14:schemeClr w14:val="tx1"/>
            </w14:solidFill>
          </w14:textFill>
        </w:rPr>
        <w:t>。</w:t>
      </w:r>
    </w:p>
    <w:p w14:paraId="3449D781">
      <w:pPr>
        <w:pStyle w:val="6"/>
        <w:pageBreakBefore w:val="0"/>
        <w:numPr>
          <w:ilvl w:val="0"/>
          <w:numId w:val="0"/>
        </w:numPr>
        <w:kinsoku/>
        <w:overflowPunct/>
        <w:topLinePunct w:val="0"/>
        <w:autoSpaceDE/>
        <w:autoSpaceDN/>
        <w:bidi w:val="0"/>
        <w:adjustRightInd/>
        <w:snapToGrid/>
        <w:spacing w:beforeAutospacing="0" w:after="0" w:afterAutospacing="0" w:line="360" w:lineRule="auto"/>
        <w:ind w:right="0" w:rightChars="0" w:firstLine="482" w:firstLineChars="200"/>
        <w:outlineLvl w:val="9"/>
        <w:rPr>
          <w:rFonts w:hint="default" w:asciiTheme="minorEastAsia" w:hAnsiTheme="minorEastAsia" w:eastAsiaTheme="minorEastAsia" w:cstheme="minorEastAsia"/>
          <w:color w:val="FF0000"/>
          <w:kern w:val="2"/>
          <w:sz w:val="24"/>
          <w:szCs w:val="24"/>
          <w:highlight w:val="none"/>
          <w:u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5.报价方式：</w:t>
      </w:r>
      <w:r>
        <w:rPr>
          <w:rFonts w:hint="eastAsia" w:asciiTheme="minorEastAsia" w:hAnsiTheme="minorEastAsia" w:eastAsiaTheme="minorEastAsia" w:cstheme="minorEastAsia"/>
          <w:b w:val="0"/>
          <w:bCs w:val="0"/>
          <w:color w:val="auto"/>
          <w:kern w:val="2"/>
          <w:sz w:val="24"/>
          <w:szCs w:val="24"/>
          <w:highlight w:val="none"/>
          <w:lang w:val="en-US" w:eastAsia="zh-CN" w:bidi="ar-SA"/>
        </w:rPr>
        <w:t>本项目要求供应商填报投标总价，投标总价超出230000元的作为无效报价，其投标将被否决，填报总价最低的竞价人作为本项目成交人。</w:t>
      </w:r>
    </w:p>
    <w:p w14:paraId="03DCB12E">
      <w:pPr>
        <w:pStyle w:val="5"/>
        <w:wordWrap w:val="0"/>
        <w:spacing w:before="0" w:beforeAutospacing="0" w:after="0" w:afterAutospacing="0" w:line="360" w:lineRule="auto"/>
        <w:ind w:firstLine="482" w:firstLineChars="200"/>
        <w:jc w:val="both"/>
        <w:rPr>
          <w:rFonts w:hint="default"/>
          <w:b w:val="0"/>
          <w:bCs w:val="0"/>
          <w:color w:val="auto"/>
          <w:highlight w:val="none"/>
          <w:shd w:val="clear" w:color="auto" w:fill="FFFFFF"/>
          <w:lang w:val="en-US" w:eastAsia="zh-CN"/>
        </w:rPr>
      </w:pPr>
      <w:r>
        <w:rPr>
          <w:rFonts w:hint="eastAsia"/>
          <w:b/>
          <w:bCs/>
          <w:color w:val="333333"/>
          <w:highlight w:val="none"/>
          <w:shd w:val="clear" w:color="auto" w:fill="FFFFFF"/>
          <w:lang w:val="en-US" w:eastAsia="zh-CN"/>
        </w:rPr>
        <w:t>6.结算方式：</w:t>
      </w:r>
      <w:r>
        <w:rPr>
          <w:rFonts w:hint="eastAsia"/>
          <w:b w:val="0"/>
          <w:bCs w:val="0"/>
          <w:color w:val="auto"/>
          <w:highlight w:val="none"/>
          <w:shd w:val="clear" w:color="auto" w:fill="FFFFFF"/>
          <w:lang w:val="en-US" w:eastAsia="zh-CN"/>
        </w:rPr>
        <w:t>以合同约定为准。</w:t>
      </w:r>
    </w:p>
    <w:p w14:paraId="5FFB1EC3">
      <w:pPr>
        <w:pStyle w:val="5"/>
        <w:wordWrap w:val="0"/>
        <w:spacing w:before="0" w:beforeAutospacing="0" w:after="0" w:afterAutospacing="0" w:line="360" w:lineRule="auto"/>
        <w:ind w:firstLine="482" w:firstLineChars="200"/>
        <w:jc w:val="both"/>
        <w:rPr>
          <w:rFonts w:hint="eastAsia" w:asciiTheme="minorEastAsia" w:hAnsiTheme="minorEastAsia" w:eastAsiaTheme="minorEastAsia" w:cstheme="minorEastAsia"/>
          <w:color w:val="auto"/>
          <w:kern w:val="2"/>
          <w:sz w:val="24"/>
          <w:szCs w:val="24"/>
          <w:highlight w:val="none"/>
          <w:u w:val="none"/>
          <w:lang w:val="en-US" w:eastAsia="zh-CN" w:bidi="ar-SA"/>
        </w:rPr>
      </w:pPr>
      <w:r>
        <w:rPr>
          <w:rFonts w:hint="eastAsia"/>
          <w:b/>
          <w:bCs/>
          <w:color w:val="333333"/>
          <w:highlight w:val="none"/>
          <w:shd w:val="clear" w:color="auto" w:fill="FFFFFF"/>
          <w:lang w:val="en-US" w:eastAsia="zh-CN"/>
        </w:rPr>
        <w:t>7.</w:t>
      </w:r>
      <w:r>
        <w:rPr>
          <w:rFonts w:hint="eastAsia"/>
          <w:b/>
          <w:bCs/>
          <w:color w:val="333333"/>
          <w:highlight w:val="none"/>
          <w:shd w:val="clear" w:color="auto" w:fill="FFFFFF"/>
        </w:rPr>
        <w:t>合同：</w:t>
      </w:r>
      <w:r>
        <w:rPr>
          <w:rFonts w:hint="eastAsia" w:asciiTheme="minorEastAsia" w:hAnsiTheme="minorEastAsia" w:eastAsiaTheme="minorEastAsia" w:cstheme="minorEastAsia"/>
          <w:color w:val="auto"/>
          <w:kern w:val="2"/>
          <w:sz w:val="24"/>
          <w:szCs w:val="24"/>
          <w:highlight w:val="none"/>
          <w:u w:val="none"/>
          <w:lang w:val="en-US" w:eastAsia="zh-CN" w:bidi="ar-SA"/>
        </w:rPr>
        <w:t>成交人应在成交公告发布之日起7个工作日内与采购人自行签定合同，合同不违背本公告采购实质性要求。</w:t>
      </w:r>
    </w:p>
    <w:p w14:paraId="7598A29B">
      <w:pPr>
        <w:pStyle w:val="5"/>
        <w:wordWrap w:val="0"/>
        <w:spacing w:before="0" w:beforeAutospacing="0" w:after="0" w:afterAutospacing="0" w:line="360" w:lineRule="auto"/>
        <w:ind w:firstLine="482" w:firstLineChars="200"/>
        <w:jc w:val="both"/>
        <w:rPr>
          <w:rFonts w:hint="default"/>
          <w:b w:val="0"/>
          <w:bCs w:val="0"/>
          <w:color w:val="auto"/>
          <w:highlight w:val="none"/>
          <w:shd w:val="clear" w:color="auto" w:fill="FFFFFF"/>
          <w:lang w:val="en-US" w:eastAsia="zh-CN"/>
        </w:rPr>
      </w:pPr>
      <w:r>
        <w:rPr>
          <w:rFonts w:hint="eastAsia"/>
          <w:b/>
          <w:bCs/>
          <w:color w:val="auto"/>
          <w:highlight w:val="none"/>
          <w:shd w:val="clear" w:color="auto" w:fill="FFFFFF"/>
          <w:lang w:val="en-US" w:eastAsia="zh-CN"/>
        </w:rPr>
        <w:t>8.履约保证金：</w:t>
      </w:r>
      <w:r>
        <w:rPr>
          <w:rFonts w:hint="eastAsia"/>
          <w:b w:val="0"/>
          <w:bCs w:val="0"/>
          <w:color w:val="auto"/>
          <w:highlight w:val="none"/>
          <w:shd w:val="clear" w:color="auto" w:fill="FFFFFF"/>
          <w:lang w:val="en-US" w:eastAsia="zh-CN"/>
        </w:rPr>
        <w:t>中标价的2%；提交时间：合同签订前；退还时间：系统建设完成且采购人对系统无异议后无息退还。</w:t>
      </w:r>
    </w:p>
    <w:p w14:paraId="63720CAC">
      <w:pPr>
        <w:pStyle w:val="5"/>
        <w:wordWrap w:val="0"/>
        <w:spacing w:before="0" w:beforeAutospacing="0" w:after="0" w:afterAutospacing="0" w:line="360" w:lineRule="auto"/>
        <w:ind w:left="426" w:leftChars="203"/>
        <w:jc w:val="both"/>
        <w:rPr>
          <w:rFonts w:hint="eastAsia" w:asciiTheme="minorEastAsia" w:hAnsiTheme="minorEastAsia" w:eastAsiaTheme="minorEastAsia" w:cstheme="minorEastAsia"/>
          <w:color w:val="auto"/>
          <w:kern w:val="2"/>
          <w:sz w:val="24"/>
          <w:szCs w:val="24"/>
          <w:highlight w:val="none"/>
          <w:u w:val="none"/>
          <w:lang w:val="en-US" w:eastAsia="zh-CN" w:bidi="ar-SA"/>
        </w:rPr>
      </w:pPr>
      <w:r>
        <w:rPr>
          <w:rFonts w:hint="eastAsia"/>
          <w:b/>
          <w:bCs/>
          <w:color w:val="auto"/>
          <w:highlight w:val="none"/>
          <w:shd w:val="clear" w:color="auto" w:fill="FFFFFF"/>
          <w:lang w:val="en-US" w:eastAsia="zh-CN"/>
        </w:rPr>
        <w:t>9.</w:t>
      </w:r>
      <w:r>
        <w:rPr>
          <w:rFonts w:hint="eastAsia"/>
          <w:b/>
          <w:bCs/>
          <w:color w:val="auto"/>
          <w:highlight w:val="none"/>
          <w:shd w:val="clear" w:color="auto" w:fill="FFFFFF"/>
        </w:rPr>
        <w:t>验收</w:t>
      </w:r>
      <w:r>
        <w:rPr>
          <w:rFonts w:hint="eastAsia"/>
          <w:b/>
          <w:bCs/>
          <w:color w:val="auto"/>
          <w:highlight w:val="none"/>
          <w:shd w:val="clear" w:color="auto" w:fill="FFFFFF"/>
          <w:lang w:val="en-US" w:eastAsia="zh-CN"/>
        </w:rPr>
        <w:t>要求</w:t>
      </w:r>
      <w:r>
        <w:rPr>
          <w:rFonts w:hint="eastAsia"/>
          <w:b/>
          <w:bCs/>
          <w:color w:val="auto"/>
          <w:highlight w:val="none"/>
          <w:shd w:val="clear" w:color="auto" w:fill="FFFFFF"/>
        </w:rPr>
        <w:t>：</w:t>
      </w:r>
      <w:r>
        <w:rPr>
          <w:rFonts w:hint="eastAsia" w:asciiTheme="minorEastAsia" w:hAnsiTheme="minorEastAsia" w:eastAsiaTheme="minorEastAsia" w:cstheme="minorEastAsia"/>
          <w:color w:val="auto"/>
          <w:kern w:val="2"/>
          <w:sz w:val="24"/>
          <w:szCs w:val="24"/>
          <w:highlight w:val="none"/>
          <w:u w:val="none"/>
          <w:lang w:val="en-US" w:eastAsia="zh-CN" w:bidi="ar-SA"/>
        </w:rPr>
        <w:t>验收标准具体以本项目的服务要求为准。</w:t>
      </w:r>
    </w:p>
    <w:p w14:paraId="31CD225A">
      <w:pPr>
        <w:pStyle w:val="5"/>
        <w:wordWrap w:val="0"/>
        <w:spacing w:before="0" w:beforeAutospacing="0" w:after="0" w:afterAutospacing="0" w:line="360" w:lineRule="auto"/>
        <w:ind w:left="426" w:leftChars="203"/>
        <w:jc w:val="both"/>
        <w:rPr>
          <w:rFonts w:hint="eastAsia"/>
          <w:b/>
          <w:bCs/>
          <w:color w:val="333333"/>
          <w:highlight w:val="none"/>
          <w:shd w:val="clear" w:color="auto" w:fill="FFFFFF"/>
          <w:lang w:val="en-US" w:eastAsia="zh-CN"/>
        </w:rPr>
      </w:pPr>
      <w:r>
        <w:rPr>
          <w:rFonts w:hint="eastAsia"/>
          <w:b/>
          <w:bCs/>
          <w:color w:val="333333"/>
          <w:highlight w:val="none"/>
          <w:shd w:val="clear" w:color="auto" w:fill="FFFFFF"/>
          <w:lang w:val="en-US" w:eastAsia="zh-CN"/>
        </w:rPr>
        <w:t>10.合同价款支付</w:t>
      </w:r>
      <w:r>
        <w:rPr>
          <w:rFonts w:hint="eastAsia"/>
          <w:b/>
          <w:bCs/>
          <w:color w:val="333333"/>
          <w:highlight w:val="none"/>
          <w:shd w:val="clear" w:color="auto" w:fill="FFFFFF"/>
        </w:rPr>
        <w:t>方式：</w:t>
      </w: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6"/>
        <w:gridCol w:w="6964"/>
      </w:tblGrid>
      <w:tr w14:paraId="677CA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pct"/>
            <w:vAlign w:val="center"/>
          </w:tcPr>
          <w:p w14:paraId="26C75E1E">
            <w:pPr>
              <w:spacing w:line="360" w:lineRule="auto"/>
              <w:jc w:val="center"/>
              <w:rPr>
                <w:rFonts w:hint="eastAsia" w:ascii="宋体" w:hAnsi="宋体" w:eastAsia="宋体" w:cs="Calibri"/>
                <w:b w:val="0"/>
                <w:bCs w:val="0"/>
                <w:color w:val="auto"/>
                <w:sz w:val="24"/>
                <w:szCs w:val="24"/>
                <w:highlight w:val="none"/>
                <w:vertAlign w:val="baseline"/>
                <w:lang w:eastAsia="zh-CN"/>
              </w:rPr>
            </w:pPr>
            <w:r>
              <w:rPr>
                <w:rFonts w:hint="eastAsia" w:ascii="宋体" w:hAnsi="宋体" w:eastAsia="宋体" w:cs="Calibri"/>
                <w:b w:val="0"/>
                <w:bCs w:val="0"/>
                <w:color w:val="auto"/>
                <w:sz w:val="24"/>
                <w:szCs w:val="24"/>
                <w:highlight w:val="none"/>
                <w:vertAlign w:val="baseline"/>
                <w:lang w:eastAsia="zh-CN"/>
              </w:rPr>
              <w:t>付款比例</w:t>
            </w:r>
          </w:p>
        </w:tc>
        <w:tc>
          <w:tcPr>
            <w:tcW w:w="4086" w:type="pct"/>
          </w:tcPr>
          <w:p w14:paraId="4CE39AD9">
            <w:pPr>
              <w:spacing w:line="360" w:lineRule="auto"/>
              <w:rPr>
                <w:rFonts w:hint="eastAsia" w:ascii="宋体" w:hAnsi="宋体" w:eastAsia="宋体" w:cs="Calibri"/>
                <w:b w:val="0"/>
                <w:bCs w:val="0"/>
                <w:color w:val="auto"/>
                <w:sz w:val="24"/>
                <w:szCs w:val="24"/>
                <w:highlight w:val="none"/>
                <w:vertAlign w:val="baseline"/>
                <w:lang w:eastAsia="zh-CN"/>
              </w:rPr>
            </w:pPr>
            <w:r>
              <w:rPr>
                <w:rFonts w:hint="eastAsia" w:ascii="宋体" w:hAnsi="宋体" w:eastAsia="宋体" w:cs="Calibri"/>
                <w:b w:val="0"/>
                <w:bCs w:val="0"/>
                <w:color w:val="auto"/>
                <w:sz w:val="24"/>
                <w:szCs w:val="24"/>
                <w:highlight w:val="none"/>
                <w:vertAlign w:val="baseline"/>
                <w:lang w:eastAsia="zh-CN"/>
              </w:rPr>
              <w:t>付款条件</w:t>
            </w:r>
          </w:p>
        </w:tc>
      </w:tr>
      <w:tr w14:paraId="5175D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pct"/>
            <w:vAlign w:val="center"/>
          </w:tcPr>
          <w:p w14:paraId="040AD7D2">
            <w:pPr>
              <w:spacing w:line="360" w:lineRule="auto"/>
              <w:jc w:val="center"/>
              <w:rPr>
                <w:rFonts w:hint="eastAsia" w:ascii="宋体" w:hAnsi="宋体" w:eastAsia="宋体" w:cs="Calibri"/>
                <w:b w:val="0"/>
                <w:bCs w:val="0"/>
                <w:color w:val="auto"/>
                <w:kern w:val="2"/>
                <w:sz w:val="24"/>
                <w:szCs w:val="24"/>
                <w:highlight w:val="none"/>
                <w:vertAlign w:val="baseline"/>
                <w:lang w:val="en-US" w:eastAsia="zh-CN" w:bidi="ar-SA"/>
              </w:rPr>
            </w:pPr>
            <w:r>
              <w:rPr>
                <w:rFonts w:hint="eastAsia" w:ascii="宋体" w:hAnsi="宋体" w:cs="Calibri"/>
                <w:b w:val="0"/>
                <w:bCs w:val="0"/>
                <w:color w:val="auto"/>
                <w:sz w:val="24"/>
                <w:szCs w:val="24"/>
                <w:highlight w:val="none"/>
                <w:vertAlign w:val="baseline"/>
                <w:lang w:val="en-US" w:eastAsia="zh-CN"/>
              </w:rPr>
              <w:t>10</w:t>
            </w:r>
            <w:r>
              <w:rPr>
                <w:rFonts w:hint="eastAsia" w:ascii="宋体" w:hAnsi="宋体" w:eastAsia="宋体" w:cs="Calibri"/>
                <w:b w:val="0"/>
                <w:bCs w:val="0"/>
                <w:color w:val="auto"/>
                <w:sz w:val="24"/>
                <w:szCs w:val="24"/>
                <w:highlight w:val="none"/>
                <w:vertAlign w:val="baseline"/>
                <w:lang w:val="en-US" w:eastAsia="zh-CN"/>
              </w:rPr>
              <w:t>%</w:t>
            </w:r>
          </w:p>
        </w:tc>
        <w:tc>
          <w:tcPr>
            <w:tcW w:w="4086" w:type="pct"/>
            <w:vAlign w:val="top"/>
          </w:tcPr>
          <w:p w14:paraId="2DEB5F28">
            <w:pPr>
              <w:spacing w:line="360" w:lineRule="auto"/>
              <w:rPr>
                <w:rFonts w:hint="eastAsia" w:ascii="宋体" w:hAnsi="宋体" w:eastAsia="宋体" w:cs="Calibri"/>
                <w:b w:val="0"/>
                <w:bCs w:val="0"/>
                <w:color w:val="auto"/>
                <w:kern w:val="2"/>
                <w:sz w:val="24"/>
                <w:szCs w:val="24"/>
                <w:highlight w:val="none"/>
                <w:vertAlign w:val="baseline"/>
                <w:lang w:val="en-US" w:eastAsia="zh-CN" w:bidi="ar-SA"/>
              </w:rPr>
            </w:pPr>
            <w:r>
              <w:rPr>
                <w:rFonts w:hint="eastAsia" w:ascii="宋体" w:hAnsi="宋体" w:eastAsia="宋体" w:cs="Calibri"/>
                <w:b w:val="0"/>
                <w:bCs w:val="0"/>
                <w:color w:val="auto"/>
                <w:kern w:val="2"/>
                <w:sz w:val="24"/>
                <w:szCs w:val="24"/>
                <w:highlight w:val="none"/>
                <w:vertAlign w:val="baseline"/>
                <w:lang w:val="en-US" w:eastAsia="zh-CN" w:bidi="ar-SA"/>
              </w:rPr>
              <w:t>合同签订完成后，采购人支付中标供应商合同金额的10%作为预付款；</w:t>
            </w:r>
          </w:p>
        </w:tc>
      </w:tr>
      <w:tr w14:paraId="27B5A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pct"/>
            <w:vAlign w:val="center"/>
          </w:tcPr>
          <w:p w14:paraId="4AF262A0">
            <w:pPr>
              <w:spacing w:line="360" w:lineRule="auto"/>
              <w:jc w:val="center"/>
              <w:rPr>
                <w:rFonts w:hint="default" w:ascii="宋体" w:hAnsi="宋体" w:eastAsia="宋体" w:cs="Calibri"/>
                <w:b w:val="0"/>
                <w:bCs w:val="0"/>
                <w:color w:val="auto"/>
                <w:sz w:val="24"/>
                <w:szCs w:val="24"/>
                <w:highlight w:val="none"/>
                <w:vertAlign w:val="baseline"/>
                <w:lang w:val="en-US" w:eastAsia="zh-CN"/>
              </w:rPr>
            </w:pPr>
            <w:r>
              <w:rPr>
                <w:rFonts w:hint="eastAsia" w:ascii="宋体" w:hAnsi="宋体" w:cs="Calibri"/>
                <w:b w:val="0"/>
                <w:bCs w:val="0"/>
                <w:color w:val="auto"/>
                <w:sz w:val="24"/>
                <w:szCs w:val="24"/>
                <w:highlight w:val="none"/>
                <w:vertAlign w:val="baseline"/>
                <w:lang w:val="en-US" w:eastAsia="zh-CN"/>
              </w:rPr>
              <w:t>30</w:t>
            </w:r>
            <w:r>
              <w:rPr>
                <w:rFonts w:hint="eastAsia" w:ascii="宋体" w:hAnsi="宋体" w:eastAsia="宋体" w:cs="Calibri"/>
                <w:b w:val="0"/>
                <w:bCs w:val="0"/>
                <w:color w:val="auto"/>
                <w:sz w:val="24"/>
                <w:szCs w:val="24"/>
                <w:highlight w:val="none"/>
                <w:vertAlign w:val="baseline"/>
                <w:lang w:val="en-US" w:eastAsia="zh-CN"/>
              </w:rPr>
              <w:t>%</w:t>
            </w:r>
          </w:p>
        </w:tc>
        <w:tc>
          <w:tcPr>
            <w:tcW w:w="4086" w:type="pct"/>
          </w:tcPr>
          <w:p w14:paraId="67516B88">
            <w:pPr>
              <w:spacing w:line="360" w:lineRule="auto"/>
              <w:rPr>
                <w:rFonts w:hint="default" w:ascii="宋体" w:hAnsi="宋体" w:eastAsia="宋体" w:cs="Calibri"/>
                <w:b w:val="0"/>
                <w:bCs w:val="0"/>
                <w:color w:val="auto"/>
                <w:sz w:val="24"/>
                <w:szCs w:val="24"/>
                <w:highlight w:val="none"/>
                <w:vertAlign w:val="baseline"/>
                <w:lang w:val="en-US" w:eastAsia="zh-CN"/>
              </w:rPr>
            </w:pPr>
            <w:r>
              <w:rPr>
                <w:rFonts w:hint="default" w:ascii="宋体" w:hAnsi="宋体" w:eastAsia="宋体" w:cs="Calibri"/>
                <w:b w:val="0"/>
                <w:bCs w:val="0"/>
                <w:color w:val="auto"/>
                <w:sz w:val="24"/>
                <w:szCs w:val="24"/>
                <w:highlight w:val="none"/>
                <w:vertAlign w:val="baseline"/>
                <w:lang w:val="en-US" w:eastAsia="zh-CN"/>
              </w:rPr>
              <w:t>系统方案达到</w:t>
            </w:r>
            <w:r>
              <w:rPr>
                <w:rFonts w:hint="eastAsia" w:ascii="宋体" w:hAnsi="宋体" w:cs="Calibri"/>
                <w:b w:val="0"/>
                <w:bCs w:val="0"/>
                <w:color w:val="auto"/>
                <w:sz w:val="24"/>
                <w:szCs w:val="24"/>
                <w:highlight w:val="none"/>
                <w:vertAlign w:val="baseline"/>
                <w:lang w:val="en-US" w:eastAsia="zh-CN"/>
              </w:rPr>
              <w:t>采购人</w:t>
            </w:r>
            <w:r>
              <w:rPr>
                <w:rFonts w:hint="default" w:ascii="宋体" w:hAnsi="宋体" w:eastAsia="宋体" w:cs="Calibri"/>
                <w:b w:val="0"/>
                <w:bCs w:val="0"/>
                <w:color w:val="auto"/>
                <w:sz w:val="24"/>
                <w:szCs w:val="24"/>
                <w:highlight w:val="none"/>
                <w:vertAlign w:val="baseline"/>
                <w:lang w:val="en-US" w:eastAsia="zh-CN"/>
              </w:rPr>
              <w:t>使用标准后，支付合同金额的30%；</w:t>
            </w:r>
          </w:p>
        </w:tc>
      </w:tr>
      <w:tr w14:paraId="5AE3B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pct"/>
            <w:vAlign w:val="center"/>
          </w:tcPr>
          <w:p w14:paraId="7E38A474">
            <w:pPr>
              <w:spacing w:line="360" w:lineRule="auto"/>
              <w:jc w:val="center"/>
              <w:rPr>
                <w:rFonts w:hint="default" w:ascii="宋体" w:hAnsi="宋体" w:eastAsia="宋体" w:cs="Calibri"/>
                <w:b w:val="0"/>
                <w:bCs w:val="0"/>
                <w:color w:val="auto"/>
                <w:sz w:val="24"/>
                <w:szCs w:val="24"/>
                <w:highlight w:val="none"/>
                <w:vertAlign w:val="baseline"/>
                <w:lang w:val="en-US" w:eastAsia="zh-CN"/>
              </w:rPr>
            </w:pPr>
            <w:r>
              <w:rPr>
                <w:rFonts w:hint="eastAsia" w:ascii="宋体" w:hAnsi="宋体" w:eastAsia="宋体" w:cs="Calibri"/>
                <w:b w:val="0"/>
                <w:bCs w:val="0"/>
                <w:color w:val="auto"/>
                <w:sz w:val="24"/>
                <w:szCs w:val="24"/>
                <w:highlight w:val="none"/>
                <w:vertAlign w:val="baseline"/>
                <w:lang w:val="en-US" w:eastAsia="zh-CN"/>
              </w:rPr>
              <w:t>40%</w:t>
            </w:r>
          </w:p>
        </w:tc>
        <w:tc>
          <w:tcPr>
            <w:tcW w:w="4086" w:type="pct"/>
          </w:tcPr>
          <w:p w14:paraId="4ABB70A3">
            <w:pPr>
              <w:spacing w:line="360" w:lineRule="auto"/>
              <w:rPr>
                <w:rFonts w:hint="eastAsia" w:ascii="宋体" w:hAnsi="宋体" w:eastAsia="宋体" w:cs="Calibri"/>
                <w:b w:val="0"/>
                <w:bCs w:val="0"/>
                <w:color w:val="auto"/>
                <w:sz w:val="24"/>
                <w:szCs w:val="24"/>
                <w:highlight w:val="none"/>
                <w:vertAlign w:val="baseline"/>
                <w:lang w:eastAsia="zh-CN"/>
              </w:rPr>
            </w:pPr>
            <w:r>
              <w:rPr>
                <w:rFonts w:hint="eastAsia" w:ascii="宋体" w:hAnsi="宋体" w:eastAsia="宋体" w:cs="Calibri"/>
                <w:b w:val="0"/>
                <w:bCs w:val="0"/>
                <w:color w:val="auto"/>
                <w:sz w:val="24"/>
                <w:szCs w:val="24"/>
                <w:highlight w:val="none"/>
                <w:vertAlign w:val="baseline"/>
                <w:lang w:eastAsia="zh-CN"/>
              </w:rPr>
              <w:t>中标供应商完成系统建设，</w:t>
            </w:r>
            <w:r>
              <w:rPr>
                <w:rFonts w:hint="eastAsia" w:ascii="宋体" w:hAnsi="宋体" w:cs="Calibri"/>
                <w:b w:val="0"/>
                <w:bCs w:val="0"/>
                <w:color w:val="auto"/>
                <w:sz w:val="24"/>
                <w:szCs w:val="24"/>
                <w:highlight w:val="none"/>
                <w:vertAlign w:val="baseline"/>
                <w:lang w:val="en-US" w:eastAsia="zh-CN"/>
              </w:rPr>
              <w:t>采购人</w:t>
            </w:r>
            <w:r>
              <w:rPr>
                <w:rFonts w:hint="eastAsia" w:ascii="宋体" w:hAnsi="宋体" w:eastAsia="宋体" w:cs="Calibri"/>
                <w:b w:val="0"/>
                <w:bCs w:val="0"/>
                <w:color w:val="auto"/>
                <w:sz w:val="24"/>
                <w:szCs w:val="24"/>
                <w:highlight w:val="none"/>
                <w:vertAlign w:val="baseline"/>
                <w:lang w:eastAsia="zh-CN"/>
              </w:rPr>
              <w:t>对系统无异议后，支付合同金额的40%</w:t>
            </w:r>
            <w:r>
              <w:rPr>
                <w:rFonts w:hint="eastAsia" w:ascii="宋体" w:hAnsi="宋体" w:eastAsia="宋体" w:cs="Calibri"/>
                <w:b w:val="0"/>
                <w:bCs w:val="0"/>
                <w:color w:val="auto"/>
                <w:sz w:val="24"/>
                <w:szCs w:val="24"/>
                <w:highlight w:val="none"/>
                <w:vertAlign w:val="baseline"/>
                <w:lang w:val="en-US" w:eastAsia="zh-CN"/>
              </w:rPr>
              <w:t>；</w:t>
            </w:r>
          </w:p>
        </w:tc>
      </w:tr>
      <w:tr w14:paraId="1FCDF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dxa"/>
            <w:vAlign w:val="center"/>
          </w:tcPr>
          <w:p w14:paraId="63025883">
            <w:pPr>
              <w:spacing w:line="360" w:lineRule="auto"/>
              <w:jc w:val="center"/>
              <w:rPr>
                <w:rFonts w:hint="default" w:ascii="宋体" w:hAnsi="宋体" w:eastAsia="宋体" w:cs="Calibri"/>
                <w:b w:val="0"/>
                <w:bCs w:val="0"/>
                <w:color w:val="auto"/>
                <w:sz w:val="24"/>
                <w:szCs w:val="24"/>
                <w:highlight w:val="none"/>
                <w:vertAlign w:val="baseline"/>
                <w:lang w:val="en-US" w:eastAsia="zh-CN"/>
              </w:rPr>
            </w:pPr>
            <w:r>
              <w:rPr>
                <w:rFonts w:hint="eastAsia" w:ascii="宋体" w:hAnsi="宋体" w:cs="Calibri"/>
                <w:b w:val="0"/>
                <w:bCs w:val="0"/>
                <w:color w:val="auto"/>
                <w:sz w:val="24"/>
                <w:szCs w:val="24"/>
                <w:highlight w:val="none"/>
                <w:vertAlign w:val="baseline"/>
                <w:lang w:val="en-US" w:eastAsia="zh-CN"/>
              </w:rPr>
              <w:t>10</w:t>
            </w:r>
            <w:r>
              <w:rPr>
                <w:rFonts w:hint="eastAsia" w:ascii="宋体" w:hAnsi="宋体" w:eastAsia="宋体" w:cs="Calibri"/>
                <w:b w:val="0"/>
                <w:bCs w:val="0"/>
                <w:color w:val="auto"/>
                <w:sz w:val="24"/>
                <w:szCs w:val="24"/>
                <w:highlight w:val="none"/>
                <w:vertAlign w:val="baseline"/>
                <w:lang w:val="en-US" w:eastAsia="zh-CN"/>
              </w:rPr>
              <w:t>%</w:t>
            </w:r>
          </w:p>
        </w:tc>
        <w:tc>
          <w:tcPr>
            <w:tcW w:w="6964" w:type="dxa"/>
            <w:vAlign w:val="top"/>
          </w:tcPr>
          <w:p w14:paraId="231BBBED">
            <w:pPr>
              <w:spacing w:line="360" w:lineRule="auto"/>
              <w:rPr>
                <w:rFonts w:hint="eastAsia" w:ascii="宋体" w:hAnsi="宋体" w:cs="Calibri"/>
                <w:b w:val="0"/>
                <w:bCs w:val="0"/>
                <w:color w:val="auto"/>
                <w:sz w:val="24"/>
                <w:szCs w:val="24"/>
                <w:highlight w:val="none"/>
                <w:vertAlign w:val="baseline"/>
              </w:rPr>
            </w:pPr>
            <w:r>
              <w:rPr>
                <w:rFonts w:hint="eastAsia" w:ascii="宋体" w:hAnsi="宋体" w:cs="Calibri"/>
                <w:b w:val="0"/>
                <w:bCs w:val="0"/>
                <w:color w:val="auto"/>
                <w:sz w:val="24"/>
                <w:szCs w:val="24"/>
                <w:highlight w:val="none"/>
                <w:vertAlign w:val="baseline"/>
                <w:lang w:val="en-US" w:eastAsia="zh-CN"/>
              </w:rPr>
              <w:t>采购人</w:t>
            </w:r>
            <w:r>
              <w:rPr>
                <w:rFonts w:hint="eastAsia" w:ascii="宋体" w:hAnsi="宋体" w:cs="Calibri"/>
                <w:b w:val="0"/>
                <w:bCs w:val="0"/>
                <w:color w:val="auto"/>
                <w:sz w:val="24"/>
                <w:szCs w:val="24"/>
                <w:highlight w:val="none"/>
                <w:vertAlign w:val="baseline"/>
              </w:rPr>
              <w:t>使用系统</w:t>
            </w:r>
            <w:r>
              <w:rPr>
                <w:rFonts w:hint="eastAsia" w:ascii="宋体" w:hAnsi="宋体" w:cs="Calibri"/>
                <w:b w:val="0"/>
                <w:bCs w:val="0"/>
                <w:color w:val="auto"/>
                <w:sz w:val="24"/>
                <w:szCs w:val="24"/>
                <w:highlight w:val="none"/>
                <w:vertAlign w:val="baseline"/>
                <w:lang w:val="en-US" w:eastAsia="zh-CN"/>
              </w:rPr>
              <w:t>壹</w:t>
            </w:r>
            <w:r>
              <w:rPr>
                <w:rFonts w:hint="eastAsia" w:ascii="宋体" w:hAnsi="宋体" w:cs="Calibri"/>
                <w:b w:val="0"/>
                <w:bCs w:val="0"/>
                <w:color w:val="auto"/>
                <w:sz w:val="24"/>
                <w:szCs w:val="24"/>
                <w:highlight w:val="none"/>
                <w:vertAlign w:val="baseline"/>
              </w:rPr>
              <w:t>年后，支付合同金额的</w:t>
            </w:r>
            <w:r>
              <w:rPr>
                <w:rFonts w:hint="eastAsia" w:ascii="宋体" w:hAnsi="宋体" w:cs="Calibri"/>
                <w:b w:val="0"/>
                <w:bCs w:val="0"/>
                <w:color w:val="auto"/>
                <w:sz w:val="24"/>
                <w:szCs w:val="24"/>
                <w:highlight w:val="none"/>
                <w:vertAlign w:val="baseline"/>
                <w:lang w:val="en-US" w:eastAsia="zh-CN"/>
              </w:rPr>
              <w:t>10</w:t>
            </w:r>
            <w:r>
              <w:rPr>
                <w:rFonts w:hint="eastAsia" w:ascii="宋体" w:hAnsi="宋体" w:cs="Calibri"/>
                <w:b w:val="0"/>
                <w:bCs w:val="0"/>
                <w:color w:val="auto"/>
                <w:sz w:val="24"/>
                <w:szCs w:val="24"/>
                <w:highlight w:val="none"/>
                <w:vertAlign w:val="baseline"/>
              </w:rPr>
              <w:t>%。</w:t>
            </w:r>
          </w:p>
        </w:tc>
      </w:tr>
      <w:tr w14:paraId="30991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dxa"/>
            <w:vAlign w:val="center"/>
          </w:tcPr>
          <w:p w14:paraId="0A18C882">
            <w:pPr>
              <w:spacing w:line="360" w:lineRule="auto"/>
              <w:jc w:val="center"/>
              <w:rPr>
                <w:rFonts w:hint="default" w:ascii="宋体" w:hAnsi="宋体" w:cs="Calibri"/>
                <w:b w:val="0"/>
                <w:bCs w:val="0"/>
                <w:color w:val="auto"/>
                <w:sz w:val="24"/>
                <w:szCs w:val="24"/>
                <w:highlight w:val="none"/>
                <w:vertAlign w:val="baseline"/>
                <w:lang w:val="en-US" w:eastAsia="zh-CN"/>
              </w:rPr>
            </w:pPr>
            <w:r>
              <w:rPr>
                <w:rFonts w:hint="eastAsia" w:ascii="宋体" w:hAnsi="宋体" w:cs="Calibri"/>
                <w:b w:val="0"/>
                <w:bCs w:val="0"/>
                <w:color w:val="auto"/>
                <w:sz w:val="24"/>
                <w:szCs w:val="24"/>
                <w:highlight w:val="none"/>
                <w:vertAlign w:val="baseline"/>
                <w:lang w:val="en-US" w:eastAsia="zh-CN"/>
              </w:rPr>
              <w:t>5%</w:t>
            </w:r>
          </w:p>
        </w:tc>
        <w:tc>
          <w:tcPr>
            <w:tcW w:w="6964" w:type="dxa"/>
            <w:vAlign w:val="top"/>
          </w:tcPr>
          <w:p w14:paraId="38A91E08">
            <w:pPr>
              <w:spacing w:line="360" w:lineRule="auto"/>
              <w:rPr>
                <w:rFonts w:hint="default" w:ascii="宋体" w:hAnsi="宋体" w:cs="Calibri"/>
                <w:b w:val="0"/>
                <w:bCs w:val="0"/>
                <w:color w:val="auto"/>
                <w:sz w:val="24"/>
                <w:szCs w:val="24"/>
                <w:highlight w:val="none"/>
                <w:vertAlign w:val="baseline"/>
                <w:lang w:val="en-US" w:eastAsia="zh-CN"/>
              </w:rPr>
            </w:pPr>
            <w:r>
              <w:rPr>
                <w:rFonts w:hint="eastAsia" w:ascii="宋体" w:hAnsi="宋体" w:cs="Calibri"/>
                <w:b w:val="0"/>
                <w:bCs w:val="0"/>
                <w:color w:val="auto"/>
                <w:sz w:val="24"/>
                <w:szCs w:val="24"/>
                <w:highlight w:val="none"/>
                <w:vertAlign w:val="baseline"/>
                <w:lang w:val="en-US" w:eastAsia="zh-CN"/>
              </w:rPr>
              <w:t>采购人</w:t>
            </w:r>
            <w:r>
              <w:rPr>
                <w:rFonts w:hint="eastAsia" w:ascii="宋体" w:hAnsi="宋体" w:cs="Calibri"/>
                <w:b w:val="0"/>
                <w:bCs w:val="0"/>
                <w:color w:val="auto"/>
                <w:sz w:val="24"/>
                <w:szCs w:val="24"/>
                <w:highlight w:val="none"/>
                <w:vertAlign w:val="baseline"/>
              </w:rPr>
              <w:t>使用系统</w:t>
            </w:r>
            <w:r>
              <w:rPr>
                <w:rFonts w:hint="eastAsia" w:ascii="宋体" w:hAnsi="宋体" w:cs="Calibri"/>
                <w:b w:val="0"/>
                <w:bCs w:val="0"/>
                <w:color w:val="auto"/>
                <w:sz w:val="24"/>
                <w:szCs w:val="24"/>
                <w:highlight w:val="none"/>
                <w:vertAlign w:val="baseline"/>
                <w:lang w:val="en-US" w:eastAsia="zh-CN"/>
              </w:rPr>
              <w:t>贰年后，支付合同金额的5%。</w:t>
            </w:r>
          </w:p>
        </w:tc>
      </w:tr>
      <w:tr w14:paraId="075F9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dxa"/>
            <w:vAlign w:val="center"/>
          </w:tcPr>
          <w:p w14:paraId="3B19EC61">
            <w:pPr>
              <w:spacing w:line="360" w:lineRule="auto"/>
              <w:jc w:val="center"/>
              <w:rPr>
                <w:rFonts w:hint="default" w:ascii="宋体" w:hAnsi="宋体" w:cs="Calibri"/>
                <w:b w:val="0"/>
                <w:bCs w:val="0"/>
                <w:color w:val="auto"/>
                <w:sz w:val="24"/>
                <w:szCs w:val="24"/>
                <w:highlight w:val="none"/>
                <w:vertAlign w:val="baseline"/>
                <w:lang w:val="en-US" w:eastAsia="zh-CN"/>
              </w:rPr>
            </w:pPr>
            <w:r>
              <w:rPr>
                <w:rFonts w:hint="eastAsia" w:ascii="宋体" w:hAnsi="宋体" w:cs="Calibri"/>
                <w:b w:val="0"/>
                <w:bCs w:val="0"/>
                <w:color w:val="auto"/>
                <w:sz w:val="24"/>
                <w:szCs w:val="24"/>
                <w:highlight w:val="none"/>
                <w:vertAlign w:val="baseline"/>
                <w:lang w:val="en-US" w:eastAsia="zh-CN"/>
              </w:rPr>
              <w:t>5%</w:t>
            </w:r>
          </w:p>
        </w:tc>
        <w:tc>
          <w:tcPr>
            <w:tcW w:w="6964" w:type="dxa"/>
            <w:vAlign w:val="top"/>
          </w:tcPr>
          <w:p w14:paraId="2699CCBF">
            <w:pPr>
              <w:spacing w:line="360" w:lineRule="auto"/>
              <w:rPr>
                <w:rFonts w:hint="eastAsia" w:ascii="宋体" w:hAnsi="宋体" w:cs="Calibri"/>
                <w:b w:val="0"/>
                <w:bCs w:val="0"/>
                <w:color w:val="auto"/>
                <w:sz w:val="24"/>
                <w:szCs w:val="24"/>
                <w:highlight w:val="none"/>
                <w:vertAlign w:val="baseline"/>
                <w:lang w:val="en-US" w:eastAsia="zh-CN"/>
              </w:rPr>
            </w:pPr>
            <w:r>
              <w:rPr>
                <w:rFonts w:hint="eastAsia" w:ascii="宋体" w:hAnsi="宋体" w:cs="Calibri"/>
                <w:b w:val="0"/>
                <w:bCs w:val="0"/>
                <w:color w:val="auto"/>
                <w:sz w:val="24"/>
                <w:szCs w:val="24"/>
                <w:highlight w:val="none"/>
                <w:vertAlign w:val="baseline"/>
                <w:lang w:val="en-US" w:eastAsia="zh-CN"/>
              </w:rPr>
              <w:t>采购人</w:t>
            </w:r>
            <w:r>
              <w:rPr>
                <w:rFonts w:hint="eastAsia" w:ascii="宋体" w:hAnsi="宋体" w:cs="Calibri"/>
                <w:b w:val="0"/>
                <w:bCs w:val="0"/>
                <w:color w:val="auto"/>
                <w:sz w:val="24"/>
                <w:szCs w:val="24"/>
                <w:highlight w:val="none"/>
                <w:vertAlign w:val="baseline"/>
              </w:rPr>
              <w:t>使用系统</w:t>
            </w:r>
            <w:r>
              <w:rPr>
                <w:rFonts w:hint="eastAsia" w:ascii="宋体" w:hAnsi="宋体" w:cs="Calibri"/>
                <w:b w:val="0"/>
                <w:bCs w:val="0"/>
                <w:color w:val="auto"/>
                <w:sz w:val="24"/>
                <w:szCs w:val="24"/>
                <w:highlight w:val="none"/>
                <w:vertAlign w:val="baseline"/>
                <w:lang w:val="en-US" w:eastAsia="zh-CN"/>
              </w:rPr>
              <w:t>叁年后，支付合同金额的5%。</w:t>
            </w:r>
          </w:p>
        </w:tc>
      </w:tr>
    </w:tbl>
    <w:p w14:paraId="02AF8671">
      <w:pPr>
        <w:spacing w:line="360" w:lineRule="auto"/>
        <w:ind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三、竞价资格</w:t>
      </w:r>
    </w:p>
    <w:p w14:paraId="26438DE0">
      <w:pPr>
        <w:widowControl/>
        <w:snapToGrid w:val="0"/>
        <w:spacing w:line="360" w:lineRule="auto"/>
        <w:ind w:left="14"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auto"/>
          <w:sz w:val="24"/>
          <w:szCs w:val="24"/>
          <w:highlight w:val="none"/>
        </w:rPr>
        <w:t>1.竞价者必须遵守中华人民共和国法律、法规，具有独立法人资格的国内企业均可参加竞价（失信被执行人除外）</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且应具有良好的商业信誉，及履行本项目的财务能力，没有处于被责令停业，投标资格没有被取消。财产没有被接管、冻结，破产状态；在最近三年内没有骗取中标和严重违约及重大质量问题，须提供承诺书或相关证明材料。</w:t>
      </w:r>
    </w:p>
    <w:p w14:paraId="50FE62CC">
      <w:pPr>
        <w:widowControl/>
        <w:snapToGrid w:val="0"/>
        <w:spacing w:line="360" w:lineRule="auto"/>
        <w:ind w:left="14" w:firstLine="480" w:firstLineChars="200"/>
        <w:rPr>
          <w:rFonts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要求项目团队有1人具备中级及以上注册安全工程师证书，同时提供该人员近半年在职社保凭证。要求</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提供一个近五年内同类型、同规模（合同金额</w:t>
      </w:r>
      <w:r>
        <w:rPr>
          <w:rFonts w:hint="default" w:ascii="Arial" w:hAnsi="Arial" w:cs="Arial" w:eastAsia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15万元）的安全信息化平台建设项目合同业绩。（</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为响应“3.4.完成时间节点要求”线下资料编制阶段条件，涉及编制、梳理集团相关安全制度，供应商需具备最少注册安全工程师等国家认证安全专家</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6510872A">
      <w:pPr>
        <w:widowControl/>
        <w:snapToGrid w:val="0"/>
        <w:spacing w:line="360" w:lineRule="auto"/>
        <w:ind w:left="14" w:firstLine="480" w:firstLineChars="200"/>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3.竞价资格（及限制性条件）认定由竞价人自行审查,</w:t>
      </w:r>
      <w:r>
        <w:rPr>
          <w:rFonts w:hint="eastAsia" w:asciiTheme="minorEastAsia" w:hAnsiTheme="minorEastAsia" w:eastAsiaTheme="minorEastAsia" w:cstheme="minorEastAsia"/>
          <w:b/>
          <w:bCs/>
          <w:color w:val="000000" w:themeColor="text1"/>
          <w:kern w:val="2"/>
          <w:sz w:val="24"/>
          <w:szCs w:val="24"/>
          <w:lang w:eastAsia="zh-CN"/>
          <w14:textFill>
            <w14:solidFill>
              <w14:schemeClr w14:val="tx1"/>
            </w14:solidFill>
          </w14:textFill>
        </w:rPr>
        <w:t>禁止转包及分包</w:t>
      </w: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w:t>
      </w:r>
      <w:r>
        <w:rPr>
          <w:rFonts w:hint="eastAsia" w:asciiTheme="minorEastAsia" w:hAnsiTheme="minorEastAsia" w:eastAsiaTheme="minorEastAsia" w:cstheme="minorEastAsia"/>
          <w:kern w:val="2"/>
          <w:sz w:val="24"/>
          <w:szCs w:val="24"/>
        </w:rPr>
        <w:t>因此产生委托人不予签定合同及其它一切后果由竞价人自行负责。竞价人提供虚假材料或资质不符合条件的，视为恶意竞价，保证金不予退回，按违约处理，委托人可另行选取服务供应商</w:t>
      </w:r>
      <w:r>
        <w:rPr>
          <w:rFonts w:hint="eastAsia" w:asciiTheme="minorEastAsia" w:hAnsiTheme="minorEastAsia" w:eastAsiaTheme="minorEastAsia" w:cstheme="minorEastAsia"/>
          <w:kern w:val="2"/>
          <w:sz w:val="24"/>
          <w:szCs w:val="24"/>
          <w:lang w:eastAsia="zh-CN"/>
        </w:rPr>
        <w:t>。</w:t>
      </w:r>
    </w:p>
    <w:p w14:paraId="6D68B3EA">
      <w:pPr>
        <w:spacing w:line="360" w:lineRule="auto"/>
        <w:ind w:firstLine="480" w:firstLineChars="200"/>
        <w:rPr>
          <w:rFonts w:hint="eastAsia"/>
          <w:lang w:eastAsia="zh-CN"/>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color w:val="000000"/>
          <w:kern w:val="0"/>
          <w:sz w:val="24"/>
          <w:szCs w:val="24"/>
          <w:lang w:bidi="ar"/>
        </w:rPr>
        <w:t>本场竞价</w:t>
      </w:r>
      <w:r>
        <w:rPr>
          <w:rFonts w:hint="eastAsia" w:asciiTheme="minorEastAsia" w:hAnsiTheme="minorEastAsia" w:eastAsiaTheme="minorEastAsia" w:cstheme="minorEastAsia"/>
          <w:b/>
          <w:bCs/>
          <w:color w:val="000000"/>
          <w:kern w:val="0"/>
          <w:sz w:val="24"/>
          <w:szCs w:val="24"/>
          <w:lang w:bidi="ar"/>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000000"/>
          <w:kern w:val="0"/>
          <w:sz w:val="24"/>
          <w:szCs w:val="24"/>
          <w:lang w:bidi="ar"/>
        </w:rPr>
        <w:t>，竞价人不得有异议。</w:t>
      </w:r>
    </w:p>
    <w:p w14:paraId="2434A797">
      <w:pPr>
        <w:spacing w:line="360" w:lineRule="auto"/>
        <w:ind w:firstLine="482" w:firstLineChars="200"/>
        <w:rPr>
          <w:rFonts w:hint="eastAsia" w:asciiTheme="minorEastAsia" w:hAnsiTheme="minorEastAsia" w:eastAsiaTheme="minorEastAsia" w:cstheme="minorEastAsia"/>
          <w:b/>
          <w:bCs/>
          <w:color w:val="auto"/>
          <w:sz w:val="24"/>
          <w:szCs w:val="24"/>
          <w:highlight w:val="none"/>
          <w:shd w:val="clear"/>
        </w:rPr>
      </w:pPr>
      <w:r>
        <w:rPr>
          <w:rFonts w:hint="eastAsia" w:asciiTheme="minorEastAsia" w:hAnsiTheme="minorEastAsia" w:eastAsiaTheme="minorEastAsia" w:cstheme="minorEastAsia"/>
          <w:b/>
          <w:bCs/>
          <w:color w:val="auto"/>
          <w:sz w:val="24"/>
          <w:szCs w:val="24"/>
          <w:highlight w:val="none"/>
          <w:shd w:val="clear"/>
        </w:rPr>
        <w:t>四、竞价保证金</w:t>
      </w:r>
    </w:p>
    <w:p w14:paraId="720AB2D1">
      <w:pPr>
        <w:spacing w:line="360" w:lineRule="auto"/>
        <w:ind w:left="239" w:leftChars="114" w:firstLine="240" w:firstLineChars="1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1.保证金</w:t>
      </w:r>
      <w:r>
        <w:rPr>
          <w:rFonts w:hint="eastAsia" w:asciiTheme="minorEastAsia" w:hAnsiTheme="minorEastAsia" w:eastAsiaTheme="minorEastAsia" w:cstheme="minorEastAsia"/>
          <w:color w:val="0000FF"/>
          <w:kern w:val="2"/>
          <w:sz w:val="24"/>
          <w:szCs w:val="24"/>
          <w:highlight w:val="none"/>
          <w:u w:val="single"/>
          <w:lang w:val="en-US" w:eastAsia="zh-CN" w:bidi="ar-SA"/>
        </w:rPr>
        <w:t>4600元</w:t>
      </w:r>
      <w:r>
        <w:rPr>
          <w:rFonts w:hint="eastAsia" w:asciiTheme="minorEastAsia" w:hAnsiTheme="minorEastAsia" w:eastAsiaTheme="minorEastAsia" w:cstheme="minorEastAsia"/>
          <w:color w:val="0000FF"/>
          <w:kern w:val="2"/>
          <w:sz w:val="24"/>
          <w:szCs w:val="24"/>
          <w:highlight w:val="none"/>
          <w:u w:val="single"/>
          <w:lang w:val="en-US" w:eastAsia="zh-CN"/>
        </w:rPr>
        <w:t>（若为竞价人分公司或总公司缴纳的，均视同有效）</w:t>
      </w:r>
      <w:r>
        <w:rPr>
          <w:rFonts w:hint="eastAsia" w:asciiTheme="minorEastAsia" w:hAnsiTheme="minorEastAsia" w:eastAsiaTheme="minorEastAsia" w:cstheme="minorEastAsia"/>
          <w:color w:val="auto"/>
          <w:sz w:val="24"/>
          <w:szCs w:val="24"/>
          <w:highlight w:val="none"/>
          <w:shd w:val="clear"/>
        </w:rPr>
        <w:t>，必须于</w:t>
      </w:r>
      <w:r>
        <w:rPr>
          <w:rFonts w:hint="eastAsia" w:asciiTheme="minorEastAsia" w:hAnsiTheme="minorEastAsia" w:eastAsiaTheme="minorEastAsia" w:cstheme="minorEastAsia"/>
          <w:color w:val="0000FF"/>
          <w:kern w:val="2"/>
          <w:sz w:val="24"/>
          <w:szCs w:val="24"/>
          <w:highlight w:val="none"/>
          <w:lang w:val="en-US" w:eastAsia="zh-CN" w:bidi="ar-SA"/>
        </w:rPr>
        <w:t>2024年7月29日</w:t>
      </w:r>
      <w:r>
        <w:rPr>
          <w:rFonts w:hint="eastAsia" w:asciiTheme="minorEastAsia" w:hAnsiTheme="minorEastAsia" w:eastAsiaTheme="minorEastAsia" w:cstheme="minorEastAsia"/>
          <w:color w:val="auto"/>
          <w:sz w:val="24"/>
          <w:szCs w:val="24"/>
          <w:highlight w:val="none"/>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highlight w:val="none"/>
          <w:shd w:val="clear"/>
          <w:lang w:eastAsia="zh-CN"/>
        </w:rPr>
        <w:t>竞价人</w:t>
      </w:r>
      <w:r>
        <w:rPr>
          <w:rFonts w:hint="eastAsia" w:asciiTheme="minorEastAsia" w:hAnsiTheme="minorEastAsia" w:eastAsiaTheme="minorEastAsia" w:cstheme="minorEastAsia"/>
          <w:color w:val="auto"/>
          <w:sz w:val="24"/>
          <w:szCs w:val="24"/>
          <w:highlight w:val="none"/>
          <w:shd w:val="clear"/>
        </w:rPr>
        <w:t>与缴交竞价保证金的名称要一致。竞价保证金缴至以上账户时，交款单中“款项来源”或“用途”一栏内须填写“****人的竞价保证金”。</w:t>
      </w:r>
    </w:p>
    <w:p w14:paraId="1F7DBF21">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highlight w:val="none"/>
          <w:shd w:val="clear"/>
          <w:lang w:val="en-US" w:eastAsia="zh-CN"/>
        </w:rPr>
        <w:t>服务合同</w:t>
      </w:r>
      <w:r>
        <w:rPr>
          <w:rFonts w:hint="eastAsia" w:asciiTheme="minorEastAsia" w:hAnsiTheme="minorEastAsia" w:eastAsiaTheme="minorEastAsia" w:cstheme="minorEastAsia"/>
          <w:color w:val="auto"/>
          <w:sz w:val="24"/>
          <w:szCs w:val="24"/>
          <w:highlight w:val="none"/>
          <w:shd w:val="clear"/>
        </w:rPr>
        <w:t>》，由委托人经过相应审批程序后签订。</w:t>
      </w:r>
    </w:p>
    <w:p w14:paraId="2AABF9C1">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4"/>
          <w:szCs w:val="24"/>
          <w:highlight w:val="none"/>
          <w:shd w:val="clear"/>
          <w:lang w:val="en-US" w:eastAsia="zh-CN"/>
        </w:rPr>
        <w:t>服务合同</w:t>
      </w:r>
      <w:r>
        <w:rPr>
          <w:rFonts w:hint="eastAsia" w:asciiTheme="minorEastAsia" w:hAnsiTheme="minorEastAsia" w:eastAsiaTheme="minorEastAsia" w:cstheme="minorEastAsia"/>
          <w:color w:val="auto"/>
          <w:sz w:val="24"/>
          <w:szCs w:val="24"/>
          <w:highlight w:val="none"/>
          <w:shd w:val="clear"/>
        </w:rPr>
        <w:t>》后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个工作日内一次性无息退回。</w:t>
      </w:r>
    </w:p>
    <w:p w14:paraId="53CC035B">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4.未成交人的保证金，在竞价结束后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个工作日内（遇法定节假日顺延）无息退回。</w:t>
      </w:r>
    </w:p>
    <w:p w14:paraId="5B9E973D">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五、竞价手续</w:t>
      </w:r>
    </w:p>
    <w:p w14:paraId="1D56EBBF">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1.有意参加</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应提供如下有效证照复印件：</w:t>
      </w:r>
    </w:p>
    <w:p w14:paraId="78909471">
      <w:pPr>
        <w:widowControl/>
        <w:snapToGrid/>
        <w:spacing w:line="360" w:lineRule="auto"/>
        <w:ind w:left="0"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营业执照副本、法定代表人身份证复印件；</w:t>
      </w:r>
    </w:p>
    <w:p w14:paraId="6D197D77">
      <w:pPr>
        <w:widowControl/>
        <w:snapToGrid/>
        <w:spacing w:line="360" w:lineRule="auto"/>
        <w:ind w:firstLine="480" w:firstLineChars="200"/>
        <w:rPr>
          <w:rFonts w:hint="default"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信用信息报告（信用中国https://www.creditchina.gov.cn/下载）；</w:t>
      </w:r>
    </w:p>
    <w:p w14:paraId="107CE24D">
      <w:pPr>
        <w:widowControl/>
        <w:snapToGrid/>
        <w:spacing w:line="360" w:lineRule="auto"/>
        <w:ind w:firstLine="480" w:firstLineChars="200"/>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（3）履约承诺书；</w:t>
      </w:r>
    </w:p>
    <w:p w14:paraId="77ADDEEA">
      <w:pPr>
        <w:widowControl/>
        <w:snapToGrid/>
        <w:spacing w:line="360" w:lineRule="auto"/>
        <w:ind w:firstLine="480" w:firstLineChars="200"/>
        <w:rPr>
          <w:rFonts w:hint="eastAsia" w:asciiTheme="minorEastAsia" w:hAnsiTheme="minorEastAsia" w:eastAsiaTheme="minorEastAsia" w:cstheme="minorEastAsia"/>
          <w:color w:val="0000FF"/>
          <w:kern w:val="2"/>
          <w:sz w:val="24"/>
          <w:szCs w:val="24"/>
          <w:highlight w:val="none"/>
          <w:lang w:val="en-US" w:eastAsia="zh-CN"/>
        </w:rPr>
      </w:pP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auto"/>
          <w:kern w:val="2"/>
          <w:sz w:val="24"/>
          <w:szCs w:val="24"/>
          <w:highlight w:val="none"/>
          <w:lang w:val="en-US" w:eastAsia="zh-CN"/>
        </w:rPr>
        <w:t>注册安全工程师证书复印件并提供该人员近半年在职社保凭证；</w:t>
      </w:r>
    </w:p>
    <w:p w14:paraId="6F16FDC5">
      <w:pPr>
        <w:pStyle w:val="4"/>
        <w:ind w:firstLine="480" w:firstLineChars="200"/>
        <w:rPr>
          <w:rFonts w:hint="eastAsia" w:asciiTheme="minorEastAsia" w:hAnsiTheme="minorEastAsia" w:eastAsiaTheme="minorEastAsia" w:cstheme="minorEastAsia"/>
          <w:color w:val="000000" w:themeColor="text1"/>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（5）</w:t>
      </w:r>
      <w:r>
        <w:rPr>
          <w:rFonts w:hint="eastAsia"/>
          <w:color w:val="000000" w:themeColor="text1"/>
          <w:lang w:val="en-US" w:eastAsia="zh-CN"/>
          <w14:textFill>
            <w14:solidFill>
              <w14:schemeClr w14:val="tx1"/>
            </w14:solidFill>
          </w14:textFill>
        </w:rPr>
        <w:t>自本公告发出之日往前近</w:t>
      </w:r>
      <w:r>
        <w:rPr>
          <w:rFonts w:hint="eastAsia" w:asciiTheme="minorEastAsia" w:hAnsiTheme="minorEastAsia" w:eastAsiaTheme="minorEastAsia" w:cstheme="minorEastAsia"/>
          <w:color w:val="000000" w:themeColor="text1"/>
          <w:szCs w:val="24"/>
          <w14:textFill>
            <w14:solidFill>
              <w14:schemeClr w14:val="tx1"/>
            </w14:solidFill>
          </w14:textFill>
        </w:rPr>
        <w:t>五年内同类型、同规模</w:t>
      </w:r>
      <w:r>
        <w:rPr>
          <w:rFonts w:hint="eastAsia" w:asciiTheme="minorEastAsia" w:hAnsiTheme="minorEastAsia" w:eastAsiaTheme="minorEastAsia" w:cstheme="minorEastAsia"/>
          <w:color w:val="000000" w:themeColor="text1"/>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Cs w:val="24"/>
          <w:lang w:val="en-US" w:eastAsia="zh-CN"/>
          <w14:textFill>
            <w14:solidFill>
              <w14:schemeClr w14:val="tx1"/>
            </w14:solidFill>
          </w14:textFill>
        </w:rPr>
        <w:t>合同金额</w:t>
      </w:r>
      <w:r>
        <w:rPr>
          <w:rFonts w:hint="default" w:ascii="Arial" w:hAnsi="Arial" w:cs="Arial" w:eastAsiaTheme="minorEastAsia"/>
          <w:color w:val="000000" w:themeColor="text1"/>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Cs w:val="24"/>
          <w:lang w:val="en-US" w:eastAsia="zh-CN"/>
          <w14:textFill>
            <w14:solidFill>
              <w14:schemeClr w14:val="tx1"/>
            </w14:solidFill>
          </w14:textFill>
        </w:rPr>
        <w:t>15万元</w:t>
      </w:r>
      <w:r>
        <w:rPr>
          <w:rFonts w:hint="eastAsia" w:asciiTheme="minorEastAsia" w:hAnsiTheme="minorEastAsia" w:eastAsiaTheme="minorEastAsia" w:cstheme="minorEastAsia"/>
          <w:color w:val="000000" w:themeColor="text1"/>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Cs w:val="24"/>
          <w14:textFill>
            <w14:solidFill>
              <w14:schemeClr w14:val="tx1"/>
            </w14:solidFill>
          </w14:textFill>
        </w:rPr>
        <w:t>的安全信息化平台建设项目合同业绩证明复印件</w:t>
      </w:r>
      <w:r>
        <w:rPr>
          <w:rFonts w:hint="eastAsia" w:asciiTheme="minorEastAsia" w:hAnsiTheme="minorEastAsia" w:eastAsiaTheme="minorEastAsia" w:cstheme="minorEastAsia"/>
          <w:color w:val="000000" w:themeColor="text1"/>
          <w:szCs w:val="24"/>
          <w:lang w:eastAsia="zh-CN"/>
          <w14:textFill>
            <w14:solidFill>
              <w14:schemeClr w14:val="tx1"/>
            </w14:solidFill>
          </w14:textFill>
        </w:rPr>
        <w:t>；</w:t>
      </w:r>
    </w:p>
    <w:p w14:paraId="2D27F5FB">
      <w:pPr>
        <w:pStyle w:val="4"/>
        <w:ind w:firstLine="480" w:firstLineChars="200"/>
        <w:rPr>
          <w:rFonts w:hint="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签订完整的承诺书。</w:t>
      </w:r>
    </w:p>
    <w:p w14:paraId="1FD1DA08">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如法定代表人无法亲自到现场办理竞价手续的，应提供《授权委托书》原件和委托代理人身份证复印件。</w:t>
      </w:r>
    </w:p>
    <w:p w14:paraId="7A57038E">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以上材料复印件须注明与原件相符并加盖公章。</w:t>
      </w:r>
    </w:p>
    <w:p w14:paraId="4431FBA5">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2.报名方式</w:t>
      </w:r>
    </w:p>
    <w:p w14:paraId="70F434CA">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参加本次竞价会的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需在规定的时间前交纳竞价保证金并登录权益云交易平台办理竞价登记手续，同时将报名资料递交给我司，材料可以采用现场或邮件方式递交。</w:t>
      </w:r>
    </w:p>
    <w:p w14:paraId="4F79406C">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放弃本次竞价报名。</w:t>
      </w:r>
    </w:p>
    <w:p w14:paraId="12F112C2">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4.如委托人撤回竞价标的，</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已经交保证金的，保证金即予无息退还，</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对此不得有异议，且本公司不对</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承担任何损失，此是</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参与本次竞价的先决条件。</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一旦报名成功，即视为同意本公司的前述免责内容。</w:t>
      </w:r>
    </w:p>
    <w:p w14:paraId="0B41D6A7">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六、竞价程序</w:t>
      </w:r>
    </w:p>
    <w:p w14:paraId="473C5497">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000000"/>
          <w:sz w:val="24"/>
          <w:szCs w:val="24"/>
          <w:highlight w:val="none"/>
        </w:rPr>
        <w:t>本场竞价</w:t>
      </w:r>
      <w:r>
        <w:rPr>
          <w:rFonts w:hint="eastAsia" w:asciiTheme="minorEastAsia" w:hAnsiTheme="minorEastAsia" w:eastAsiaTheme="minorEastAsia" w:cstheme="minorEastAsia"/>
          <w:color w:val="000000"/>
          <w:sz w:val="24"/>
          <w:szCs w:val="24"/>
          <w:highlight w:val="none"/>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000000"/>
          <w:sz w:val="24"/>
          <w:szCs w:val="24"/>
          <w:highlight w:val="none"/>
        </w:rPr>
        <w:t>，竞价人不得有异议。</w:t>
      </w:r>
    </w:p>
    <w:p w14:paraId="026E443B">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2.</w:t>
      </w:r>
      <w:r>
        <w:rPr>
          <w:rFonts w:hint="eastAsia" w:asciiTheme="minorEastAsia" w:hAnsiTheme="minorEastAsia" w:eastAsiaTheme="minorEastAsia" w:cstheme="minorEastAsia"/>
          <w:color w:val="auto"/>
          <w:kern w:val="2"/>
          <w:sz w:val="24"/>
          <w:szCs w:val="24"/>
          <w:highlight w:val="none"/>
          <w:shd w:val="clear"/>
        </w:rPr>
        <w:t>意向</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应至权益云网站或微信公众号“权益云交易平台”注册用户名，并于报名截止时间前至本公司办理报名竞价手续，登录到权益云报价大厅申请参与本场竞价。</w:t>
      </w:r>
    </w:p>
    <w:p w14:paraId="4012213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rPr>
        <w:t>.采用网络</w:t>
      </w:r>
      <w:r>
        <w:rPr>
          <w:rFonts w:hint="eastAsia" w:asciiTheme="minorEastAsia" w:hAnsiTheme="minorEastAsia" w:eastAsiaTheme="minorEastAsia" w:cstheme="minorEastAsia"/>
          <w:b/>
          <w:bCs/>
          <w:color w:val="auto"/>
          <w:kern w:val="2"/>
          <w:sz w:val="24"/>
          <w:szCs w:val="24"/>
          <w:highlight w:val="none"/>
          <w:shd w:val="clear"/>
          <w:lang w:val="en-US" w:eastAsia="zh-CN"/>
        </w:rPr>
        <w:t>反向</w:t>
      </w:r>
      <w:r>
        <w:rPr>
          <w:rFonts w:hint="eastAsia" w:asciiTheme="minorEastAsia" w:hAnsiTheme="minorEastAsia" w:eastAsiaTheme="minorEastAsia" w:cstheme="minorEastAsia"/>
          <w:b/>
          <w:bCs/>
          <w:color w:val="auto"/>
          <w:kern w:val="2"/>
          <w:sz w:val="24"/>
          <w:szCs w:val="24"/>
          <w:highlight w:val="none"/>
          <w:shd w:val="clear"/>
          <w:lang w:eastAsia="zh-CN"/>
        </w:rPr>
        <w:t>一次</w:t>
      </w:r>
      <w:r>
        <w:rPr>
          <w:rFonts w:hint="eastAsia" w:asciiTheme="minorEastAsia" w:hAnsiTheme="minorEastAsia" w:eastAsiaTheme="minorEastAsia" w:cstheme="minorEastAsia"/>
          <w:b/>
          <w:bCs/>
          <w:color w:val="auto"/>
          <w:kern w:val="2"/>
          <w:sz w:val="24"/>
          <w:szCs w:val="24"/>
          <w:highlight w:val="none"/>
          <w:shd w:val="clear"/>
        </w:rPr>
        <w:t>性</w:t>
      </w:r>
      <w:r>
        <w:rPr>
          <w:rFonts w:hint="eastAsia" w:asciiTheme="minorEastAsia" w:hAnsiTheme="minorEastAsia" w:eastAsiaTheme="minorEastAsia" w:cstheme="minorEastAsia"/>
          <w:color w:val="auto"/>
          <w:kern w:val="2"/>
          <w:sz w:val="24"/>
          <w:szCs w:val="24"/>
          <w:highlight w:val="none"/>
          <w:shd w:val="clear"/>
        </w:rPr>
        <w:t>报价的交易方式，以“价格优先，时间优先”（即同等价格时，以报价时间优先）确定本次竞价标的的成交人。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266539F9">
      <w:pPr>
        <w:pStyle w:val="10"/>
        <w:spacing w:line="360" w:lineRule="auto"/>
        <w:ind w:firstLine="482" w:firstLineChars="200"/>
        <w:rPr>
          <w:rFonts w:hint="eastAsia" w:asciiTheme="minorEastAsia" w:hAnsiTheme="minorEastAsia" w:eastAsiaTheme="minorEastAsia" w:cstheme="minorEastAsia"/>
          <w:b w:val="0"/>
          <w:bCs w:val="0"/>
          <w:color w:val="auto"/>
          <w:kern w:val="2"/>
          <w:sz w:val="24"/>
          <w:szCs w:val="24"/>
          <w:highlight w:val="none"/>
          <w:shd w:val="clear"/>
          <w:lang w:val="en-US" w:eastAsia="zh-CN"/>
        </w:rPr>
      </w:pPr>
      <w:r>
        <w:rPr>
          <w:rFonts w:hint="eastAsia" w:asciiTheme="minorEastAsia" w:hAnsiTheme="minorEastAsia" w:eastAsiaTheme="minorEastAsia" w:cstheme="minorEastAsia"/>
          <w:b/>
          <w:bCs/>
          <w:color w:val="000000" w:themeColor="text1"/>
          <w:kern w:val="2"/>
          <w:sz w:val="24"/>
          <w:szCs w:val="24"/>
          <w:highlight w:val="none"/>
          <w:shd w:val="clear"/>
          <w:lang w:val="en-US" w:eastAsia="zh-CN"/>
          <w14:textFill>
            <w14:solidFill>
              <w14:schemeClr w14:val="tx1"/>
            </w14:solidFill>
          </w14:textFill>
        </w:rPr>
        <w:t>4.竞价人应以服务费总价进行报价，填报总价最低的竞价人作为本项目成交人</w:t>
      </w:r>
      <w:r>
        <w:rPr>
          <w:rFonts w:hint="eastAsia" w:asciiTheme="minorEastAsia" w:hAnsiTheme="minorEastAsia" w:eastAsiaTheme="minorEastAsia" w:cstheme="minorEastAsia"/>
          <w:b/>
          <w:bCs/>
          <w:color w:val="000000" w:themeColor="text1"/>
          <w:kern w:val="2"/>
          <w:sz w:val="24"/>
          <w:szCs w:val="24"/>
          <w:highlight w:val="none"/>
          <w:shd w:val="clear"/>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kern w:val="2"/>
          <w:sz w:val="24"/>
          <w:szCs w:val="24"/>
          <w:highlight w:val="none"/>
          <w:shd w:val="clear"/>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kern w:val="2"/>
          <w:sz w:val="24"/>
          <w:szCs w:val="24"/>
          <w:highlight w:val="none"/>
          <w:shd w:val="clear"/>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FF"/>
          <w:kern w:val="2"/>
          <w:sz w:val="24"/>
          <w:szCs w:val="24"/>
          <w:highlight w:val="none"/>
          <w:shd w:val="clear"/>
          <w:lang w:val="en-US" w:eastAsia="zh-CN"/>
        </w:rPr>
        <w:t xml:space="preserve">  </w:t>
      </w:r>
      <w:r>
        <w:rPr>
          <w:rFonts w:hint="eastAsia" w:asciiTheme="minorEastAsia" w:hAnsiTheme="minorEastAsia" w:eastAsiaTheme="minorEastAsia" w:cstheme="minorEastAsia"/>
          <w:b w:val="0"/>
          <w:bCs w:val="0"/>
          <w:color w:val="auto"/>
          <w:kern w:val="2"/>
          <w:sz w:val="24"/>
          <w:szCs w:val="24"/>
          <w:highlight w:val="none"/>
          <w:shd w:val="clear"/>
          <w:lang w:val="en-US" w:eastAsia="zh-CN"/>
        </w:rPr>
        <w:t xml:space="preserve">      </w:t>
      </w:r>
    </w:p>
    <w:p w14:paraId="148C11F3">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5</w:t>
      </w:r>
      <w:r>
        <w:rPr>
          <w:rFonts w:hint="eastAsia" w:asciiTheme="minorEastAsia" w:hAnsiTheme="minorEastAsia" w:eastAsiaTheme="minorEastAsia" w:cstheme="minorEastAsia"/>
          <w:color w:val="auto"/>
          <w:kern w:val="2"/>
          <w:sz w:val="24"/>
          <w:szCs w:val="24"/>
          <w:highlight w:val="none"/>
          <w:shd w:val="clear"/>
        </w:rPr>
        <w:t>.特别提示：标的经公开征集到合格</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应以不高于最高限价进行报价，成交人应签署</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等相关文件，否则视同为违约。</w:t>
      </w:r>
    </w:p>
    <w:p w14:paraId="12EECBBE">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6</w:t>
      </w:r>
      <w:r>
        <w:rPr>
          <w:rFonts w:hint="eastAsia" w:asciiTheme="minorEastAsia" w:hAnsiTheme="minorEastAsia" w:eastAsiaTheme="minorEastAsia" w:cstheme="minorEastAsia"/>
          <w:color w:val="auto"/>
          <w:kern w:val="2"/>
          <w:sz w:val="24"/>
          <w:szCs w:val="24"/>
          <w:highlight w:val="none"/>
          <w:shd w:val="clear"/>
        </w:rPr>
        <w:t>.本公司有权就竞价时间做出调整，如有调整将在本公司网站进行公告。</w:t>
      </w:r>
    </w:p>
    <w:p w14:paraId="4DD16673">
      <w:pPr>
        <w:snapToGrid/>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shd w:val="clear"/>
        </w:rPr>
        <w:t>七、交易服务费</w:t>
      </w:r>
    </w:p>
    <w:p w14:paraId="5CB9206F">
      <w:pPr>
        <w:keepNext w:val="0"/>
        <w:keepLines w:val="0"/>
        <w:pageBreakBefore w:val="0"/>
        <w:kinsoku/>
        <w:wordWrap/>
        <w:topLinePunct w:val="0"/>
        <w:bidi w:val="0"/>
        <w:spacing w:line="360" w:lineRule="auto"/>
        <w:ind w:left="0" w:firstLine="482" w:firstLineChars="20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竞价成交后，本项目的交易服务费按成交价×1.5%计费向成交人收取，不足3000元的，按3000元计费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sz w:val="24"/>
          <w:szCs w:val="24"/>
          <w:highlight w:val="none"/>
        </w:rPr>
        <w:t>交易服务费直接由本公司从成交人缴纳的竞价保证金中扣收，不足的，成交人</w:t>
      </w:r>
      <w:r>
        <w:rPr>
          <w:rFonts w:hint="eastAsia" w:asciiTheme="minorEastAsia" w:hAnsiTheme="minorEastAsia" w:eastAsiaTheme="minorEastAsia" w:cstheme="minorEastAsia"/>
          <w:b/>
          <w:bCs/>
          <w:color w:val="000000"/>
          <w:sz w:val="24"/>
          <w:szCs w:val="24"/>
          <w:highlight w:val="none"/>
          <w:shd w:val="clear" w:color="auto" w:fill="FFFFFF"/>
        </w:rPr>
        <w:t>必须在成交之日起2个工作日</w:t>
      </w:r>
      <w:r>
        <w:rPr>
          <w:rFonts w:hint="eastAsia" w:asciiTheme="minorEastAsia" w:hAnsiTheme="minorEastAsia" w:eastAsiaTheme="minorEastAsia" w:cstheme="minorEastAsia"/>
          <w:color w:val="000000"/>
          <w:sz w:val="24"/>
          <w:szCs w:val="24"/>
          <w:highlight w:val="none"/>
        </w:rPr>
        <w:t>内补齐。交易服务费未按期付清的，视成交人根本违约，竞价保证金不予退回。</w:t>
      </w:r>
    </w:p>
    <w:p w14:paraId="3979DD84">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八、</w:t>
      </w:r>
      <w:r>
        <w:rPr>
          <w:rFonts w:hint="eastAsia" w:asciiTheme="minorEastAsia" w:hAnsiTheme="minorEastAsia" w:eastAsiaTheme="minorEastAsia" w:cstheme="minorEastAsia"/>
          <w:b/>
          <w:bCs/>
          <w:color w:val="auto"/>
          <w:kern w:val="2"/>
          <w:sz w:val="24"/>
          <w:szCs w:val="24"/>
          <w:highlight w:val="none"/>
          <w:shd w:val="clear"/>
          <w:lang w:eastAsia="zh-CN"/>
        </w:rPr>
        <w:t>结算</w:t>
      </w:r>
      <w:r>
        <w:rPr>
          <w:rFonts w:hint="eastAsia" w:asciiTheme="minorEastAsia" w:hAnsiTheme="minorEastAsia" w:eastAsiaTheme="minorEastAsia" w:cstheme="minorEastAsia"/>
          <w:b/>
          <w:bCs/>
          <w:color w:val="auto"/>
          <w:kern w:val="2"/>
          <w:sz w:val="24"/>
          <w:szCs w:val="24"/>
          <w:highlight w:val="none"/>
          <w:shd w:val="clear"/>
        </w:rPr>
        <w:t>方式</w:t>
      </w:r>
    </w:p>
    <w:p w14:paraId="0FB7D098">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以竞价公告为准。</w:t>
      </w:r>
    </w:p>
    <w:p w14:paraId="4FD4E09E">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九、税费承担</w:t>
      </w:r>
    </w:p>
    <w:p w14:paraId="07A9863B">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自行承担参加竞价会有关的全部费用（包括但不限于差旅费、邮寄费、资料费等）。</w:t>
      </w:r>
    </w:p>
    <w:p w14:paraId="071FBF9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auto"/>
        <w:ind w:left="0" w:right="0" w:firstLine="482" w:firstLineChars="200"/>
        <w:jc w:val="left"/>
        <w:textAlignment w:val="auto"/>
        <w:rPr>
          <w:rFonts w:hint="eastAsia" w:asciiTheme="minorEastAsia" w:hAnsiTheme="minorEastAsia" w:eastAsiaTheme="minorEastAsia" w:cstheme="minorEastAsia"/>
          <w:i w:val="0"/>
          <w:iCs w:val="0"/>
          <w:caps w:val="0"/>
          <w:color w:val="auto"/>
          <w:spacing w:val="0"/>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i w:val="0"/>
          <w:iCs w:val="0"/>
          <w:caps w:val="0"/>
          <w:color w:val="auto"/>
          <w:spacing w:val="0"/>
          <w:sz w:val="24"/>
          <w:szCs w:val="24"/>
          <w:highlight w:val="none"/>
          <w:shd w:val="clear" w:color="auto" w:fill="FFFFFF"/>
        </w:rPr>
        <w:t>最终审查</w:t>
      </w:r>
    </w:p>
    <w:p w14:paraId="02A4874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auto"/>
        <w:ind w:left="0" w:right="0" w:firstLine="480" w:firstLineChars="200"/>
        <w:textAlignment w:val="auto"/>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color="auto" w:fill="FFFFFF"/>
        </w:rPr>
        <w:t>（</w:t>
      </w:r>
      <w:r>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t>1</w:t>
      </w:r>
      <w:r>
        <w:rPr>
          <w:rFonts w:hint="eastAsia" w:asciiTheme="minorEastAsia" w:hAnsiTheme="minorEastAsia" w:eastAsiaTheme="minorEastAsia" w:cstheme="minorEastAsia"/>
          <w:i w:val="0"/>
          <w:iCs w:val="0"/>
          <w:caps w:val="0"/>
          <w:color w:val="auto"/>
          <w:spacing w:val="0"/>
          <w:sz w:val="24"/>
          <w:szCs w:val="24"/>
          <w:highlight w:val="none"/>
          <w:shd w:val="clear" w:color="auto" w:fill="FFFFFF"/>
        </w:rPr>
        <w:t>）委托人对成交</w:t>
      </w:r>
      <w:r>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t>人</w:t>
      </w:r>
      <w:r>
        <w:rPr>
          <w:rFonts w:hint="eastAsia" w:asciiTheme="minorEastAsia" w:hAnsiTheme="minorEastAsia" w:eastAsiaTheme="minorEastAsia" w:cstheme="minorEastAsia"/>
          <w:i w:val="0"/>
          <w:iCs w:val="0"/>
          <w:caps w:val="0"/>
          <w:color w:val="auto"/>
          <w:spacing w:val="0"/>
          <w:sz w:val="24"/>
          <w:szCs w:val="24"/>
          <w:highlight w:val="none"/>
          <w:shd w:val="clear" w:color="auto" w:fill="FFFFFF"/>
        </w:rPr>
        <w:t>所报</w:t>
      </w:r>
      <w:r>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t>服务</w:t>
      </w:r>
      <w:r>
        <w:rPr>
          <w:rFonts w:hint="eastAsia" w:asciiTheme="minorEastAsia" w:hAnsiTheme="minorEastAsia" w:eastAsiaTheme="minorEastAsia" w:cstheme="minorEastAsia"/>
          <w:i w:val="0"/>
          <w:iCs w:val="0"/>
          <w:caps w:val="0"/>
          <w:color w:val="auto"/>
          <w:spacing w:val="0"/>
          <w:sz w:val="24"/>
          <w:szCs w:val="24"/>
          <w:highlight w:val="none"/>
          <w:shd w:val="clear" w:color="auto" w:fill="FFFFFF"/>
        </w:rPr>
        <w:t>的价格、履行合同的能力以及有必要了解的其它问题可作进一步的审查，审查不合格的，不能成为成交供应商。</w:t>
      </w:r>
      <w:r>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t xml:space="preserve">  </w:t>
      </w:r>
    </w:p>
    <w:p w14:paraId="1A9E25A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auto"/>
        <w:ind w:left="0" w:right="0" w:firstLine="480" w:firstLineChars="200"/>
        <w:textAlignment w:val="auto"/>
        <w:rPr>
          <w:rFonts w:hint="eastAsia" w:asciiTheme="minorEastAsia" w:hAnsiTheme="minorEastAsia" w:eastAsiaTheme="minorEastAsia" w:cstheme="minorEastAsia"/>
          <w:i w:val="0"/>
          <w:iCs w:val="0"/>
          <w:caps w:val="0"/>
          <w:color w:val="auto"/>
          <w:spacing w:val="0"/>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shd w:val="clear" w:color="auto" w:fill="FFFFFF"/>
        </w:rPr>
        <w:t>（</w:t>
      </w:r>
      <w:r>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t>2</w:t>
      </w:r>
      <w:r>
        <w:rPr>
          <w:rFonts w:hint="eastAsia" w:asciiTheme="minorEastAsia" w:hAnsiTheme="minorEastAsia" w:eastAsiaTheme="minorEastAsia" w:cstheme="minorEastAsia"/>
          <w:i w:val="0"/>
          <w:iCs w:val="0"/>
          <w:caps w:val="0"/>
          <w:color w:val="auto"/>
          <w:spacing w:val="0"/>
          <w:sz w:val="24"/>
          <w:szCs w:val="24"/>
          <w:highlight w:val="none"/>
          <w:shd w:val="clear" w:color="auto" w:fill="FFFFFF"/>
        </w:rPr>
        <w:t>）代理机构对</w:t>
      </w:r>
      <w:r>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t>竞价</w:t>
      </w:r>
      <w:r>
        <w:rPr>
          <w:rFonts w:hint="eastAsia" w:asciiTheme="minorEastAsia" w:hAnsiTheme="minorEastAsia" w:eastAsiaTheme="minorEastAsia" w:cstheme="minorEastAsia"/>
          <w:i w:val="0"/>
          <w:iCs w:val="0"/>
          <w:caps w:val="0"/>
          <w:color w:val="auto"/>
          <w:spacing w:val="0"/>
          <w:sz w:val="24"/>
          <w:szCs w:val="24"/>
          <w:highlight w:val="none"/>
          <w:shd w:val="clear" w:color="auto" w:fill="FFFFFF"/>
        </w:rPr>
        <w:t>结果进行网上公告，公告为1个工作日。质疑期限为7个工作日，质疑期限内未提出异议的，则视为认同该</w:t>
      </w:r>
      <w:r>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t>竞价</w:t>
      </w:r>
      <w:r>
        <w:rPr>
          <w:rFonts w:hint="eastAsia" w:asciiTheme="minorEastAsia" w:hAnsiTheme="minorEastAsia" w:eastAsiaTheme="minorEastAsia" w:cstheme="minorEastAsia"/>
          <w:i w:val="0"/>
          <w:iCs w:val="0"/>
          <w:caps w:val="0"/>
          <w:color w:val="auto"/>
          <w:spacing w:val="0"/>
          <w:sz w:val="24"/>
          <w:szCs w:val="24"/>
          <w:highlight w:val="none"/>
          <w:shd w:val="clear" w:color="auto" w:fill="FFFFFF"/>
        </w:rPr>
        <w:t>结果。</w:t>
      </w:r>
    </w:p>
    <w:p w14:paraId="33BDCB90">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lang w:val="en-US" w:eastAsia="zh-CN"/>
        </w:rPr>
        <w:t>十一、</w:t>
      </w:r>
      <w:r>
        <w:rPr>
          <w:rFonts w:hint="eastAsia" w:asciiTheme="minorEastAsia" w:hAnsiTheme="minorEastAsia" w:eastAsiaTheme="minorEastAsia" w:cstheme="minorEastAsia"/>
          <w:b/>
          <w:bCs/>
          <w:color w:val="auto"/>
          <w:kern w:val="2"/>
          <w:sz w:val="24"/>
          <w:szCs w:val="24"/>
          <w:highlight w:val="none"/>
          <w:shd w:val="clear"/>
        </w:rPr>
        <w:t>违约责任</w:t>
      </w:r>
    </w:p>
    <w:p w14:paraId="4FE33B11">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成交人应价后反悔的，或不即时签订</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，或逾期未缴纳交易服务费，本公司按违约处理，保证金不予退回，同时《竞价结果通知书》自动失效，并视情对竞价标的再次竞价或处理，本公司</w:t>
      </w:r>
      <w:r>
        <w:rPr>
          <w:rFonts w:hint="eastAsia" w:asciiTheme="minorEastAsia" w:hAnsiTheme="minorEastAsia" w:eastAsiaTheme="minorEastAsia" w:cstheme="minorEastAsia"/>
          <w:color w:val="auto"/>
          <w:kern w:val="2"/>
          <w:sz w:val="24"/>
          <w:szCs w:val="24"/>
          <w:highlight w:val="none"/>
          <w:shd w:val="clear"/>
          <w:lang w:val="en-US" w:eastAsia="zh-CN"/>
        </w:rPr>
        <w:t>及委托人</w:t>
      </w:r>
      <w:r>
        <w:rPr>
          <w:rFonts w:hint="eastAsia" w:asciiTheme="minorEastAsia" w:hAnsiTheme="minorEastAsia" w:eastAsiaTheme="minorEastAsia" w:cstheme="minorEastAsia"/>
          <w:color w:val="auto"/>
          <w:kern w:val="2"/>
          <w:sz w:val="24"/>
          <w:szCs w:val="24"/>
          <w:highlight w:val="none"/>
          <w:shd w:val="clear"/>
        </w:rPr>
        <w:t>将保留向该成交人提起赔偿诉讼的权利。</w:t>
      </w:r>
    </w:p>
    <w:p w14:paraId="66B8F932">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二</w:t>
      </w:r>
      <w:r>
        <w:rPr>
          <w:rFonts w:hint="eastAsia" w:asciiTheme="minorEastAsia" w:hAnsiTheme="minorEastAsia" w:eastAsiaTheme="minorEastAsia" w:cstheme="minorEastAsia"/>
          <w:b/>
          <w:bCs/>
          <w:color w:val="auto"/>
          <w:kern w:val="2"/>
          <w:sz w:val="24"/>
          <w:szCs w:val="24"/>
          <w:highlight w:val="none"/>
          <w:shd w:val="clear"/>
        </w:rPr>
        <w:t>、注意事项</w:t>
      </w:r>
    </w:p>
    <w:p w14:paraId="1877045C">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w:t>
      </w:r>
    </w:p>
    <w:p w14:paraId="11B7CE48">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应妥善保管好用户名及密码，用户名为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负责。</w:t>
      </w:r>
    </w:p>
    <w:p w14:paraId="48937301">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highlight w:val="none"/>
          <w:lang w:val="en-US" w:eastAsia="zh-CN" w:bidi="ar-SA"/>
        </w:rPr>
        <w:t>服务合同</w:t>
      </w:r>
      <w:r>
        <w:rPr>
          <w:rFonts w:hint="eastAsia" w:asciiTheme="minorEastAsia" w:hAnsiTheme="minorEastAsia" w:eastAsiaTheme="minorEastAsia" w:cstheme="minorEastAsia"/>
          <w:color w:val="auto"/>
          <w:kern w:val="2"/>
          <w:sz w:val="24"/>
          <w:szCs w:val="24"/>
          <w:highlight w:val="none"/>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highlight w:val="none"/>
          <w:lang w:val="en-US" w:eastAsia="zh-CN" w:bidi="ar-SA"/>
        </w:rPr>
        <w:t>服务合同</w:t>
      </w:r>
      <w:r>
        <w:rPr>
          <w:rFonts w:hint="eastAsia" w:asciiTheme="minorEastAsia" w:hAnsiTheme="minorEastAsia" w:eastAsiaTheme="minorEastAsia" w:cstheme="minorEastAsia"/>
          <w:color w:val="auto"/>
          <w:kern w:val="2"/>
          <w:sz w:val="24"/>
          <w:szCs w:val="24"/>
          <w:highlight w:val="none"/>
          <w:shd w:val="clear"/>
          <w:lang w:val="en-US" w:eastAsia="zh-CN"/>
        </w:rPr>
        <w:t>》约定为准。</w:t>
      </w:r>
    </w:p>
    <w:p w14:paraId="7C8AB7C2">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14:paraId="75D90730">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三</w:t>
      </w:r>
      <w:r>
        <w:rPr>
          <w:rFonts w:hint="eastAsia" w:asciiTheme="minorEastAsia" w:hAnsiTheme="minorEastAsia" w:eastAsiaTheme="minorEastAsia" w:cstheme="minorEastAsia"/>
          <w:b/>
          <w:bCs/>
          <w:color w:val="auto"/>
          <w:kern w:val="2"/>
          <w:sz w:val="24"/>
          <w:szCs w:val="24"/>
          <w:highlight w:val="none"/>
          <w:shd w:val="clear"/>
        </w:rPr>
        <w:t>、特别提示</w:t>
      </w:r>
    </w:p>
    <w:tbl>
      <w:tblPr>
        <w:tblStyle w:val="7"/>
        <w:tblW w:w="9071" w:type="dxa"/>
        <w:jc w:val="center"/>
        <w:shd w:val="clear" w:color="auto" w:fill="FFFFFF"/>
        <w:tblLayout w:type="fixed"/>
        <w:tblCellMar>
          <w:top w:w="0" w:type="dxa"/>
          <w:left w:w="0" w:type="dxa"/>
          <w:bottom w:w="0" w:type="dxa"/>
          <w:right w:w="0" w:type="dxa"/>
        </w:tblCellMar>
      </w:tblPr>
      <w:tblGrid>
        <w:gridCol w:w="9071"/>
      </w:tblGrid>
      <w:tr w14:paraId="55393369">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167F1AFA">
            <w:pPr>
              <w:widowControl/>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1.申请人必须对本项目情况及竞价流程进行充分的咨询和了解，一旦参与竞价，视为无异议，并对项目存在或可能存在的瑕疵表示认可，自行承担由此造成的风险。</w:t>
            </w:r>
          </w:p>
          <w:p w14:paraId="3E09DA8D">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rPr>
              <w:t>2.竞价文件如有更正修改，公告将在</w:t>
            </w:r>
            <w:r>
              <w:rPr>
                <w:rFonts w:hint="eastAsia" w:asciiTheme="minorEastAsia" w:hAnsiTheme="minorEastAsia" w:eastAsiaTheme="minorEastAsia" w:cstheme="minorEastAsia"/>
                <w:b w:val="0"/>
                <w:bCs w:val="0"/>
                <w:color w:val="auto"/>
                <w:sz w:val="24"/>
                <w:szCs w:val="24"/>
                <w:highlight w:val="none"/>
              </w:rPr>
              <w:t>连城产权交易网（网址：</w:t>
            </w:r>
            <w:r>
              <w:rPr>
                <w:rFonts w:hint="eastAsia" w:asciiTheme="minorEastAsia" w:hAnsiTheme="minorEastAsia" w:eastAsiaTheme="minorEastAsia" w:cstheme="minorEastAsia"/>
                <w:b/>
                <w:bCs/>
                <w:color w:val="auto"/>
                <w:sz w:val="24"/>
                <w:szCs w:val="24"/>
                <w:highlight w:val="none"/>
              </w:rPr>
              <w:t>http://www.lcxcqjy.com/</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color w:val="auto"/>
                <w:kern w:val="2"/>
                <w:sz w:val="24"/>
                <w:szCs w:val="24"/>
                <w:highlight w:val="none"/>
              </w:rPr>
              <w:t>上</w:t>
            </w:r>
            <w:r>
              <w:rPr>
                <w:rFonts w:hint="eastAsia" w:asciiTheme="minorEastAsia" w:hAnsiTheme="minorEastAsia" w:eastAsiaTheme="minorEastAsia" w:cstheme="minorEastAsia"/>
                <w:color w:val="auto"/>
                <w:kern w:val="2"/>
                <w:sz w:val="24"/>
                <w:szCs w:val="24"/>
                <w:highlight w:val="none"/>
                <w:shd w:val="clear"/>
              </w:rPr>
              <w:t>发布，请潜在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未查看、下载修改内容的，后果自行承担。</w:t>
            </w:r>
          </w:p>
          <w:p w14:paraId="42A7C895">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3.有需要通知事项时，本公司以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，即使</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不签收或未收到通知，均视为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已收到通知，由此造成的后果由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自行负责。</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成为成交人参照此条款执行。</w:t>
            </w:r>
          </w:p>
        </w:tc>
      </w:tr>
    </w:tbl>
    <w:p w14:paraId="27F6D38D">
      <w:pPr>
        <w:widowControl/>
        <w:shd w:val="clear"/>
        <w:snapToGrid/>
        <w:spacing w:before="0" w:line="360" w:lineRule="auto"/>
        <w:ind w:firstLine="0" w:firstLineChars="0"/>
        <w:jc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 xml:space="preserve">       </w:t>
      </w:r>
      <w:r>
        <w:rPr>
          <w:rFonts w:hint="eastAsia" w:asciiTheme="minorEastAsia" w:hAnsiTheme="minorEastAsia" w:eastAsiaTheme="minorEastAsia" w:cstheme="minorEastAsia"/>
          <w:color w:val="auto"/>
          <w:sz w:val="24"/>
          <w:szCs w:val="24"/>
          <w:highlight w:val="none"/>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4"/>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连城县国有资产产权交易服务有限公司</w:t>
      </w:r>
    </w:p>
    <w:p w14:paraId="2145A9A2">
      <w:pPr>
        <w:widowControl/>
        <w:shd w:val="clear"/>
        <w:wordWrap/>
        <w:snapToGrid/>
        <w:spacing w:before="0" w:line="360" w:lineRule="auto"/>
        <w:ind w:firstLine="480" w:firstLineChars="200"/>
        <w:jc w:val="right"/>
        <w:rPr>
          <w:rFonts w:hint="eastAsia" w:asciiTheme="minorEastAsia" w:hAnsiTheme="minorEastAsia" w:eastAsiaTheme="minorEastAsia" w:cstheme="minorEastAsia"/>
          <w:color w:val="0000FF"/>
          <w:kern w:val="2"/>
          <w:sz w:val="24"/>
          <w:szCs w:val="24"/>
          <w:highlight w:val="none"/>
          <w:shd w:val="clear"/>
          <w:lang w:val="en-US" w:eastAsia="zh-CN"/>
        </w:rPr>
      </w:pPr>
      <w:r>
        <w:rPr>
          <w:rFonts w:hint="eastAsia" w:asciiTheme="minorEastAsia" w:hAnsiTheme="minorEastAsia" w:eastAsiaTheme="minorEastAsia" w:cstheme="minorEastAsia"/>
          <w:color w:val="0000FF"/>
          <w:kern w:val="2"/>
          <w:sz w:val="24"/>
          <w:szCs w:val="24"/>
          <w:highlight w:val="none"/>
          <w:shd w:val="clear"/>
          <w:lang w:val="en-US" w:eastAsia="zh-CN"/>
        </w:rPr>
        <w:t>2024年7月24日</w:t>
      </w:r>
    </w:p>
    <w:p w14:paraId="1E55258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7820542B"/>
    <w:rsid w:val="704E325A"/>
    <w:rsid w:val="78205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4">
    <w:name w:val="Body Text"/>
    <w:basedOn w:val="1"/>
    <w:qFormat/>
    <w:uiPriority w:val="0"/>
    <w:pPr>
      <w:spacing w:line="380" w:lineRule="exact"/>
    </w:pPr>
    <w:rPr>
      <w:sz w:val="24"/>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Body Text First Indent"/>
    <w:basedOn w:val="4"/>
    <w:qFormat/>
    <w:uiPriority w:val="0"/>
    <w:pPr>
      <w:ind w:firstLine="420" w:firstLineChars="100"/>
    </w:pPr>
    <w:rPr>
      <w:kern w:val="0"/>
      <w:sz w:val="20"/>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11">
    <w:name w:val="市数办正文"/>
    <w:basedOn w:val="1"/>
    <w:qFormat/>
    <w:uiPriority w:val="0"/>
    <w:pPr>
      <w:spacing w:line="360" w:lineRule="auto"/>
      <w:ind w:firstLine="480" w:firstLineChars="200"/>
    </w:pPr>
    <w:rPr>
      <w:rFonts w:ascii="宋体" w:hAnsi="宋体" w:eastAsia="宋体" w:cs="Arial"/>
      <w:sz w:val="24"/>
      <w:szCs w:val="28"/>
    </w:rPr>
  </w:style>
  <w:style w:type="paragraph" w:styleId="12">
    <w:name w:val="List Paragraph"/>
    <w:basedOn w:val="1"/>
    <w:qFormat/>
    <w:uiPriority w:val="1"/>
    <w:pPr>
      <w:ind w:left="1318" w:hanging="421"/>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8047</Words>
  <Characters>8318</Characters>
  <Lines>0</Lines>
  <Paragraphs>0</Paragraphs>
  <TotalTime>0</TotalTime>
  <ScaleCrop>false</ScaleCrop>
  <LinksUpToDate>false</LinksUpToDate>
  <CharactersWithSpaces>8386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2024-07-24T01:22:00Z</dcterms:created>
  <dc:creator>土豆排骨的滋味</dc:creator>
  <cp:lastModifiedBy>土豆排骨的滋味</cp:lastModifiedBy>
  <dcterms:modified xsi:type="dcterms:W3CDTF">2024-08-26T07:47:55Z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8BFD42CEC3EF4B40A5CB0F8EF5F6F6DC_11</vt:lpwstr>
  </property>
</Properties>
</file>