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AAEE3">
      <w:pPr>
        <w:rPr>
          <w:rFonts w:hint="eastAsia"/>
          <w:lang w:val="en-US" w:eastAsia="zh-CN"/>
        </w:rPr>
      </w:pPr>
      <w:r>
        <w:rPr>
          <w:rFonts w:hint="eastAsia" w:ascii="Calibri" w:eastAsia="宋体"/>
          <w:lang w:val="en-US" w:eastAsia="zh-CN"/>
        </w:rPr>
        <w:t>附件：</w:t>
      </w:r>
    </w:p>
    <w:p w14:paraId="1DF0701C">
      <w:pPr>
        <w:snapToGrid w:val="0"/>
        <w:spacing w:line="300" w:lineRule="auto"/>
        <w:jc w:val="center"/>
        <w:rPr>
          <w:rFonts w:hint="eastAsia" w:ascii="Times New Roman" w:hAnsi="Times New Roman" w:eastAsia="宋体" w:cs="Times New Roman"/>
          <w:b/>
          <w:sz w:val="44"/>
          <w:szCs w:val="44"/>
        </w:rPr>
      </w:pPr>
      <w:bookmarkStart w:id="0" w:name="_GoBack"/>
      <w:r>
        <w:rPr>
          <w:rFonts w:hint="eastAsia" w:ascii="Times New Roman" w:hAnsi="Times New Roman" w:eastAsia="宋体" w:cs="Times New Roman"/>
          <w:b/>
          <w:sz w:val="44"/>
          <w:szCs w:val="44"/>
        </w:rPr>
        <w:t>粮 食 集 并 运 输 装 卸 合 同</w:t>
      </w:r>
    </w:p>
    <w:bookmarkEnd w:id="0"/>
    <w:p w14:paraId="6BB977D5">
      <w:pPr>
        <w:snapToGrid w:val="0"/>
        <w:spacing w:line="360" w:lineRule="auto"/>
        <w:ind w:firstLine="590" w:firstLineChars="196"/>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甲 方：连城县粮食购销有限公司</w:t>
      </w:r>
    </w:p>
    <w:p w14:paraId="51F5CF72">
      <w:pPr>
        <w:snapToGrid w:val="0"/>
        <w:spacing w:line="360" w:lineRule="auto"/>
        <w:ind w:firstLine="590" w:firstLineChars="196"/>
        <w:rPr>
          <w:rFonts w:hint="eastAsia" w:ascii="Times New Roman" w:hAnsi="Times New Roman" w:eastAsia="宋体" w:cs="Times New Roman"/>
          <w:b/>
          <w:sz w:val="30"/>
          <w:szCs w:val="30"/>
        </w:rPr>
      </w:pPr>
      <w:r>
        <w:rPr>
          <w:rFonts w:hint="eastAsia" w:ascii="Times New Roman" w:hAnsi="Times New Roman" w:eastAsia="宋体" w:cs="Times New Roman"/>
          <w:b/>
          <w:sz w:val="30"/>
          <w:szCs w:val="30"/>
        </w:rPr>
        <w:t xml:space="preserve">乙 方： </w:t>
      </w:r>
    </w:p>
    <w:p w14:paraId="537605DC">
      <w:pPr>
        <w:snapToGrid w:val="0"/>
        <w:spacing w:line="360" w:lineRule="auto"/>
        <w:ind w:firstLine="600" w:firstLineChars="200"/>
        <w:rPr>
          <w:rFonts w:hint="eastAsia" w:ascii="仿宋" w:hAnsi="仿宋" w:eastAsia="仿宋" w:cs="Times New Roman"/>
          <w:sz w:val="30"/>
          <w:szCs w:val="30"/>
          <w:u w:val="single"/>
        </w:rPr>
      </w:pPr>
      <w:r>
        <w:rPr>
          <w:rFonts w:hint="eastAsia" w:ascii="仿宋" w:hAnsi="仿宋" w:eastAsia="仿宋" w:cs="Times New Roman"/>
          <w:sz w:val="30"/>
          <w:szCs w:val="30"/>
        </w:rPr>
        <w:t>根据</w:t>
      </w:r>
      <w:r>
        <w:rPr>
          <w:rFonts w:hint="eastAsia" w:ascii="仿宋" w:hAnsi="仿宋" w:eastAsia="仿宋" w:cs="Times New Roman"/>
          <w:sz w:val="30"/>
          <w:szCs w:val="30"/>
          <w:lang w:val="en-US" w:eastAsia="zh-CN"/>
        </w:rPr>
        <w:t>连城县国有资产产权交易服务有限公司</w:t>
      </w:r>
      <w:r>
        <w:rPr>
          <w:rFonts w:hint="eastAsia" w:ascii="仿宋" w:hAnsi="仿宋" w:eastAsia="仿宋" w:cs="Times New Roman"/>
          <w:sz w:val="30"/>
          <w:szCs w:val="30"/>
        </w:rPr>
        <w:t>招标编号：</w:t>
      </w:r>
      <w:r>
        <w:rPr>
          <w:rFonts w:hint="eastAsia" w:ascii="仿宋" w:hAnsi="仿宋" w:eastAsia="仿宋" w:cs="Times New Roman"/>
          <w:sz w:val="30"/>
          <w:szCs w:val="30"/>
          <w:u w:val="single"/>
        </w:rPr>
        <w:t xml:space="preserve">                </w:t>
      </w:r>
    </w:p>
    <w:p w14:paraId="30850BCC">
      <w:pPr>
        <w:snapToGrid w:val="0"/>
        <w:spacing w:line="360" w:lineRule="auto"/>
        <w:rPr>
          <w:rFonts w:hint="eastAsia" w:ascii="仿宋" w:hAnsi="仿宋" w:eastAsia="仿宋" w:cs="Times New Roman"/>
          <w:sz w:val="30"/>
          <w:szCs w:val="30"/>
        </w:rPr>
      </w:pPr>
      <w:r>
        <w:rPr>
          <w:rFonts w:ascii="仿宋" w:hAnsi="仿宋" w:eastAsia="仿宋" w:cs="Times New Roman"/>
          <w:sz w:val="30"/>
          <w:szCs w:val="30"/>
        </w:rPr>
        <w:t>“</w:t>
      </w:r>
      <w:r>
        <w:rPr>
          <w:rFonts w:ascii="仿宋" w:hAnsi="仿宋" w:eastAsia="仿宋" w:cs="Times New Roman"/>
          <w:b/>
          <w:sz w:val="30"/>
          <w:szCs w:val="30"/>
        </w:rPr>
        <w:t>连城县粮食购销有限公司</w:t>
      </w:r>
      <w:r>
        <w:rPr>
          <w:rFonts w:hint="eastAsia" w:ascii="仿宋" w:hAnsi="仿宋" w:eastAsia="仿宋" w:cs="Times New Roman"/>
          <w:b/>
          <w:sz w:val="30"/>
          <w:szCs w:val="30"/>
        </w:rPr>
        <w:t>2024年度县级储备订单粮集并装卸运输采购项目</w:t>
      </w:r>
      <w:r>
        <w:rPr>
          <w:rFonts w:ascii="仿宋" w:hAnsi="仿宋" w:eastAsia="仿宋" w:cs="Times New Roman"/>
          <w:sz w:val="30"/>
          <w:szCs w:val="30"/>
        </w:rPr>
        <w:t>”（以下简称：本项目</w:t>
      </w:r>
      <w:r>
        <w:rPr>
          <w:rFonts w:hint="eastAsia" w:ascii="仿宋" w:hAnsi="仿宋" w:eastAsia="仿宋" w:cs="Times New Roman"/>
          <w:sz w:val="30"/>
          <w:szCs w:val="30"/>
        </w:rPr>
        <w:t xml:space="preserve"> </w:t>
      </w:r>
      <w:r>
        <w:rPr>
          <w:rFonts w:ascii="仿宋" w:hAnsi="仿宋" w:eastAsia="仿宋" w:cs="Times New Roman"/>
          <w:sz w:val="30"/>
          <w:szCs w:val="30"/>
        </w:rPr>
        <w:t>）</w:t>
      </w:r>
      <w:r>
        <w:rPr>
          <w:rFonts w:hint="eastAsia" w:ascii="仿宋" w:hAnsi="仿宋" w:eastAsia="仿宋" w:cs="Times New Roman"/>
          <w:sz w:val="30"/>
          <w:szCs w:val="30"/>
        </w:rPr>
        <w:t>网络竞价结果，经成交公示完成，</w:t>
      </w:r>
      <w:r>
        <w:rPr>
          <w:rFonts w:ascii="仿宋" w:hAnsi="仿宋" w:eastAsia="仿宋" w:cs="Times New Roman"/>
          <w:sz w:val="30"/>
          <w:szCs w:val="30"/>
        </w:rPr>
        <w:t>现就粮食</w:t>
      </w:r>
      <w:r>
        <w:rPr>
          <w:rFonts w:hint="eastAsia" w:ascii="仿宋" w:hAnsi="仿宋" w:eastAsia="仿宋" w:cs="Times New Roman"/>
          <w:sz w:val="30"/>
          <w:szCs w:val="30"/>
        </w:rPr>
        <w:t>集并</w:t>
      </w:r>
      <w:r>
        <w:rPr>
          <w:rFonts w:ascii="仿宋" w:hAnsi="仿宋" w:eastAsia="仿宋" w:cs="Times New Roman"/>
          <w:sz w:val="30"/>
          <w:szCs w:val="30"/>
        </w:rPr>
        <w:t>装卸运输，经甲、乙双方共同协商，特定立本合同，供双方共同遵守：</w:t>
      </w:r>
    </w:p>
    <w:p w14:paraId="5AE17325">
      <w:pPr>
        <w:snapToGrid w:val="0"/>
        <w:spacing w:line="360" w:lineRule="auto"/>
        <w:ind w:firstLine="602" w:firstLineChars="200"/>
        <w:rPr>
          <w:rFonts w:hint="eastAsia" w:ascii="仿宋" w:hAnsi="仿宋" w:eastAsia="仿宋" w:cs="Times New Roman"/>
          <w:b/>
          <w:sz w:val="30"/>
          <w:szCs w:val="30"/>
        </w:rPr>
      </w:pPr>
      <w:r>
        <w:rPr>
          <w:rFonts w:hint="eastAsia" w:ascii="仿宋" w:hAnsi="仿宋" w:eastAsia="仿宋" w:cs="Times New Roman"/>
          <w:b/>
          <w:sz w:val="30"/>
          <w:szCs w:val="30"/>
        </w:rPr>
        <w:t>一、标的清单</w:t>
      </w:r>
    </w:p>
    <w:tbl>
      <w:tblPr>
        <w:tblStyle w:val="3"/>
        <w:tblW w:w="11109" w:type="dxa"/>
        <w:jc w:val="center"/>
        <w:tblLayout w:type="autofit"/>
        <w:tblCellMar>
          <w:top w:w="0" w:type="dxa"/>
          <w:left w:w="108" w:type="dxa"/>
          <w:bottom w:w="0" w:type="dxa"/>
          <w:right w:w="108" w:type="dxa"/>
        </w:tblCellMar>
      </w:tblPr>
      <w:tblGrid>
        <w:gridCol w:w="916"/>
        <w:gridCol w:w="699"/>
        <w:gridCol w:w="849"/>
        <w:gridCol w:w="972"/>
        <w:gridCol w:w="900"/>
        <w:gridCol w:w="900"/>
        <w:gridCol w:w="900"/>
        <w:gridCol w:w="900"/>
        <w:gridCol w:w="900"/>
        <w:gridCol w:w="900"/>
        <w:gridCol w:w="900"/>
        <w:gridCol w:w="1373"/>
      </w:tblGrid>
      <w:tr w14:paraId="7F67FD2B">
        <w:tblPrEx>
          <w:tblCellMar>
            <w:top w:w="0" w:type="dxa"/>
            <w:left w:w="108" w:type="dxa"/>
            <w:bottom w:w="0" w:type="dxa"/>
            <w:right w:w="108" w:type="dxa"/>
          </w:tblCellMar>
        </w:tblPrEx>
        <w:trPr>
          <w:trHeight w:val="500" w:hRule="atLeast"/>
          <w:jc w:val="center"/>
        </w:trPr>
        <w:tc>
          <w:tcPr>
            <w:tcW w:w="11109" w:type="dxa"/>
            <w:gridSpan w:val="12"/>
            <w:tcBorders>
              <w:top w:val="nil"/>
              <w:left w:val="nil"/>
              <w:bottom w:val="nil"/>
              <w:right w:val="nil"/>
            </w:tcBorders>
            <w:noWrap w:val="0"/>
            <w:vAlign w:val="center"/>
          </w:tcPr>
          <w:p w14:paraId="2BE9A773">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2024年度县级储备订单粮集并装卸运输费用</w:t>
            </w:r>
            <w:r>
              <w:rPr>
                <w:rFonts w:hint="eastAsia" w:ascii="仿宋" w:hAnsi="仿宋" w:eastAsia="仿宋" w:cs="宋体"/>
                <w:b/>
                <w:bCs/>
                <w:kern w:val="0"/>
                <w:sz w:val="24"/>
                <w:szCs w:val="24"/>
              </w:rPr>
              <w:br w:type="textWrapping"/>
            </w:r>
            <w:r>
              <w:rPr>
                <w:rFonts w:hint="eastAsia" w:ascii="仿宋" w:hAnsi="仿宋" w:eastAsia="仿宋" w:cs="宋体"/>
                <w:b/>
                <w:bCs/>
                <w:kern w:val="0"/>
                <w:sz w:val="24"/>
                <w:szCs w:val="24"/>
              </w:rPr>
              <w:t>招标标的清单</w:t>
            </w:r>
          </w:p>
        </w:tc>
      </w:tr>
      <w:tr w14:paraId="6A551908">
        <w:tblPrEx>
          <w:tblCellMar>
            <w:top w:w="0" w:type="dxa"/>
            <w:left w:w="108" w:type="dxa"/>
            <w:bottom w:w="0" w:type="dxa"/>
            <w:right w:w="108" w:type="dxa"/>
          </w:tblCellMar>
        </w:tblPrEx>
        <w:trPr>
          <w:trHeight w:val="696" w:hRule="atLeast"/>
          <w:jc w:val="center"/>
        </w:trPr>
        <w:tc>
          <w:tcPr>
            <w:tcW w:w="916" w:type="dxa"/>
            <w:vMerge w:val="restart"/>
            <w:tcBorders>
              <w:top w:val="single" w:color="auto" w:sz="4" w:space="0"/>
              <w:left w:val="single" w:color="auto" w:sz="4" w:space="0"/>
              <w:bottom w:val="single" w:color="000000" w:sz="4" w:space="0"/>
              <w:right w:val="single" w:color="auto" w:sz="4" w:space="0"/>
            </w:tcBorders>
            <w:noWrap w:val="0"/>
            <w:vAlign w:val="center"/>
          </w:tcPr>
          <w:p w14:paraId="2DC815EB">
            <w:pPr>
              <w:widowControl/>
              <w:jc w:val="center"/>
              <w:rPr>
                <w:rFonts w:ascii="仿宋" w:hAnsi="仿宋" w:eastAsia="仿宋" w:cs="宋体"/>
                <w:b/>
                <w:bCs/>
                <w:kern w:val="0"/>
                <w:szCs w:val="21"/>
              </w:rPr>
            </w:pPr>
            <w:r>
              <w:rPr>
                <w:rFonts w:hint="eastAsia" w:ascii="仿宋" w:hAnsi="仿宋" w:eastAsia="仿宋" w:cs="宋体"/>
                <w:b/>
                <w:bCs/>
                <w:kern w:val="0"/>
                <w:szCs w:val="21"/>
              </w:rPr>
              <w:t>地 点</w:t>
            </w:r>
          </w:p>
        </w:tc>
        <w:tc>
          <w:tcPr>
            <w:tcW w:w="699" w:type="dxa"/>
            <w:vMerge w:val="restart"/>
            <w:tcBorders>
              <w:top w:val="single" w:color="auto" w:sz="4" w:space="0"/>
              <w:left w:val="single" w:color="auto" w:sz="4" w:space="0"/>
              <w:bottom w:val="single" w:color="000000" w:sz="4" w:space="0"/>
              <w:right w:val="single" w:color="auto" w:sz="4" w:space="0"/>
            </w:tcBorders>
            <w:noWrap w:val="0"/>
            <w:vAlign w:val="center"/>
          </w:tcPr>
          <w:p w14:paraId="7FBD584E">
            <w:pPr>
              <w:widowControl/>
              <w:jc w:val="center"/>
              <w:rPr>
                <w:rFonts w:hint="eastAsia" w:ascii="仿宋" w:hAnsi="仿宋" w:eastAsia="仿宋" w:cs="宋体"/>
                <w:b/>
                <w:bCs/>
                <w:kern w:val="0"/>
                <w:szCs w:val="21"/>
              </w:rPr>
            </w:pPr>
            <w:r>
              <w:rPr>
                <w:rFonts w:hint="eastAsia" w:ascii="仿宋" w:hAnsi="仿宋" w:eastAsia="仿宋" w:cs="宋体"/>
                <w:b/>
                <w:bCs/>
                <w:kern w:val="0"/>
                <w:szCs w:val="21"/>
              </w:rPr>
              <w:t>调拨</w:t>
            </w:r>
          </w:p>
          <w:p w14:paraId="685E300F">
            <w:pPr>
              <w:widowControl/>
              <w:jc w:val="center"/>
              <w:rPr>
                <w:rFonts w:ascii="仿宋" w:hAnsi="仿宋" w:eastAsia="仿宋" w:cs="宋体"/>
                <w:b/>
                <w:bCs/>
                <w:kern w:val="0"/>
                <w:szCs w:val="21"/>
              </w:rPr>
            </w:pPr>
            <w:r>
              <w:rPr>
                <w:rFonts w:hint="eastAsia" w:ascii="仿宋" w:hAnsi="仿宋" w:eastAsia="仿宋" w:cs="宋体"/>
                <w:b/>
                <w:bCs/>
                <w:kern w:val="0"/>
                <w:szCs w:val="21"/>
              </w:rPr>
              <w:t>方式</w:t>
            </w:r>
          </w:p>
        </w:tc>
        <w:tc>
          <w:tcPr>
            <w:tcW w:w="1821" w:type="dxa"/>
            <w:gridSpan w:val="2"/>
            <w:tcBorders>
              <w:top w:val="single" w:color="auto" w:sz="4" w:space="0"/>
              <w:left w:val="nil"/>
              <w:bottom w:val="single" w:color="auto" w:sz="4" w:space="0"/>
              <w:right w:val="single" w:color="000000" w:sz="4" w:space="0"/>
            </w:tcBorders>
            <w:noWrap w:val="0"/>
            <w:vAlign w:val="center"/>
          </w:tcPr>
          <w:p w14:paraId="72A56A15">
            <w:pPr>
              <w:widowControl/>
              <w:jc w:val="center"/>
              <w:rPr>
                <w:rFonts w:ascii="仿宋" w:hAnsi="仿宋" w:eastAsia="仿宋" w:cs="宋体"/>
                <w:b/>
                <w:bCs/>
                <w:kern w:val="0"/>
                <w:szCs w:val="21"/>
              </w:rPr>
            </w:pPr>
            <w:r>
              <w:rPr>
                <w:rFonts w:hint="eastAsia" w:ascii="仿宋" w:hAnsi="仿宋" w:eastAsia="仿宋" w:cs="宋体"/>
                <w:b/>
                <w:bCs/>
                <w:kern w:val="0"/>
                <w:szCs w:val="21"/>
              </w:rPr>
              <w:t>预算集并数量（吨）</w:t>
            </w:r>
          </w:p>
        </w:tc>
        <w:tc>
          <w:tcPr>
            <w:tcW w:w="3600" w:type="dxa"/>
            <w:gridSpan w:val="4"/>
            <w:tcBorders>
              <w:top w:val="single" w:color="auto" w:sz="4" w:space="0"/>
              <w:left w:val="nil"/>
              <w:bottom w:val="single" w:color="auto" w:sz="4" w:space="0"/>
              <w:right w:val="single" w:color="000000" w:sz="4" w:space="0"/>
            </w:tcBorders>
            <w:noWrap w:val="0"/>
            <w:vAlign w:val="center"/>
          </w:tcPr>
          <w:p w14:paraId="00FFDA5D">
            <w:pPr>
              <w:widowControl/>
              <w:jc w:val="center"/>
              <w:rPr>
                <w:rFonts w:ascii="仿宋" w:hAnsi="仿宋" w:eastAsia="仿宋" w:cs="宋体"/>
                <w:b/>
                <w:bCs/>
                <w:kern w:val="0"/>
                <w:szCs w:val="21"/>
              </w:rPr>
            </w:pPr>
            <w:r>
              <w:rPr>
                <w:rFonts w:hint="eastAsia" w:ascii="仿宋" w:hAnsi="仿宋" w:eastAsia="仿宋" w:cs="宋体"/>
                <w:b/>
                <w:bCs/>
                <w:kern w:val="0"/>
                <w:szCs w:val="21"/>
              </w:rPr>
              <w:t>装卸运输单价</w:t>
            </w:r>
          </w:p>
        </w:tc>
        <w:tc>
          <w:tcPr>
            <w:tcW w:w="1800" w:type="dxa"/>
            <w:gridSpan w:val="2"/>
            <w:tcBorders>
              <w:top w:val="single" w:color="auto" w:sz="4" w:space="0"/>
              <w:left w:val="nil"/>
              <w:bottom w:val="single" w:color="auto" w:sz="4" w:space="0"/>
              <w:right w:val="single" w:color="000000" w:sz="4" w:space="0"/>
            </w:tcBorders>
            <w:noWrap w:val="0"/>
            <w:vAlign w:val="center"/>
          </w:tcPr>
          <w:p w14:paraId="6A36B12E">
            <w:pPr>
              <w:widowControl/>
              <w:jc w:val="center"/>
              <w:rPr>
                <w:rFonts w:ascii="仿宋" w:hAnsi="仿宋" w:eastAsia="仿宋" w:cs="宋体"/>
                <w:b/>
                <w:bCs/>
                <w:kern w:val="0"/>
                <w:szCs w:val="21"/>
              </w:rPr>
            </w:pPr>
            <w:r>
              <w:rPr>
                <w:rFonts w:hint="eastAsia" w:ascii="仿宋" w:hAnsi="仿宋" w:eastAsia="仿宋" w:cs="宋体"/>
                <w:b/>
                <w:bCs/>
                <w:kern w:val="0"/>
                <w:szCs w:val="21"/>
              </w:rPr>
              <w:t>金额（元）</w:t>
            </w:r>
          </w:p>
        </w:tc>
        <w:tc>
          <w:tcPr>
            <w:tcW w:w="900" w:type="dxa"/>
            <w:vMerge w:val="restart"/>
            <w:tcBorders>
              <w:top w:val="single" w:color="auto" w:sz="4" w:space="0"/>
              <w:left w:val="single" w:color="auto" w:sz="4" w:space="0"/>
              <w:bottom w:val="single" w:color="000000" w:sz="4" w:space="0"/>
              <w:right w:val="single" w:color="auto" w:sz="4" w:space="0"/>
            </w:tcBorders>
            <w:noWrap w:val="0"/>
            <w:vAlign w:val="center"/>
          </w:tcPr>
          <w:p w14:paraId="1527CB6A">
            <w:pPr>
              <w:widowControl/>
              <w:jc w:val="center"/>
              <w:rPr>
                <w:rFonts w:ascii="仿宋" w:hAnsi="仿宋" w:eastAsia="仿宋" w:cs="宋体"/>
                <w:b/>
                <w:bCs/>
                <w:kern w:val="0"/>
                <w:szCs w:val="21"/>
              </w:rPr>
            </w:pPr>
            <w:r>
              <w:rPr>
                <w:rFonts w:hint="eastAsia" w:ascii="仿宋" w:hAnsi="仿宋" w:eastAsia="仿宋" w:cs="宋体"/>
                <w:b/>
                <w:bCs/>
                <w:kern w:val="0"/>
                <w:szCs w:val="21"/>
              </w:rPr>
              <w:t>合计金额（元）</w:t>
            </w:r>
          </w:p>
        </w:tc>
        <w:tc>
          <w:tcPr>
            <w:tcW w:w="1373" w:type="dxa"/>
            <w:vMerge w:val="restart"/>
            <w:tcBorders>
              <w:top w:val="single" w:color="auto" w:sz="4" w:space="0"/>
              <w:left w:val="single" w:color="auto" w:sz="4" w:space="0"/>
              <w:bottom w:val="single" w:color="000000" w:sz="4" w:space="0"/>
              <w:right w:val="single" w:color="auto" w:sz="4" w:space="0"/>
            </w:tcBorders>
            <w:noWrap w:val="0"/>
            <w:vAlign w:val="center"/>
          </w:tcPr>
          <w:p w14:paraId="2AED4A7D">
            <w:pPr>
              <w:widowControl/>
              <w:jc w:val="center"/>
              <w:rPr>
                <w:rFonts w:ascii="仿宋" w:hAnsi="仿宋" w:eastAsia="仿宋" w:cs="宋体"/>
                <w:b/>
                <w:bCs/>
                <w:kern w:val="0"/>
                <w:szCs w:val="21"/>
              </w:rPr>
            </w:pPr>
            <w:r>
              <w:rPr>
                <w:rFonts w:hint="eastAsia" w:ascii="仿宋" w:hAnsi="仿宋" w:eastAsia="仿宋" w:cs="宋体"/>
                <w:b/>
                <w:bCs/>
                <w:kern w:val="0"/>
                <w:szCs w:val="21"/>
              </w:rPr>
              <w:t>备注</w:t>
            </w:r>
          </w:p>
        </w:tc>
      </w:tr>
      <w:tr w14:paraId="66B6A65F">
        <w:tblPrEx>
          <w:tblCellMar>
            <w:top w:w="0" w:type="dxa"/>
            <w:left w:w="108" w:type="dxa"/>
            <w:bottom w:w="0" w:type="dxa"/>
            <w:right w:w="108" w:type="dxa"/>
          </w:tblCellMar>
        </w:tblPrEx>
        <w:trPr>
          <w:trHeight w:val="792" w:hRule="atLeast"/>
          <w:jc w:val="center"/>
        </w:trPr>
        <w:tc>
          <w:tcPr>
            <w:tcW w:w="916" w:type="dxa"/>
            <w:vMerge w:val="continue"/>
            <w:tcBorders>
              <w:top w:val="single" w:color="auto" w:sz="4" w:space="0"/>
              <w:left w:val="single" w:color="auto" w:sz="4" w:space="0"/>
              <w:bottom w:val="single" w:color="000000" w:sz="4" w:space="0"/>
              <w:right w:val="single" w:color="auto" w:sz="4" w:space="0"/>
            </w:tcBorders>
            <w:noWrap w:val="0"/>
            <w:vAlign w:val="center"/>
          </w:tcPr>
          <w:p w14:paraId="127962BB">
            <w:pPr>
              <w:widowControl/>
              <w:jc w:val="left"/>
              <w:rPr>
                <w:rFonts w:ascii="仿宋" w:hAnsi="仿宋" w:eastAsia="仿宋" w:cs="宋体"/>
                <w:b/>
                <w:bCs/>
                <w:kern w:val="0"/>
                <w:szCs w:val="21"/>
              </w:rPr>
            </w:pPr>
          </w:p>
        </w:tc>
        <w:tc>
          <w:tcPr>
            <w:tcW w:w="699" w:type="dxa"/>
            <w:vMerge w:val="continue"/>
            <w:tcBorders>
              <w:top w:val="single" w:color="auto" w:sz="4" w:space="0"/>
              <w:left w:val="single" w:color="auto" w:sz="4" w:space="0"/>
              <w:bottom w:val="single" w:color="000000" w:sz="4" w:space="0"/>
              <w:right w:val="single" w:color="auto" w:sz="4" w:space="0"/>
            </w:tcBorders>
            <w:noWrap w:val="0"/>
            <w:vAlign w:val="center"/>
          </w:tcPr>
          <w:p w14:paraId="0BAAE5C9">
            <w:pPr>
              <w:widowControl/>
              <w:jc w:val="left"/>
              <w:rPr>
                <w:rFonts w:ascii="仿宋" w:hAnsi="仿宋" w:eastAsia="仿宋" w:cs="宋体"/>
                <w:b/>
                <w:bCs/>
                <w:kern w:val="0"/>
                <w:szCs w:val="21"/>
              </w:rPr>
            </w:pPr>
          </w:p>
        </w:tc>
        <w:tc>
          <w:tcPr>
            <w:tcW w:w="849" w:type="dxa"/>
            <w:tcBorders>
              <w:top w:val="nil"/>
              <w:left w:val="nil"/>
              <w:bottom w:val="single" w:color="auto" w:sz="4" w:space="0"/>
              <w:right w:val="single" w:color="auto" w:sz="4" w:space="0"/>
            </w:tcBorders>
            <w:noWrap w:val="0"/>
            <w:vAlign w:val="center"/>
          </w:tcPr>
          <w:p w14:paraId="4AADF2F3">
            <w:pPr>
              <w:widowControl/>
              <w:jc w:val="center"/>
              <w:rPr>
                <w:rFonts w:ascii="仿宋" w:hAnsi="仿宋" w:eastAsia="仿宋" w:cs="宋体"/>
                <w:b/>
                <w:bCs/>
                <w:kern w:val="0"/>
                <w:szCs w:val="21"/>
              </w:rPr>
            </w:pPr>
            <w:r>
              <w:rPr>
                <w:rFonts w:hint="eastAsia" w:ascii="仿宋" w:hAnsi="仿宋" w:eastAsia="仿宋" w:cs="宋体"/>
                <w:b/>
                <w:bCs/>
                <w:kern w:val="0"/>
                <w:szCs w:val="21"/>
              </w:rPr>
              <w:t>早籼稻谷（吨）</w:t>
            </w:r>
          </w:p>
        </w:tc>
        <w:tc>
          <w:tcPr>
            <w:tcW w:w="972" w:type="dxa"/>
            <w:tcBorders>
              <w:top w:val="nil"/>
              <w:left w:val="nil"/>
              <w:bottom w:val="single" w:color="auto" w:sz="4" w:space="0"/>
              <w:right w:val="single" w:color="auto" w:sz="4" w:space="0"/>
            </w:tcBorders>
            <w:noWrap w:val="0"/>
            <w:vAlign w:val="center"/>
          </w:tcPr>
          <w:p w14:paraId="4E2C57CE">
            <w:pPr>
              <w:widowControl/>
              <w:jc w:val="center"/>
              <w:rPr>
                <w:rFonts w:ascii="仿宋" w:hAnsi="仿宋" w:eastAsia="仿宋" w:cs="宋体"/>
                <w:b/>
                <w:bCs/>
                <w:kern w:val="0"/>
                <w:szCs w:val="21"/>
              </w:rPr>
            </w:pPr>
            <w:r>
              <w:rPr>
                <w:rFonts w:hint="eastAsia" w:ascii="仿宋" w:hAnsi="仿宋" w:eastAsia="仿宋" w:cs="宋体"/>
                <w:b/>
                <w:bCs/>
                <w:kern w:val="0"/>
                <w:szCs w:val="21"/>
              </w:rPr>
              <w:t>中晚籼稻（吨）</w:t>
            </w:r>
          </w:p>
        </w:tc>
        <w:tc>
          <w:tcPr>
            <w:tcW w:w="900" w:type="dxa"/>
            <w:tcBorders>
              <w:top w:val="nil"/>
              <w:left w:val="nil"/>
              <w:bottom w:val="single" w:color="auto" w:sz="4" w:space="0"/>
              <w:right w:val="single" w:color="auto" w:sz="4" w:space="0"/>
            </w:tcBorders>
            <w:noWrap w:val="0"/>
            <w:vAlign w:val="center"/>
          </w:tcPr>
          <w:p w14:paraId="607E930E">
            <w:pPr>
              <w:widowControl/>
              <w:jc w:val="center"/>
              <w:rPr>
                <w:rFonts w:ascii="仿宋" w:hAnsi="仿宋" w:eastAsia="仿宋" w:cs="宋体"/>
                <w:b/>
                <w:bCs/>
                <w:kern w:val="0"/>
                <w:szCs w:val="21"/>
              </w:rPr>
            </w:pPr>
            <w:r>
              <w:rPr>
                <w:rFonts w:hint="eastAsia" w:ascii="仿宋" w:hAnsi="仿宋" w:eastAsia="仿宋" w:cs="宋体"/>
                <w:b/>
                <w:bCs/>
                <w:kern w:val="0"/>
                <w:szCs w:val="21"/>
              </w:rPr>
              <w:t>散装</w:t>
            </w:r>
            <w:r>
              <w:rPr>
                <w:rFonts w:hint="eastAsia" w:ascii="仿宋" w:hAnsi="仿宋" w:eastAsia="仿宋" w:cs="宋体"/>
                <w:b/>
                <w:bCs/>
                <w:kern w:val="0"/>
                <w:szCs w:val="21"/>
              </w:rPr>
              <w:br w:type="textWrapping"/>
            </w:r>
            <w:r>
              <w:rPr>
                <w:rFonts w:hint="eastAsia" w:ascii="仿宋" w:hAnsi="仿宋" w:eastAsia="仿宋" w:cs="宋体"/>
                <w:b/>
                <w:bCs/>
                <w:kern w:val="0"/>
                <w:szCs w:val="21"/>
              </w:rPr>
              <w:t>元/吨</w:t>
            </w:r>
          </w:p>
        </w:tc>
        <w:tc>
          <w:tcPr>
            <w:tcW w:w="900" w:type="dxa"/>
            <w:tcBorders>
              <w:top w:val="nil"/>
              <w:left w:val="nil"/>
              <w:bottom w:val="single" w:color="auto" w:sz="4" w:space="0"/>
              <w:right w:val="single" w:color="auto" w:sz="4" w:space="0"/>
            </w:tcBorders>
            <w:noWrap w:val="0"/>
            <w:vAlign w:val="center"/>
          </w:tcPr>
          <w:p w14:paraId="72EDD9A6">
            <w:pPr>
              <w:widowControl/>
              <w:jc w:val="center"/>
              <w:rPr>
                <w:rFonts w:ascii="仿宋" w:hAnsi="仿宋" w:eastAsia="仿宋" w:cs="宋体"/>
                <w:b/>
                <w:bCs/>
                <w:kern w:val="0"/>
                <w:szCs w:val="21"/>
              </w:rPr>
            </w:pPr>
            <w:r>
              <w:rPr>
                <w:rFonts w:hint="eastAsia" w:ascii="仿宋" w:hAnsi="仿宋" w:eastAsia="仿宋" w:cs="宋体"/>
                <w:b/>
                <w:bCs/>
                <w:kern w:val="0"/>
                <w:szCs w:val="21"/>
              </w:rPr>
              <w:t>运输费</w:t>
            </w:r>
            <w:r>
              <w:rPr>
                <w:rFonts w:hint="eastAsia" w:ascii="仿宋" w:hAnsi="仿宋" w:eastAsia="仿宋" w:cs="宋体"/>
                <w:b/>
                <w:bCs/>
                <w:kern w:val="0"/>
                <w:szCs w:val="21"/>
              </w:rPr>
              <w:br w:type="textWrapping"/>
            </w:r>
            <w:r>
              <w:rPr>
                <w:rFonts w:hint="eastAsia" w:ascii="仿宋" w:hAnsi="仿宋" w:eastAsia="仿宋" w:cs="宋体"/>
                <w:b/>
                <w:bCs/>
                <w:kern w:val="0"/>
                <w:szCs w:val="21"/>
              </w:rPr>
              <w:t>元/吨</w:t>
            </w:r>
          </w:p>
        </w:tc>
        <w:tc>
          <w:tcPr>
            <w:tcW w:w="900" w:type="dxa"/>
            <w:tcBorders>
              <w:top w:val="nil"/>
              <w:left w:val="nil"/>
              <w:bottom w:val="single" w:color="auto" w:sz="4" w:space="0"/>
              <w:right w:val="single" w:color="auto" w:sz="4" w:space="0"/>
            </w:tcBorders>
            <w:noWrap w:val="0"/>
            <w:vAlign w:val="center"/>
          </w:tcPr>
          <w:p w14:paraId="66064C25">
            <w:pPr>
              <w:widowControl/>
              <w:jc w:val="center"/>
              <w:rPr>
                <w:rFonts w:ascii="仿宋" w:hAnsi="仿宋" w:eastAsia="仿宋" w:cs="宋体"/>
                <w:b/>
                <w:bCs/>
                <w:kern w:val="0"/>
                <w:szCs w:val="21"/>
              </w:rPr>
            </w:pPr>
            <w:r>
              <w:rPr>
                <w:rFonts w:hint="eastAsia" w:ascii="仿宋" w:hAnsi="仿宋" w:eastAsia="仿宋" w:cs="宋体"/>
                <w:b/>
                <w:bCs/>
                <w:kern w:val="0"/>
                <w:szCs w:val="21"/>
              </w:rPr>
              <w:t>卸车费</w:t>
            </w:r>
            <w:r>
              <w:rPr>
                <w:rFonts w:hint="eastAsia" w:ascii="仿宋" w:hAnsi="仿宋" w:eastAsia="仿宋" w:cs="宋体"/>
                <w:b/>
                <w:bCs/>
                <w:kern w:val="0"/>
                <w:szCs w:val="21"/>
              </w:rPr>
              <w:br w:type="textWrapping"/>
            </w:r>
            <w:r>
              <w:rPr>
                <w:rFonts w:hint="eastAsia" w:ascii="仿宋" w:hAnsi="仿宋" w:eastAsia="仿宋" w:cs="宋体"/>
                <w:b/>
                <w:bCs/>
                <w:kern w:val="0"/>
                <w:szCs w:val="21"/>
              </w:rPr>
              <w:t>元/吨</w:t>
            </w:r>
          </w:p>
        </w:tc>
        <w:tc>
          <w:tcPr>
            <w:tcW w:w="900" w:type="dxa"/>
            <w:tcBorders>
              <w:top w:val="nil"/>
              <w:left w:val="nil"/>
              <w:bottom w:val="single" w:color="auto" w:sz="4" w:space="0"/>
              <w:right w:val="single" w:color="auto" w:sz="4" w:space="0"/>
            </w:tcBorders>
            <w:noWrap w:val="0"/>
            <w:vAlign w:val="center"/>
          </w:tcPr>
          <w:p w14:paraId="578A7DDE">
            <w:pPr>
              <w:widowControl/>
              <w:jc w:val="center"/>
              <w:rPr>
                <w:rFonts w:hint="eastAsia" w:ascii="仿宋" w:hAnsi="仿宋" w:eastAsia="仿宋" w:cs="宋体"/>
                <w:b/>
                <w:bCs/>
                <w:kern w:val="0"/>
                <w:szCs w:val="21"/>
              </w:rPr>
            </w:pPr>
            <w:r>
              <w:rPr>
                <w:rFonts w:hint="eastAsia" w:ascii="仿宋" w:hAnsi="仿宋" w:eastAsia="仿宋" w:cs="宋体"/>
                <w:b/>
                <w:bCs/>
                <w:kern w:val="0"/>
                <w:szCs w:val="21"/>
              </w:rPr>
              <w:t>合计</w:t>
            </w:r>
          </w:p>
          <w:p w14:paraId="359089F4">
            <w:pPr>
              <w:widowControl/>
              <w:jc w:val="center"/>
              <w:rPr>
                <w:rFonts w:ascii="仿宋" w:hAnsi="仿宋" w:eastAsia="仿宋" w:cs="宋体"/>
                <w:b/>
                <w:bCs/>
                <w:kern w:val="0"/>
                <w:szCs w:val="21"/>
              </w:rPr>
            </w:pPr>
            <w:r>
              <w:rPr>
                <w:rFonts w:hint="eastAsia" w:ascii="仿宋" w:hAnsi="仿宋" w:eastAsia="仿宋" w:cs="宋体"/>
                <w:b/>
                <w:bCs/>
                <w:kern w:val="0"/>
                <w:szCs w:val="21"/>
              </w:rPr>
              <w:t>单价</w:t>
            </w:r>
            <w:r>
              <w:rPr>
                <w:rFonts w:hint="eastAsia" w:ascii="仿宋" w:hAnsi="仿宋" w:eastAsia="仿宋" w:cs="宋体"/>
                <w:b/>
                <w:bCs/>
                <w:kern w:val="0"/>
                <w:szCs w:val="21"/>
              </w:rPr>
              <w:br w:type="textWrapping"/>
            </w:r>
            <w:r>
              <w:rPr>
                <w:rFonts w:hint="eastAsia" w:ascii="仿宋" w:hAnsi="仿宋" w:eastAsia="仿宋" w:cs="宋体"/>
                <w:b/>
                <w:bCs/>
                <w:kern w:val="0"/>
                <w:szCs w:val="21"/>
              </w:rPr>
              <w:t>元/吨</w:t>
            </w:r>
          </w:p>
        </w:tc>
        <w:tc>
          <w:tcPr>
            <w:tcW w:w="900" w:type="dxa"/>
            <w:tcBorders>
              <w:top w:val="nil"/>
              <w:left w:val="nil"/>
              <w:bottom w:val="single" w:color="auto" w:sz="4" w:space="0"/>
              <w:right w:val="single" w:color="auto" w:sz="4" w:space="0"/>
            </w:tcBorders>
            <w:noWrap w:val="0"/>
            <w:vAlign w:val="center"/>
          </w:tcPr>
          <w:p w14:paraId="7C9A6A6F">
            <w:pPr>
              <w:widowControl/>
              <w:jc w:val="center"/>
              <w:rPr>
                <w:rFonts w:hint="eastAsia" w:ascii="仿宋" w:hAnsi="仿宋" w:eastAsia="仿宋" w:cs="宋体"/>
                <w:b/>
                <w:bCs/>
                <w:kern w:val="0"/>
                <w:szCs w:val="21"/>
              </w:rPr>
            </w:pPr>
            <w:r>
              <w:rPr>
                <w:rFonts w:hint="eastAsia" w:ascii="仿宋" w:hAnsi="仿宋" w:eastAsia="仿宋" w:cs="宋体"/>
                <w:b/>
                <w:bCs/>
                <w:kern w:val="0"/>
                <w:szCs w:val="21"/>
              </w:rPr>
              <w:t>早籼</w:t>
            </w:r>
          </w:p>
          <w:p w14:paraId="5F9D3A72">
            <w:pPr>
              <w:widowControl/>
              <w:jc w:val="center"/>
              <w:rPr>
                <w:rFonts w:ascii="仿宋" w:hAnsi="仿宋" w:eastAsia="仿宋" w:cs="宋体"/>
                <w:b/>
                <w:bCs/>
                <w:kern w:val="0"/>
                <w:szCs w:val="21"/>
              </w:rPr>
            </w:pPr>
            <w:r>
              <w:rPr>
                <w:rFonts w:hint="eastAsia" w:ascii="仿宋" w:hAnsi="仿宋" w:eastAsia="仿宋" w:cs="宋体"/>
                <w:b/>
                <w:bCs/>
                <w:kern w:val="0"/>
                <w:szCs w:val="21"/>
              </w:rPr>
              <w:t>稻谷</w:t>
            </w:r>
          </w:p>
        </w:tc>
        <w:tc>
          <w:tcPr>
            <w:tcW w:w="900" w:type="dxa"/>
            <w:tcBorders>
              <w:top w:val="nil"/>
              <w:left w:val="nil"/>
              <w:bottom w:val="single" w:color="auto" w:sz="4" w:space="0"/>
              <w:right w:val="single" w:color="auto" w:sz="4" w:space="0"/>
            </w:tcBorders>
            <w:noWrap w:val="0"/>
            <w:vAlign w:val="center"/>
          </w:tcPr>
          <w:p w14:paraId="31F6974D">
            <w:pPr>
              <w:widowControl/>
              <w:jc w:val="center"/>
              <w:rPr>
                <w:rFonts w:ascii="仿宋" w:hAnsi="仿宋" w:eastAsia="仿宋" w:cs="宋体"/>
                <w:b/>
                <w:bCs/>
                <w:kern w:val="0"/>
                <w:szCs w:val="21"/>
              </w:rPr>
            </w:pPr>
            <w:r>
              <w:rPr>
                <w:rFonts w:hint="eastAsia" w:ascii="仿宋" w:hAnsi="仿宋" w:eastAsia="仿宋" w:cs="宋体"/>
                <w:b/>
                <w:bCs/>
                <w:kern w:val="0"/>
                <w:szCs w:val="21"/>
              </w:rPr>
              <w:t>中晚籼</w:t>
            </w:r>
            <w:r>
              <w:rPr>
                <w:rFonts w:hint="eastAsia" w:ascii="仿宋" w:hAnsi="仿宋" w:eastAsia="仿宋" w:cs="宋体"/>
                <w:b/>
                <w:bCs/>
                <w:kern w:val="0"/>
                <w:szCs w:val="21"/>
              </w:rPr>
              <w:br w:type="textWrapping"/>
            </w:r>
            <w:r>
              <w:rPr>
                <w:rFonts w:hint="eastAsia" w:ascii="仿宋" w:hAnsi="仿宋" w:eastAsia="仿宋" w:cs="宋体"/>
                <w:b/>
                <w:bCs/>
                <w:kern w:val="0"/>
                <w:szCs w:val="21"/>
              </w:rPr>
              <w:t>稻谷</w:t>
            </w:r>
          </w:p>
        </w:tc>
        <w:tc>
          <w:tcPr>
            <w:tcW w:w="900" w:type="dxa"/>
            <w:vMerge w:val="continue"/>
            <w:tcBorders>
              <w:top w:val="single" w:color="auto" w:sz="4" w:space="0"/>
              <w:left w:val="single" w:color="auto" w:sz="4" w:space="0"/>
              <w:bottom w:val="single" w:color="000000" w:sz="4" w:space="0"/>
              <w:right w:val="single" w:color="auto" w:sz="4" w:space="0"/>
            </w:tcBorders>
            <w:noWrap w:val="0"/>
            <w:vAlign w:val="center"/>
          </w:tcPr>
          <w:p w14:paraId="7A9155DC">
            <w:pPr>
              <w:widowControl/>
              <w:jc w:val="left"/>
              <w:rPr>
                <w:rFonts w:ascii="仿宋" w:hAnsi="仿宋" w:eastAsia="仿宋" w:cs="宋体"/>
                <w:b/>
                <w:bCs/>
                <w:kern w:val="0"/>
                <w:szCs w:val="21"/>
              </w:rPr>
            </w:pPr>
          </w:p>
        </w:tc>
        <w:tc>
          <w:tcPr>
            <w:tcW w:w="1373" w:type="dxa"/>
            <w:vMerge w:val="continue"/>
            <w:tcBorders>
              <w:top w:val="single" w:color="auto" w:sz="4" w:space="0"/>
              <w:left w:val="single" w:color="auto" w:sz="4" w:space="0"/>
              <w:bottom w:val="single" w:color="000000" w:sz="4" w:space="0"/>
              <w:right w:val="single" w:color="auto" w:sz="4" w:space="0"/>
            </w:tcBorders>
            <w:noWrap w:val="0"/>
            <w:vAlign w:val="center"/>
          </w:tcPr>
          <w:p w14:paraId="39E23A99">
            <w:pPr>
              <w:widowControl/>
              <w:jc w:val="left"/>
              <w:rPr>
                <w:rFonts w:ascii="仿宋" w:hAnsi="仿宋" w:eastAsia="仿宋" w:cs="宋体"/>
                <w:b/>
                <w:bCs/>
                <w:kern w:val="0"/>
                <w:szCs w:val="21"/>
              </w:rPr>
            </w:pPr>
          </w:p>
        </w:tc>
      </w:tr>
      <w:tr w14:paraId="018453B6">
        <w:tblPrEx>
          <w:tblCellMar>
            <w:top w:w="0" w:type="dxa"/>
            <w:left w:w="108" w:type="dxa"/>
            <w:bottom w:w="0" w:type="dxa"/>
            <w:right w:w="108" w:type="dxa"/>
          </w:tblCellMar>
        </w:tblPrEx>
        <w:trPr>
          <w:trHeight w:val="1935" w:hRule="atLeast"/>
          <w:jc w:val="center"/>
        </w:trPr>
        <w:tc>
          <w:tcPr>
            <w:tcW w:w="916" w:type="dxa"/>
            <w:tcBorders>
              <w:top w:val="nil"/>
              <w:left w:val="single" w:color="auto" w:sz="4" w:space="0"/>
              <w:bottom w:val="single" w:color="auto" w:sz="4" w:space="0"/>
              <w:right w:val="single" w:color="auto" w:sz="4" w:space="0"/>
            </w:tcBorders>
            <w:noWrap w:val="0"/>
            <w:vAlign w:val="center"/>
          </w:tcPr>
          <w:p w14:paraId="0D077BC4">
            <w:pPr>
              <w:widowControl/>
              <w:jc w:val="center"/>
              <w:rPr>
                <w:rFonts w:ascii="仿宋" w:hAnsi="仿宋" w:eastAsia="仿宋" w:cs="宋体"/>
                <w:kern w:val="0"/>
                <w:szCs w:val="21"/>
              </w:rPr>
            </w:pPr>
            <w:r>
              <w:rPr>
                <w:rFonts w:hint="eastAsia" w:ascii="仿宋" w:hAnsi="仿宋" w:eastAsia="仿宋" w:cs="宋体"/>
                <w:kern w:val="0"/>
                <w:szCs w:val="21"/>
              </w:rPr>
              <w:t>北团粮站集并至朋口储备库</w:t>
            </w:r>
          </w:p>
        </w:tc>
        <w:tc>
          <w:tcPr>
            <w:tcW w:w="699" w:type="dxa"/>
            <w:tcBorders>
              <w:top w:val="nil"/>
              <w:left w:val="nil"/>
              <w:bottom w:val="single" w:color="auto" w:sz="4" w:space="0"/>
              <w:right w:val="single" w:color="auto" w:sz="4" w:space="0"/>
            </w:tcBorders>
            <w:noWrap w:val="0"/>
            <w:vAlign w:val="center"/>
          </w:tcPr>
          <w:p w14:paraId="7D61D19B">
            <w:pPr>
              <w:widowControl/>
              <w:jc w:val="center"/>
              <w:rPr>
                <w:rFonts w:ascii="仿宋" w:hAnsi="仿宋" w:eastAsia="仿宋" w:cs="宋体"/>
                <w:kern w:val="0"/>
                <w:szCs w:val="21"/>
              </w:rPr>
            </w:pPr>
            <w:r>
              <w:rPr>
                <w:rFonts w:hint="eastAsia" w:ascii="仿宋" w:hAnsi="仿宋" w:eastAsia="仿宋" w:cs="宋体"/>
                <w:kern w:val="0"/>
                <w:szCs w:val="21"/>
              </w:rPr>
              <w:t>散装散运散卸</w:t>
            </w:r>
          </w:p>
        </w:tc>
        <w:tc>
          <w:tcPr>
            <w:tcW w:w="849" w:type="dxa"/>
            <w:tcBorders>
              <w:top w:val="nil"/>
              <w:left w:val="nil"/>
              <w:bottom w:val="single" w:color="auto" w:sz="4" w:space="0"/>
              <w:right w:val="single" w:color="auto" w:sz="4" w:space="0"/>
            </w:tcBorders>
            <w:noWrap w:val="0"/>
            <w:vAlign w:val="center"/>
          </w:tcPr>
          <w:p w14:paraId="3B757AD2">
            <w:pPr>
              <w:widowControl/>
              <w:jc w:val="center"/>
              <w:rPr>
                <w:rFonts w:hint="eastAsia" w:ascii="仿宋" w:hAnsi="仿宋" w:eastAsia="仿宋" w:cs="宋体"/>
                <w:kern w:val="0"/>
                <w:szCs w:val="21"/>
              </w:rPr>
            </w:pPr>
            <w:r>
              <w:rPr>
                <w:rFonts w:hint="eastAsia" w:ascii="仿宋" w:hAnsi="仿宋" w:eastAsia="仿宋" w:cs="宋体"/>
                <w:kern w:val="0"/>
                <w:szCs w:val="21"/>
              </w:rPr>
              <w:t>300</w:t>
            </w:r>
          </w:p>
        </w:tc>
        <w:tc>
          <w:tcPr>
            <w:tcW w:w="972" w:type="dxa"/>
            <w:tcBorders>
              <w:top w:val="nil"/>
              <w:left w:val="nil"/>
              <w:bottom w:val="single" w:color="auto" w:sz="4" w:space="0"/>
              <w:right w:val="single" w:color="auto" w:sz="4" w:space="0"/>
            </w:tcBorders>
            <w:noWrap w:val="0"/>
            <w:vAlign w:val="center"/>
          </w:tcPr>
          <w:p w14:paraId="1F200167">
            <w:pPr>
              <w:widowControl/>
              <w:jc w:val="center"/>
              <w:rPr>
                <w:rFonts w:hint="eastAsia" w:ascii="仿宋" w:hAnsi="仿宋" w:eastAsia="仿宋" w:cs="宋体"/>
                <w:kern w:val="0"/>
                <w:szCs w:val="21"/>
              </w:rPr>
            </w:pPr>
            <w:r>
              <w:rPr>
                <w:rFonts w:hint="eastAsia" w:ascii="仿宋" w:hAnsi="仿宋" w:eastAsia="仿宋" w:cs="宋体"/>
                <w:kern w:val="0"/>
                <w:szCs w:val="21"/>
              </w:rPr>
              <w:t>1000</w:t>
            </w:r>
          </w:p>
        </w:tc>
        <w:tc>
          <w:tcPr>
            <w:tcW w:w="900" w:type="dxa"/>
            <w:tcBorders>
              <w:top w:val="nil"/>
              <w:left w:val="nil"/>
              <w:bottom w:val="single" w:color="auto" w:sz="4" w:space="0"/>
              <w:right w:val="single" w:color="auto" w:sz="4" w:space="0"/>
            </w:tcBorders>
            <w:noWrap w:val="0"/>
            <w:vAlign w:val="center"/>
          </w:tcPr>
          <w:p w14:paraId="6EDACE29">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4604A046">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3029FAF3">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299DDEDB">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1B8B1E94">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48D8A146">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7B03A52E">
            <w:pPr>
              <w:widowControl/>
              <w:jc w:val="center"/>
              <w:rPr>
                <w:rFonts w:hint="eastAsia" w:ascii="仿宋" w:hAnsi="仿宋" w:eastAsia="仿宋" w:cs="宋体"/>
                <w:kern w:val="0"/>
                <w:szCs w:val="21"/>
              </w:rPr>
            </w:pPr>
          </w:p>
        </w:tc>
        <w:tc>
          <w:tcPr>
            <w:tcW w:w="1373" w:type="dxa"/>
            <w:tcBorders>
              <w:top w:val="nil"/>
              <w:left w:val="nil"/>
              <w:bottom w:val="single" w:color="auto" w:sz="4" w:space="0"/>
              <w:right w:val="single" w:color="auto" w:sz="4" w:space="0"/>
            </w:tcBorders>
            <w:noWrap w:val="0"/>
            <w:vAlign w:val="center"/>
          </w:tcPr>
          <w:p w14:paraId="5A9AC201">
            <w:pPr>
              <w:widowControl/>
              <w:rPr>
                <w:rFonts w:hint="eastAsia" w:ascii="仿宋" w:hAnsi="仿宋" w:eastAsia="仿宋" w:cs="宋体"/>
                <w:kern w:val="0"/>
                <w:szCs w:val="21"/>
              </w:rPr>
            </w:pPr>
            <w:r>
              <w:rPr>
                <w:rFonts w:hint="eastAsia" w:ascii="仿宋" w:hAnsi="仿宋" w:eastAsia="仿宋" w:cs="宋体"/>
                <w:kern w:val="0"/>
                <w:szCs w:val="21"/>
              </w:rPr>
              <w:t>北团镇至朋口镇运输路程约40公里。</w:t>
            </w:r>
          </w:p>
          <w:p w14:paraId="7D9EC229">
            <w:pPr>
              <w:widowControl/>
              <w:rPr>
                <w:rFonts w:ascii="仿宋" w:hAnsi="仿宋" w:eastAsia="仿宋" w:cs="宋体"/>
                <w:kern w:val="0"/>
                <w:szCs w:val="21"/>
              </w:rPr>
            </w:pPr>
            <w:r>
              <w:rPr>
                <w:rFonts w:hint="eastAsia" w:ascii="仿宋" w:hAnsi="仿宋" w:eastAsia="仿宋" w:cs="宋体"/>
                <w:kern w:val="0"/>
                <w:szCs w:val="21"/>
              </w:rPr>
              <w:t>以实际装卸运输实际到库数量结算</w:t>
            </w:r>
          </w:p>
        </w:tc>
      </w:tr>
      <w:tr w14:paraId="6A92E020">
        <w:tblPrEx>
          <w:tblCellMar>
            <w:top w:w="0" w:type="dxa"/>
            <w:left w:w="108" w:type="dxa"/>
            <w:bottom w:w="0" w:type="dxa"/>
            <w:right w:w="108" w:type="dxa"/>
          </w:tblCellMar>
        </w:tblPrEx>
        <w:trPr>
          <w:trHeight w:val="600" w:hRule="atLeast"/>
          <w:jc w:val="center"/>
        </w:trPr>
        <w:tc>
          <w:tcPr>
            <w:tcW w:w="916" w:type="dxa"/>
            <w:tcBorders>
              <w:top w:val="nil"/>
              <w:left w:val="single" w:color="auto" w:sz="4" w:space="0"/>
              <w:bottom w:val="single" w:color="auto" w:sz="4" w:space="0"/>
              <w:right w:val="single" w:color="auto" w:sz="4" w:space="0"/>
            </w:tcBorders>
            <w:noWrap w:val="0"/>
            <w:vAlign w:val="center"/>
          </w:tcPr>
          <w:p w14:paraId="66019D23">
            <w:pPr>
              <w:widowControl/>
              <w:jc w:val="center"/>
              <w:rPr>
                <w:rFonts w:ascii="仿宋" w:hAnsi="仿宋" w:eastAsia="仿宋" w:cs="宋体"/>
                <w:kern w:val="0"/>
                <w:szCs w:val="21"/>
              </w:rPr>
            </w:pPr>
            <w:r>
              <w:rPr>
                <w:rFonts w:hint="eastAsia" w:ascii="仿宋" w:hAnsi="仿宋" w:eastAsia="仿宋" w:cs="宋体"/>
                <w:kern w:val="0"/>
                <w:szCs w:val="21"/>
              </w:rPr>
              <w:t>合  计</w:t>
            </w:r>
          </w:p>
        </w:tc>
        <w:tc>
          <w:tcPr>
            <w:tcW w:w="699" w:type="dxa"/>
            <w:tcBorders>
              <w:top w:val="nil"/>
              <w:left w:val="nil"/>
              <w:bottom w:val="single" w:color="auto" w:sz="4" w:space="0"/>
              <w:right w:val="single" w:color="auto" w:sz="4" w:space="0"/>
            </w:tcBorders>
            <w:noWrap w:val="0"/>
            <w:vAlign w:val="center"/>
          </w:tcPr>
          <w:p w14:paraId="4953EFD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849" w:type="dxa"/>
            <w:tcBorders>
              <w:top w:val="nil"/>
              <w:left w:val="nil"/>
              <w:bottom w:val="single" w:color="auto" w:sz="4" w:space="0"/>
              <w:right w:val="single" w:color="auto" w:sz="4" w:space="0"/>
            </w:tcBorders>
            <w:noWrap w:val="0"/>
            <w:vAlign w:val="center"/>
          </w:tcPr>
          <w:p w14:paraId="0A1F9868">
            <w:pPr>
              <w:widowControl/>
              <w:jc w:val="center"/>
              <w:rPr>
                <w:rFonts w:ascii="仿宋" w:hAnsi="仿宋" w:eastAsia="仿宋" w:cs="宋体"/>
                <w:kern w:val="0"/>
                <w:szCs w:val="21"/>
              </w:rPr>
            </w:pPr>
          </w:p>
        </w:tc>
        <w:tc>
          <w:tcPr>
            <w:tcW w:w="972" w:type="dxa"/>
            <w:tcBorders>
              <w:top w:val="nil"/>
              <w:left w:val="nil"/>
              <w:bottom w:val="single" w:color="auto" w:sz="4" w:space="0"/>
              <w:right w:val="single" w:color="auto" w:sz="4" w:space="0"/>
            </w:tcBorders>
            <w:noWrap w:val="0"/>
            <w:vAlign w:val="center"/>
          </w:tcPr>
          <w:p w14:paraId="7EDB05D6">
            <w:pPr>
              <w:widowControl/>
              <w:jc w:val="center"/>
              <w:rPr>
                <w:rFonts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13180415">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2EA13AEB">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3D33D6D4">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5E5C5E25">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0D49E28F">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1E599E25">
            <w:pPr>
              <w:widowControl/>
              <w:jc w:val="center"/>
              <w:rPr>
                <w:rFonts w:hint="eastAsia" w:ascii="仿宋" w:hAnsi="仿宋" w:eastAsia="仿宋" w:cs="宋体"/>
                <w:kern w:val="0"/>
                <w:szCs w:val="21"/>
              </w:rPr>
            </w:pPr>
          </w:p>
        </w:tc>
        <w:tc>
          <w:tcPr>
            <w:tcW w:w="900" w:type="dxa"/>
            <w:tcBorders>
              <w:top w:val="nil"/>
              <w:left w:val="nil"/>
              <w:bottom w:val="single" w:color="auto" w:sz="4" w:space="0"/>
              <w:right w:val="single" w:color="auto" w:sz="4" w:space="0"/>
            </w:tcBorders>
            <w:noWrap w:val="0"/>
            <w:vAlign w:val="center"/>
          </w:tcPr>
          <w:p w14:paraId="0CE6C39C">
            <w:pPr>
              <w:widowControl/>
              <w:jc w:val="center"/>
              <w:rPr>
                <w:rFonts w:hint="eastAsia" w:ascii="仿宋" w:hAnsi="仿宋" w:eastAsia="仿宋" w:cs="宋体"/>
                <w:kern w:val="0"/>
                <w:szCs w:val="21"/>
              </w:rPr>
            </w:pPr>
          </w:p>
        </w:tc>
        <w:tc>
          <w:tcPr>
            <w:tcW w:w="1373" w:type="dxa"/>
            <w:tcBorders>
              <w:top w:val="nil"/>
              <w:left w:val="nil"/>
              <w:bottom w:val="single" w:color="auto" w:sz="4" w:space="0"/>
              <w:right w:val="single" w:color="auto" w:sz="4" w:space="0"/>
            </w:tcBorders>
            <w:noWrap w:val="0"/>
            <w:vAlign w:val="center"/>
          </w:tcPr>
          <w:p w14:paraId="07741957">
            <w:pPr>
              <w:widowControl/>
              <w:jc w:val="center"/>
              <w:rPr>
                <w:rFonts w:ascii="仿宋" w:hAnsi="仿宋" w:eastAsia="仿宋" w:cs="宋体"/>
                <w:kern w:val="0"/>
                <w:szCs w:val="21"/>
              </w:rPr>
            </w:pPr>
          </w:p>
        </w:tc>
      </w:tr>
      <w:tr w14:paraId="320E3CB2">
        <w:tblPrEx>
          <w:tblCellMar>
            <w:top w:w="0" w:type="dxa"/>
            <w:left w:w="108" w:type="dxa"/>
            <w:bottom w:w="0" w:type="dxa"/>
            <w:right w:w="108" w:type="dxa"/>
          </w:tblCellMar>
        </w:tblPrEx>
        <w:trPr>
          <w:trHeight w:val="673" w:hRule="atLeast"/>
          <w:jc w:val="center"/>
        </w:trPr>
        <w:tc>
          <w:tcPr>
            <w:tcW w:w="11109" w:type="dxa"/>
            <w:gridSpan w:val="12"/>
            <w:tcBorders>
              <w:top w:val="nil"/>
              <w:left w:val="nil"/>
              <w:bottom w:val="nil"/>
              <w:right w:val="nil"/>
            </w:tcBorders>
            <w:noWrap w:val="0"/>
            <w:vAlign w:val="center"/>
          </w:tcPr>
          <w:p w14:paraId="6C971F0F">
            <w:pPr>
              <w:widowControl/>
              <w:ind w:left="630" w:hanging="630" w:hangingChars="300"/>
              <w:jc w:val="left"/>
              <w:rPr>
                <w:rFonts w:hint="eastAsia" w:ascii="宋体" w:hAnsi="宋体" w:eastAsia="宋体" w:cs="宋体"/>
                <w:kern w:val="0"/>
                <w:szCs w:val="21"/>
              </w:rPr>
            </w:pPr>
            <w:r>
              <w:rPr>
                <w:rFonts w:hint="eastAsia" w:ascii="宋体" w:hAnsi="宋体" w:eastAsia="宋体" w:cs="宋体"/>
                <w:kern w:val="0"/>
                <w:szCs w:val="21"/>
              </w:rPr>
              <w:t>合同总金额：人民币 元整（￥元）</w:t>
            </w:r>
          </w:p>
        </w:tc>
      </w:tr>
      <w:tr w14:paraId="3B96F14C">
        <w:tblPrEx>
          <w:tblCellMar>
            <w:top w:w="0" w:type="dxa"/>
            <w:left w:w="108" w:type="dxa"/>
            <w:bottom w:w="0" w:type="dxa"/>
            <w:right w:w="108" w:type="dxa"/>
          </w:tblCellMar>
        </w:tblPrEx>
        <w:trPr>
          <w:trHeight w:val="780" w:hRule="atLeast"/>
          <w:jc w:val="center"/>
        </w:trPr>
        <w:tc>
          <w:tcPr>
            <w:tcW w:w="11109" w:type="dxa"/>
            <w:gridSpan w:val="12"/>
            <w:tcBorders>
              <w:top w:val="nil"/>
              <w:left w:val="nil"/>
              <w:bottom w:val="nil"/>
              <w:right w:val="nil"/>
            </w:tcBorders>
            <w:noWrap w:val="0"/>
            <w:vAlign w:val="center"/>
          </w:tcPr>
          <w:p w14:paraId="4A497802">
            <w:pPr>
              <w:widowControl/>
              <w:ind w:left="630" w:hanging="630" w:hangingChars="300"/>
              <w:jc w:val="left"/>
              <w:rPr>
                <w:rFonts w:hint="eastAsia" w:ascii="宋体" w:hAnsi="宋体" w:eastAsia="宋体" w:cs="宋体"/>
                <w:kern w:val="0"/>
                <w:szCs w:val="21"/>
              </w:rPr>
            </w:pPr>
            <w:r>
              <w:rPr>
                <w:rFonts w:hint="eastAsia" w:ascii="宋体" w:hAnsi="宋体" w:eastAsia="宋体" w:cs="宋体"/>
                <w:kern w:val="0"/>
                <w:szCs w:val="21"/>
              </w:rPr>
              <w:t>备注：1、本表中预算集并数量仅代表招标采购数量，最终集并的早籼稻谷、中晚籼稻谷均以实际发生数量结算。</w:t>
            </w:r>
          </w:p>
          <w:p w14:paraId="6DBEB3EA">
            <w:pPr>
              <w:widowControl/>
              <w:ind w:left="630" w:hanging="630" w:hangingChars="300"/>
              <w:jc w:val="left"/>
              <w:rPr>
                <w:rFonts w:ascii="宋体" w:hAnsi="宋体" w:eastAsia="宋体" w:cs="宋体"/>
                <w:kern w:val="0"/>
                <w:szCs w:val="21"/>
              </w:rPr>
            </w:pPr>
            <w:r>
              <w:rPr>
                <w:rFonts w:hint="eastAsia" w:ascii="宋体" w:hAnsi="宋体" w:eastAsia="宋体" w:cs="宋体"/>
                <w:kern w:val="0"/>
                <w:szCs w:val="21"/>
              </w:rPr>
              <w:t xml:space="preserve">      2、合同金额为含税包干价，采购人不再支付其他费用。</w:t>
            </w:r>
          </w:p>
        </w:tc>
      </w:tr>
    </w:tbl>
    <w:p w14:paraId="403B7E43">
      <w:pPr>
        <w:snapToGrid w:val="0"/>
        <w:spacing w:line="360" w:lineRule="auto"/>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rPr>
        <w:t>二</w:t>
      </w:r>
      <w:r>
        <w:rPr>
          <w:rFonts w:ascii="仿宋" w:hAnsi="仿宋" w:eastAsia="仿宋" w:cs="Times New Roman"/>
          <w:b/>
          <w:sz w:val="30"/>
          <w:szCs w:val="30"/>
        </w:rPr>
        <w:t>、本项目</w:t>
      </w:r>
      <w:r>
        <w:rPr>
          <w:rFonts w:hint="eastAsia" w:ascii="仿宋" w:hAnsi="仿宋" w:eastAsia="仿宋" w:cs="Times New Roman"/>
          <w:b/>
          <w:sz w:val="30"/>
          <w:szCs w:val="30"/>
        </w:rPr>
        <w:t>装卸运输</w:t>
      </w:r>
      <w:r>
        <w:rPr>
          <w:rFonts w:ascii="仿宋" w:hAnsi="仿宋" w:eastAsia="仿宋" w:cs="Times New Roman"/>
          <w:b/>
          <w:sz w:val="30"/>
          <w:szCs w:val="30"/>
        </w:rPr>
        <w:t>货物名称：</w:t>
      </w:r>
      <w:r>
        <w:rPr>
          <w:rFonts w:hint="eastAsia" w:ascii="仿宋" w:hAnsi="仿宋" w:eastAsia="仿宋" w:cs="Times New Roman"/>
          <w:sz w:val="30"/>
          <w:szCs w:val="30"/>
          <w:u w:val="single"/>
        </w:rPr>
        <w:t xml:space="preserve">早籼稻谷、中晚籼稻谷 </w:t>
      </w:r>
    </w:p>
    <w:p w14:paraId="38EC446B">
      <w:pPr>
        <w:snapToGrid w:val="0"/>
        <w:spacing w:line="360" w:lineRule="auto"/>
        <w:ind w:firstLine="1205" w:firstLineChars="400"/>
        <w:rPr>
          <w:rFonts w:hint="eastAsia" w:ascii="仿宋" w:hAnsi="仿宋" w:eastAsia="仿宋" w:cs="Times New Roman"/>
          <w:sz w:val="30"/>
          <w:szCs w:val="30"/>
        </w:rPr>
      </w:pPr>
      <w:r>
        <w:rPr>
          <w:rFonts w:hint="eastAsia" w:ascii="仿宋" w:hAnsi="仿宋" w:eastAsia="仿宋" w:cs="Times New Roman"/>
          <w:b/>
          <w:sz w:val="30"/>
          <w:szCs w:val="30"/>
        </w:rPr>
        <w:t>本项目装卸运输货物</w:t>
      </w:r>
      <w:r>
        <w:rPr>
          <w:rFonts w:ascii="仿宋" w:hAnsi="仿宋" w:eastAsia="仿宋" w:cs="Times New Roman"/>
          <w:b/>
          <w:sz w:val="30"/>
          <w:szCs w:val="30"/>
        </w:rPr>
        <w:t>数量：</w:t>
      </w:r>
      <w:r>
        <w:rPr>
          <w:rFonts w:hint="eastAsia" w:ascii="仿宋" w:hAnsi="仿宋" w:eastAsia="仿宋" w:cs="Times New Roman"/>
          <w:b/>
          <w:sz w:val="30"/>
          <w:szCs w:val="30"/>
          <w:u w:val="single"/>
        </w:rPr>
        <w:t>暂定早籼稻谷300吨，中晚籼稻谷1000吨（</w:t>
      </w:r>
      <w:r>
        <w:rPr>
          <w:rFonts w:hint="eastAsia" w:ascii="仿宋" w:hAnsi="仿宋" w:eastAsia="仿宋" w:cs="Times New Roman"/>
          <w:sz w:val="30"/>
          <w:szCs w:val="30"/>
          <w:u w:val="single"/>
        </w:rPr>
        <w:t>以实际到达接收库点</w:t>
      </w:r>
      <w:r>
        <w:rPr>
          <w:rFonts w:ascii="仿宋" w:hAnsi="仿宋" w:eastAsia="仿宋" w:cs="Times New Roman"/>
          <w:sz w:val="30"/>
          <w:szCs w:val="30"/>
          <w:u w:val="single"/>
        </w:rPr>
        <w:t>数量为准）</w:t>
      </w:r>
      <w:r>
        <w:rPr>
          <w:rFonts w:hint="eastAsia" w:ascii="仿宋" w:hAnsi="仿宋" w:eastAsia="仿宋" w:cs="Times New Roman"/>
          <w:sz w:val="30"/>
          <w:szCs w:val="30"/>
        </w:rPr>
        <w:t>。</w:t>
      </w:r>
    </w:p>
    <w:p w14:paraId="4FAB504E">
      <w:pPr>
        <w:snapToGrid w:val="0"/>
        <w:spacing w:line="360" w:lineRule="auto"/>
        <w:ind w:firstLine="602" w:firstLineChars="200"/>
        <w:rPr>
          <w:rFonts w:ascii="仿宋" w:hAnsi="仿宋" w:eastAsia="仿宋" w:cs="Times New Roman"/>
          <w:sz w:val="30"/>
          <w:szCs w:val="30"/>
        </w:rPr>
      </w:pPr>
      <w:r>
        <w:rPr>
          <w:rFonts w:hint="eastAsia" w:ascii="仿宋" w:hAnsi="仿宋" w:eastAsia="仿宋" w:cs="Times New Roman"/>
          <w:b/>
          <w:sz w:val="30"/>
          <w:szCs w:val="30"/>
        </w:rPr>
        <w:t>三</w:t>
      </w:r>
      <w:r>
        <w:rPr>
          <w:rFonts w:ascii="仿宋" w:hAnsi="仿宋" w:eastAsia="仿宋" w:cs="Times New Roman"/>
          <w:b/>
          <w:sz w:val="30"/>
          <w:szCs w:val="30"/>
        </w:rPr>
        <w:t>、本项目装车、起运地点：</w:t>
      </w:r>
      <w:r>
        <w:rPr>
          <w:rFonts w:hint="eastAsia" w:ascii="仿宋" w:hAnsi="仿宋" w:eastAsia="仿宋" w:cs="Times New Roman"/>
          <w:sz w:val="30"/>
          <w:szCs w:val="30"/>
          <w:u w:val="single"/>
        </w:rPr>
        <w:t>北团粮站</w:t>
      </w:r>
      <w:r>
        <w:rPr>
          <w:rFonts w:ascii="仿宋" w:hAnsi="仿宋" w:eastAsia="仿宋" w:cs="Times New Roman"/>
          <w:sz w:val="30"/>
          <w:szCs w:val="30"/>
          <w:u w:val="single"/>
        </w:rPr>
        <w:t>收购库点（</w:t>
      </w:r>
      <w:r>
        <w:rPr>
          <w:rFonts w:hint="eastAsia" w:ascii="仿宋" w:hAnsi="仿宋" w:eastAsia="仿宋" w:cs="Times New Roman"/>
          <w:sz w:val="30"/>
          <w:szCs w:val="30"/>
          <w:u w:val="single"/>
        </w:rPr>
        <w:t>北团镇孙台村芜祀台路28-1号）</w:t>
      </w:r>
      <w:r>
        <w:rPr>
          <w:rFonts w:ascii="仿宋" w:hAnsi="仿宋" w:eastAsia="仿宋" w:cs="Times New Roman"/>
          <w:sz w:val="30"/>
          <w:szCs w:val="30"/>
        </w:rPr>
        <w:t>。</w:t>
      </w:r>
    </w:p>
    <w:p w14:paraId="191CF69F">
      <w:pPr>
        <w:snapToGrid w:val="0"/>
        <w:spacing w:line="360" w:lineRule="auto"/>
        <w:ind w:firstLine="602" w:firstLineChars="200"/>
        <w:rPr>
          <w:rFonts w:hint="eastAsia" w:ascii="仿宋" w:hAnsi="仿宋" w:eastAsia="仿宋" w:cs="Times New Roman"/>
          <w:sz w:val="30"/>
          <w:szCs w:val="30"/>
          <w:u w:val="single"/>
        </w:rPr>
      </w:pPr>
      <w:r>
        <w:rPr>
          <w:rFonts w:hint="eastAsia" w:ascii="仿宋" w:hAnsi="仿宋" w:eastAsia="仿宋" w:cs="Times New Roman"/>
          <w:b/>
          <w:sz w:val="30"/>
          <w:szCs w:val="30"/>
        </w:rPr>
        <w:t>四</w:t>
      </w:r>
      <w:r>
        <w:rPr>
          <w:rFonts w:ascii="仿宋" w:hAnsi="仿宋" w:eastAsia="仿宋" w:cs="Times New Roman"/>
          <w:b/>
          <w:sz w:val="30"/>
          <w:szCs w:val="30"/>
        </w:rPr>
        <w:t>、本项目到达地点：</w:t>
      </w:r>
      <w:r>
        <w:rPr>
          <w:rFonts w:hint="eastAsia" w:ascii="仿宋" w:hAnsi="仿宋" w:eastAsia="仿宋" w:cs="Times New Roman"/>
          <w:sz w:val="30"/>
          <w:szCs w:val="30"/>
          <w:u w:val="single"/>
        </w:rPr>
        <w:t xml:space="preserve">朋口储备库（朋口镇天马村马山前路39号） </w:t>
      </w:r>
    </w:p>
    <w:p w14:paraId="2F9D412A">
      <w:pPr>
        <w:snapToGrid w:val="0"/>
        <w:spacing w:line="360" w:lineRule="auto"/>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rPr>
        <w:t>五</w:t>
      </w:r>
      <w:r>
        <w:rPr>
          <w:rFonts w:ascii="仿宋" w:hAnsi="仿宋" w:eastAsia="仿宋" w:cs="Times New Roman"/>
          <w:b/>
          <w:sz w:val="30"/>
          <w:szCs w:val="30"/>
        </w:rPr>
        <w:t>、本项目服务期限：</w:t>
      </w:r>
      <w:r>
        <w:rPr>
          <w:rFonts w:hint="eastAsia" w:ascii="仿宋" w:hAnsi="仿宋" w:eastAsia="仿宋" w:cs="Times New Roman"/>
          <w:b/>
          <w:sz w:val="30"/>
          <w:szCs w:val="30"/>
        </w:rPr>
        <w:t>暂定</w:t>
      </w:r>
      <w:r>
        <w:rPr>
          <w:rFonts w:hint="eastAsia" w:ascii="仿宋" w:hAnsi="仿宋" w:eastAsia="仿宋" w:cs="Times New Roman"/>
          <w:sz w:val="30"/>
          <w:szCs w:val="30"/>
        </w:rPr>
        <w:t>2024</w:t>
      </w:r>
      <w:r>
        <w:rPr>
          <w:rFonts w:ascii="仿宋" w:hAnsi="仿宋" w:eastAsia="仿宋" w:cs="Times New Roman"/>
          <w:sz w:val="30"/>
          <w:szCs w:val="30"/>
        </w:rPr>
        <w:t>年</w:t>
      </w:r>
      <w:r>
        <w:rPr>
          <w:rFonts w:hint="eastAsia" w:ascii="仿宋" w:hAnsi="仿宋" w:eastAsia="仿宋" w:cs="Times New Roman"/>
          <w:sz w:val="30"/>
          <w:szCs w:val="30"/>
          <w:u w:val="single"/>
        </w:rPr>
        <w:t xml:space="preserve">  </w:t>
      </w:r>
      <w:r>
        <w:rPr>
          <w:rFonts w:ascii="仿宋" w:hAnsi="仿宋" w:eastAsia="仿宋" w:cs="Times New Roman"/>
          <w:sz w:val="30"/>
          <w:szCs w:val="30"/>
        </w:rPr>
        <w:t>月</w:t>
      </w:r>
      <w:r>
        <w:rPr>
          <w:rFonts w:hint="eastAsia" w:ascii="仿宋" w:hAnsi="仿宋" w:eastAsia="仿宋" w:cs="Times New Roman"/>
          <w:sz w:val="30"/>
          <w:szCs w:val="30"/>
          <w:u w:val="single"/>
        </w:rPr>
        <w:t xml:space="preserve">  </w:t>
      </w:r>
      <w:r>
        <w:rPr>
          <w:rFonts w:ascii="仿宋" w:hAnsi="仿宋" w:eastAsia="仿宋" w:cs="Times New Roman"/>
          <w:sz w:val="30"/>
          <w:szCs w:val="30"/>
        </w:rPr>
        <w:t>日至</w:t>
      </w:r>
      <w:r>
        <w:rPr>
          <w:rFonts w:hint="eastAsia" w:ascii="仿宋" w:hAnsi="仿宋" w:eastAsia="仿宋" w:cs="Times New Roman"/>
          <w:sz w:val="30"/>
          <w:szCs w:val="30"/>
        </w:rPr>
        <w:t>2025</w:t>
      </w:r>
      <w:r>
        <w:rPr>
          <w:rFonts w:ascii="仿宋" w:hAnsi="仿宋" w:eastAsia="仿宋" w:cs="Times New Roman"/>
          <w:sz w:val="30"/>
          <w:szCs w:val="30"/>
        </w:rPr>
        <w:t>年</w:t>
      </w:r>
      <w:r>
        <w:rPr>
          <w:rFonts w:hint="eastAsia" w:ascii="仿宋" w:hAnsi="仿宋" w:eastAsia="仿宋" w:cs="Times New Roman"/>
          <w:sz w:val="30"/>
          <w:szCs w:val="30"/>
          <w:u w:val="single"/>
        </w:rPr>
        <w:t xml:space="preserve">  </w:t>
      </w:r>
      <w:r>
        <w:rPr>
          <w:rFonts w:ascii="仿宋" w:hAnsi="仿宋" w:eastAsia="仿宋" w:cs="Times New Roman"/>
          <w:sz w:val="30"/>
          <w:szCs w:val="30"/>
        </w:rPr>
        <w:t>月</w:t>
      </w:r>
      <w:r>
        <w:rPr>
          <w:rFonts w:hint="eastAsia" w:ascii="仿宋" w:hAnsi="仿宋" w:eastAsia="仿宋" w:cs="Times New Roman"/>
          <w:sz w:val="30"/>
          <w:szCs w:val="30"/>
          <w:u w:val="single"/>
        </w:rPr>
        <w:t xml:space="preserve">  </w:t>
      </w:r>
      <w:r>
        <w:rPr>
          <w:rFonts w:ascii="仿宋" w:hAnsi="仿宋" w:eastAsia="仿宋" w:cs="Times New Roman"/>
          <w:sz w:val="30"/>
          <w:szCs w:val="30"/>
        </w:rPr>
        <w:t>日</w:t>
      </w:r>
      <w:r>
        <w:rPr>
          <w:rFonts w:hint="eastAsia" w:ascii="仿宋" w:hAnsi="仿宋" w:eastAsia="仿宋" w:cs="Times New Roman"/>
          <w:sz w:val="30"/>
          <w:szCs w:val="30"/>
        </w:rPr>
        <w:t>（根据甲方粮食收购情况，乙方应无条件配合甲方进行本项目的装卸运输）。</w:t>
      </w:r>
    </w:p>
    <w:p w14:paraId="12FADDAE">
      <w:pPr>
        <w:snapToGrid w:val="0"/>
        <w:spacing w:line="360" w:lineRule="auto"/>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rPr>
        <w:t>六、本项目合同履约保证金：</w:t>
      </w:r>
      <w:r>
        <w:rPr>
          <w:rFonts w:hint="eastAsia" w:ascii="仿宋" w:hAnsi="仿宋" w:eastAsia="仿宋" w:cs="Times New Roman"/>
          <w:sz w:val="30"/>
          <w:szCs w:val="30"/>
        </w:rPr>
        <w:t>合同履约保证金为中标总价款</w:t>
      </w:r>
      <w:r>
        <w:rPr>
          <w:rFonts w:hint="eastAsia" w:ascii="仿宋" w:hAnsi="仿宋" w:eastAsia="仿宋" w:cs="Times New Roman"/>
          <w:sz w:val="30"/>
          <w:szCs w:val="30"/>
          <w:u w:val="single"/>
        </w:rPr>
        <w:t>10%</w:t>
      </w:r>
      <w:r>
        <w:rPr>
          <w:rFonts w:hint="eastAsia" w:ascii="仿宋" w:hAnsi="仿宋" w:eastAsia="仿宋" w:cs="Times New Roman"/>
          <w:sz w:val="30"/>
          <w:szCs w:val="30"/>
        </w:rPr>
        <w:t>，即人民币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元（￥ 元），在本项目成交之日起5日内存缴入甲方账户。履约保证金在本项目集并装卸运输全部完成后（夏、秋粮集并运输完成），一次性无息退还乙方。</w:t>
      </w:r>
    </w:p>
    <w:p w14:paraId="6694A5EA">
      <w:pPr>
        <w:snapToGrid w:val="0"/>
        <w:spacing w:line="360" w:lineRule="auto"/>
        <w:ind w:firstLine="602" w:firstLineChars="200"/>
        <w:rPr>
          <w:rFonts w:ascii="仿宋" w:hAnsi="仿宋" w:eastAsia="仿宋" w:cs="Times New Roman"/>
          <w:b/>
          <w:sz w:val="30"/>
          <w:szCs w:val="30"/>
        </w:rPr>
      </w:pPr>
      <w:r>
        <w:rPr>
          <w:rFonts w:hint="eastAsia" w:ascii="仿宋" w:hAnsi="仿宋" w:eastAsia="仿宋" w:cs="Times New Roman"/>
          <w:b/>
          <w:sz w:val="30"/>
          <w:szCs w:val="30"/>
        </w:rPr>
        <w:t>七</w:t>
      </w:r>
      <w:r>
        <w:rPr>
          <w:rFonts w:ascii="仿宋" w:hAnsi="仿宋" w:eastAsia="仿宋" w:cs="Times New Roman"/>
          <w:b/>
          <w:sz w:val="30"/>
          <w:szCs w:val="30"/>
        </w:rPr>
        <w:t>、本项目装卸、运输要求：</w:t>
      </w:r>
    </w:p>
    <w:p w14:paraId="016E9C44">
      <w:pPr>
        <w:snapToGrid w:val="0"/>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1、乙方须督促装卸工人遵守甲方规章制度，若存在违反甲方规章制度和不服从甲方人员指挥的行为，甲方有权对乙方或乙方装卸工人按甲方制度进行处罚。</w:t>
      </w:r>
    </w:p>
    <w:p w14:paraId="34C86AFA">
      <w:pPr>
        <w:snapToGrid w:val="0"/>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2、乙方应保证车辆箱体要密实无撒漏、无污染，防潮防雨。装过有毒物品、农药、玻璃纤维和其它有害物质或装过化肥、活牲畜和其它污秽物，未经消毒、有异味、清扫不干净的车辆不得装车，确保运输粮食质量安全。</w:t>
      </w:r>
    </w:p>
    <w:p w14:paraId="71C9D22B">
      <w:pPr>
        <w:snapToGrid w:val="0"/>
        <w:spacing w:line="360" w:lineRule="auto"/>
        <w:ind w:firstLine="602" w:firstLineChars="200"/>
        <w:rPr>
          <w:rFonts w:ascii="仿宋" w:hAnsi="仿宋" w:eastAsia="仿宋" w:cs="Times New Roman"/>
          <w:sz w:val="30"/>
          <w:szCs w:val="30"/>
        </w:rPr>
      </w:pPr>
      <w:r>
        <w:rPr>
          <w:rFonts w:hint="eastAsia" w:ascii="仿宋" w:hAnsi="仿宋" w:eastAsia="仿宋" w:cs="Times New Roman"/>
          <w:b/>
          <w:sz w:val="30"/>
          <w:szCs w:val="30"/>
        </w:rPr>
        <w:t>八</w:t>
      </w:r>
      <w:r>
        <w:rPr>
          <w:rFonts w:ascii="仿宋" w:hAnsi="仿宋" w:eastAsia="仿宋" w:cs="Times New Roman"/>
          <w:b/>
          <w:sz w:val="30"/>
          <w:szCs w:val="30"/>
        </w:rPr>
        <w:t>、甲方责任：</w:t>
      </w:r>
      <w:r>
        <w:rPr>
          <w:rFonts w:ascii="仿宋" w:hAnsi="仿宋" w:eastAsia="仿宋" w:cs="Times New Roman"/>
          <w:sz w:val="30"/>
          <w:szCs w:val="30"/>
        </w:rPr>
        <w:t>甲方应按双方约定时间在乙方安全无损将货物运达目的地之后将装卸、运输费结算给乙方。</w:t>
      </w:r>
    </w:p>
    <w:p w14:paraId="79212638">
      <w:pPr>
        <w:snapToGrid w:val="0"/>
        <w:spacing w:line="360" w:lineRule="auto"/>
        <w:ind w:firstLine="602" w:firstLineChars="200"/>
        <w:rPr>
          <w:rFonts w:hint="eastAsia" w:ascii="仿宋" w:hAnsi="仿宋" w:eastAsia="仿宋" w:cs="Times New Roman"/>
          <w:b/>
          <w:sz w:val="30"/>
          <w:szCs w:val="30"/>
        </w:rPr>
      </w:pPr>
      <w:r>
        <w:rPr>
          <w:rFonts w:hint="eastAsia" w:ascii="仿宋" w:hAnsi="仿宋" w:eastAsia="仿宋" w:cs="Times New Roman"/>
          <w:b/>
          <w:sz w:val="30"/>
          <w:szCs w:val="30"/>
        </w:rPr>
        <w:t>九</w:t>
      </w:r>
      <w:r>
        <w:rPr>
          <w:rFonts w:ascii="仿宋" w:hAnsi="仿宋" w:eastAsia="仿宋" w:cs="Times New Roman"/>
          <w:b/>
          <w:sz w:val="30"/>
          <w:szCs w:val="30"/>
        </w:rPr>
        <w:t>、乙方责任：</w:t>
      </w:r>
    </w:p>
    <w:p w14:paraId="71B6AF6A">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1、</w:t>
      </w:r>
      <w:r>
        <w:rPr>
          <w:rFonts w:ascii="仿宋" w:hAnsi="仿宋" w:eastAsia="仿宋" w:cs="Times New Roman"/>
          <w:sz w:val="30"/>
          <w:szCs w:val="30"/>
        </w:rPr>
        <w:t>保证在合同规定期限内将货物安全运抵指定地点。对承运的货物要负责安全。必须保证装卸工人、车辆、驾驶员安全，如由装卸工人、车辆、驾驶员引发的安全事故，乙方承担一切经济责任及相关赔偿费用。</w:t>
      </w:r>
    </w:p>
    <w:p w14:paraId="609635CD">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w:t>
      </w:r>
      <w:r>
        <w:rPr>
          <w:rFonts w:ascii="仿宋" w:hAnsi="仿宋" w:eastAsia="仿宋" w:cs="Times New Roman"/>
          <w:sz w:val="30"/>
          <w:szCs w:val="30"/>
        </w:rPr>
        <w:t>保证货物无短缺、无人为变质。在装卸、运输途中一旦出现货物丢失、短少、变质、损坏等情况，原则上按到达地市场价格进行赔偿。另有约定的，按约定限额赔偿。但如果货物的缺失和损坏是由不可抗力、货物的自身属性决定的合理损耗或是甲方过错造成，则承运方不承担赔偿责任。</w:t>
      </w:r>
    </w:p>
    <w:p w14:paraId="51751C35">
      <w:pPr>
        <w:snapToGrid w:val="0"/>
        <w:spacing w:line="360" w:lineRule="auto"/>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3、保证在出库结束后及时清理现场，将各种器材、机械设备清理清扫后归放到位；保证在入库完成时做好仓库内外清扫卫生和粮面平整。</w:t>
      </w:r>
    </w:p>
    <w:p w14:paraId="180E4C60">
      <w:pPr>
        <w:snapToGrid w:val="0"/>
        <w:spacing w:line="360" w:lineRule="auto"/>
        <w:ind w:firstLine="602" w:firstLineChars="200"/>
        <w:rPr>
          <w:rFonts w:ascii="仿宋" w:hAnsi="仿宋" w:eastAsia="仿宋" w:cs="Times New Roman"/>
          <w:b/>
          <w:sz w:val="30"/>
          <w:szCs w:val="30"/>
        </w:rPr>
      </w:pPr>
      <w:r>
        <w:rPr>
          <w:rFonts w:hint="eastAsia" w:ascii="仿宋" w:hAnsi="仿宋" w:eastAsia="仿宋" w:cs="Times New Roman"/>
          <w:b/>
          <w:sz w:val="30"/>
          <w:szCs w:val="30"/>
        </w:rPr>
        <w:t>十</w:t>
      </w:r>
      <w:r>
        <w:rPr>
          <w:rFonts w:ascii="仿宋" w:hAnsi="仿宋" w:eastAsia="仿宋" w:cs="Times New Roman"/>
          <w:b/>
          <w:sz w:val="30"/>
          <w:szCs w:val="30"/>
        </w:rPr>
        <w:t>、装卸、运输费用（</w:t>
      </w:r>
      <w:r>
        <w:rPr>
          <w:rFonts w:hint="eastAsia" w:ascii="仿宋" w:hAnsi="仿宋" w:eastAsia="仿宋" w:cs="Times New Roman"/>
          <w:b/>
          <w:sz w:val="30"/>
          <w:szCs w:val="30"/>
        </w:rPr>
        <w:t>包干单价含装包、上车、运输、拆包卸车或割包卸车、粮面平整、现场卫生清理等费用）</w:t>
      </w:r>
      <w:r>
        <w:rPr>
          <w:rFonts w:ascii="仿宋" w:hAnsi="仿宋" w:eastAsia="仿宋" w:cs="Times New Roman"/>
          <w:b/>
          <w:sz w:val="30"/>
          <w:szCs w:val="30"/>
        </w:rPr>
        <w:t>：</w:t>
      </w:r>
    </w:p>
    <w:p w14:paraId="6C713A8A">
      <w:pPr>
        <w:snapToGrid w:val="0"/>
        <w:spacing w:line="360" w:lineRule="auto"/>
        <w:ind w:firstLine="584" w:firstLineChars="200"/>
        <w:rPr>
          <w:rFonts w:hint="eastAsia" w:ascii="仿宋" w:hAnsi="仿宋" w:eastAsia="仿宋" w:cs="Times New Roman"/>
          <w:spacing w:val="-4"/>
          <w:sz w:val="30"/>
          <w:szCs w:val="30"/>
        </w:rPr>
      </w:pPr>
      <w:r>
        <w:rPr>
          <w:rFonts w:hint="eastAsia" w:ascii="仿宋" w:hAnsi="仿宋" w:eastAsia="仿宋" w:cs="Times New Roman"/>
          <w:spacing w:val="-4"/>
          <w:sz w:val="30"/>
          <w:szCs w:val="30"/>
        </w:rPr>
        <w:t>北团粮站至朋口储备库散装散运散卸（包干单价）</w:t>
      </w:r>
      <w:r>
        <w:rPr>
          <w:rFonts w:hint="eastAsia" w:ascii="仿宋" w:hAnsi="仿宋" w:eastAsia="仿宋" w:cs="Times New Roman"/>
          <w:spacing w:val="-4"/>
          <w:sz w:val="30"/>
          <w:szCs w:val="30"/>
          <w:u w:val="single"/>
        </w:rPr>
        <w:t xml:space="preserve">    </w:t>
      </w:r>
      <w:r>
        <w:rPr>
          <w:rFonts w:hint="eastAsia" w:ascii="仿宋" w:hAnsi="仿宋" w:eastAsia="仿宋" w:cs="Times New Roman"/>
          <w:spacing w:val="-4"/>
          <w:sz w:val="30"/>
          <w:szCs w:val="30"/>
        </w:rPr>
        <w:t>元/吨；</w:t>
      </w:r>
    </w:p>
    <w:p w14:paraId="75780EC2">
      <w:pPr>
        <w:snapToGrid w:val="0"/>
        <w:spacing w:line="360" w:lineRule="auto"/>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rPr>
        <w:t>十一、</w:t>
      </w:r>
      <w:r>
        <w:rPr>
          <w:rFonts w:ascii="仿宋" w:hAnsi="仿宋" w:eastAsia="仿宋" w:cs="Times New Roman"/>
          <w:b/>
          <w:sz w:val="30"/>
          <w:szCs w:val="30"/>
        </w:rPr>
        <w:t>结算、</w:t>
      </w:r>
      <w:r>
        <w:rPr>
          <w:rFonts w:hint="eastAsia" w:ascii="仿宋" w:hAnsi="仿宋" w:eastAsia="仿宋" w:cs="Times New Roman"/>
          <w:b/>
          <w:sz w:val="30"/>
          <w:szCs w:val="30"/>
        </w:rPr>
        <w:t>支付</w:t>
      </w:r>
      <w:r>
        <w:rPr>
          <w:rFonts w:ascii="仿宋" w:hAnsi="仿宋" w:eastAsia="仿宋" w:cs="Times New Roman"/>
          <w:b/>
          <w:sz w:val="30"/>
          <w:szCs w:val="30"/>
        </w:rPr>
        <w:t>方式</w:t>
      </w:r>
      <w:r>
        <w:rPr>
          <w:rFonts w:ascii="仿宋" w:hAnsi="仿宋" w:eastAsia="仿宋" w:cs="Times New Roman"/>
          <w:sz w:val="30"/>
          <w:szCs w:val="30"/>
        </w:rPr>
        <w:t>：</w:t>
      </w:r>
    </w:p>
    <w:p w14:paraId="443703EE">
      <w:pPr>
        <w:snapToGrid w:val="0"/>
        <w:spacing w:line="360" w:lineRule="auto"/>
        <w:ind w:firstLine="600" w:firstLineChars="200"/>
        <w:rPr>
          <w:rFonts w:hint="eastAsia" w:ascii="仿宋" w:hAnsi="仿宋" w:eastAsia="仿宋" w:cs="Times New Roman"/>
          <w:spacing w:val="-14"/>
          <w:sz w:val="30"/>
          <w:szCs w:val="30"/>
        </w:rPr>
      </w:pPr>
      <w:r>
        <w:rPr>
          <w:rFonts w:hint="eastAsia" w:ascii="仿宋" w:hAnsi="仿宋" w:eastAsia="仿宋" w:cs="Times New Roman"/>
          <w:sz w:val="30"/>
          <w:szCs w:val="30"/>
        </w:rPr>
        <w:t>1、按实际起运库点和到达库点以及接收库点实际接收数量结算费用</w:t>
      </w:r>
      <w:r>
        <w:rPr>
          <w:rFonts w:ascii="仿宋" w:hAnsi="仿宋" w:eastAsia="仿宋" w:cs="Times New Roman"/>
          <w:spacing w:val="-14"/>
          <w:sz w:val="30"/>
          <w:szCs w:val="30"/>
        </w:rPr>
        <w:t>。</w:t>
      </w:r>
      <w:r>
        <w:rPr>
          <w:rFonts w:hint="eastAsia" w:ascii="仿宋" w:hAnsi="仿宋" w:eastAsia="仿宋" w:cs="Times New Roman"/>
          <w:spacing w:val="-14"/>
          <w:sz w:val="30"/>
          <w:szCs w:val="30"/>
        </w:rPr>
        <w:t>合同结算金额为含税包干价，采购人不再支付其他费用。</w:t>
      </w:r>
    </w:p>
    <w:p w14:paraId="69ADBA83">
      <w:pPr>
        <w:snapToGrid w:val="0"/>
        <w:spacing w:line="360" w:lineRule="auto"/>
        <w:ind w:firstLine="544" w:firstLineChars="200"/>
        <w:rPr>
          <w:rFonts w:hint="eastAsia" w:ascii="仿宋" w:hAnsi="仿宋" w:eastAsia="仿宋" w:cs="Times New Roman"/>
          <w:spacing w:val="-14"/>
          <w:sz w:val="30"/>
          <w:szCs w:val="30"/>
        </w:rPr>
      </w:pPr>
      <w:r>
        <w:rPr>
          <w:rFonts w:hint="eastAsia" w:ascii="仿宋" w:hAnsi="仿宋" w:eastAsia="仿宋" w:cs="Times New Roman"/>
          <w:spacing w:val="-14"/>
          <w:sz w:val="30"/>
          <w:szCs w:val="30"/>
        </w:rPr>
        <w:t>2、结算支付分为两个阶段（夏粮集并运输、秋粮集并运输）：</w:t>
      </w:r>
    </w:p>
    <w:p w14:paraId="1E5271FF">
      <w:pPr>
        <w:snapToGrid w:val="0"/>
        <w:spacing w:line="360" w:lineRule="auto"/>
        <w:ind w:firstLine="544" w:firstLineChars="200"/>
        <w:rPr>
          <w:rFonts w:hint="eastAsia" w:ascii="仿宋" w:hAnsi="仿宋" w:eastAsia="仿宋" w:cs="Times New Roman"/>
          <w:spacing w:val="-14"/>
          <w:sz w:val="30"/>
          <w:szCs w:val="30"/>
        </w:rPr>
      </w:pPr>
      <w:r>
        <w:rPr>
          <w:rFonts w:hint="eastAsia" w:ascii="仿宋" w:hAnsi="仿宋" w:eastAsia="仿宋" w:cs="Times New Roman"/>
          <w:spacing w:val="-14"/>
          <w:sz w:val="30"/>
          <w:szCs w:val="30"/>
        </w:rPr>
        <w:t>（1）夏粮集并运输完成，按接收库点实际数量支付集并装卸运输费用；</w:t>
      </w:r>
    </w:p>
    <w:p w14:paraId="226EB8B0">
      <w:pPr>
        <w:snapToGrid w:val="0"/>
        <w:spacing w:line="360" w:lineRule="auto"/>
        <w:ind w:firstLine="544" w:firstLineChars="200"/>
        <w:rPr>
          <w:rFonts w:hint="eastAsia" w:ascii="仿宋" w:hAnsi="仿宋" w:eastAsia="仿宋" w:cs="Times New Roman"/>
          <w:spacing w:val="-14"/>
          <w:sz w:val="30"/>
          <w:szCs w:val="30"/>
        </w:rPr>
      </w:pPr>
      <w:r>
        <w:rPr>
          <w:rFonts w:hint="eastAsia" w:ascii="仿宋" w:hAnsi="仿宋" w:eastAsia="仿宋" w:cs="Times New Roman"/>
          <w:spacing w:val="-14"/>
          <w:sz w:val="30"/>
          <w:szCs w:val="30"/>
        </w:rPr>
        <w:t>（2）秋粮集并运输完成，按接收库点实际数量支付集并装卸运输费用。</w:t>
      </w:r>
    </w:p>
    <w:p w14:paraId="4CE39FE3">
      <w:pPr>
        <w:snapToGrid w:val="0"/>
        <w:spacing w:line="360" w:lineRule="auto"/>
        <w:ind w:firstLine="590" w:firstLineChars="196"/>
        <w:rPr>
          <w:rFonts w:ascii="仿宋" w:hAnsi="仿宋" w:eastAsia="仿宋" w:cs="Times New Roman"/>
          <w:sz w:val="30"/>
          <w:szCs w:val="30"/>
        </w:rPr>
      </w:pPr>
      <w:r>
        <w:rPr>
          <w:rFonts w:hint="eastAsia" w:ascii="仿宋" w:hAnsi="仿宋" w:eastAsia="仿宋" w:cs="Times New Roman"/>
          <w:b/>
          <w:sz w:val="30"/>
          <w:szCs w:val="30"/>
        </w:rPr>
        <w:t>十二</w:t>
      </w:r>
      <w:r>
        <w:rPr>
          <w:rFonts w:ascii="仿宋" w:hAnsi="仿宋" w:eastAsia="仿宋" w:cs="Times New Roman"/>
          <w:b/>
          <w:sz w:val="30"/>
          <w:szCs w:val="30"/>
        </w:rPr>
        <w:t>、</w:t>
      </w:r>
      <w:r>
        <w:rPr>
          <w:rFonts w:ascii="仿宋" w:hAnsi="仿宋" w:eastAsia="仿宋" w:cs="Times New Roman"/>
          <w:sz w:val="30"/>
          <w:szCs w:val="30"/>
        </w:rPr>
        <w:t>本合同</w:t>
      </w:r>
      <w:r>
        <w:rPr>
          <w:rFonts w:hint="eastAsia" w:ascii="仿宋" w:hAnsi="仿宋" w:eastAsia="仿宋" w:cs="Times New Roman"/>
          <w:sz w:val="30"/>
          <w:szCs w:val="30"/>
        </w:rPr>
        <w:t>壹</w:t>
      </w:r>
      <w:r>
        <w:rPr>
          <w:rFonts w:ascii="仿宋" w:hAnsi="仿宋" w:eastAsia="仿宋" w:cs="Times New Roman"/>
          <w:sz w:val="30"/>
          <w:szCs w:val="30"/>
        </w:rPr>
        <w:t>式</w:t>
      </w:r>
      <w:r>
        <w:rPr>
          <w:rFonts w:hint="eastAsia" w:ascii="仿宋" w:hAnsi="仿宋" w:eastAsia="仿宋" w:cs="Times New Roman"/>
          <w:sz w:val="30"/>
          <w:szCs w:val="30"/>
        </w:rPr>
        <w:t>贰</w:t>
      </w:r>
      <w:r>
        <w:rPr>
          <w:rFonts w:ascii="仿宋" w:hAnsi="仿宋" w:eastAsia="仿宋" w:cs="Times New Roman"/>
          <w:sz w:val="30"/>
          <w:szCs w:val="30"/>
        </w:rPr>
        <w:t>份，甲、乙双方各执</w:t>
      </w:r>
      <w:r>
        <w:rPr>
          <w:rFonts w:hint="eastAsia" w:ascii="仿宋" w:hAnsi="仿宋" w:eastAsia="仿宋" w:cs="Times New Roman"/>
          <w:sz w:val="30"/>
          <w:szCs w:val="30"/>
        </w:rPr>
        <w:t>壹</w:t>
      </w:r>
      <w:r>
        <w:rPr>
          <w:rFonts w:ascii="仿宋" w:hAnsi="仿宋" w:eastAsia="仿宋" w:cs="Times New Roman"/>
          <w:sz w:val="30"/>
          <w:szCs w:val="30"/>
        </w:rPr>
        <w:t>份，具有同等法律效力。如有未尽事宜，由双方协商解决。</w:t>
      </w:r>
    </w:p>
    <w:p w14:paraId="4DE9BCCD">
      <w:pPr>
        <w:snapToGrid w:val="0"/>
        <w:spacing w:line="288" w:lineRule="auto"/>
        <w:ind w:left="630"/>
        <w:rPr>
          <w:rFonts w:hint="eastAsia" w:ascii="仿宋" w:hAnsi="仿宋" w:eastAsia="仿宋" w:cs="Times New Roman"/>
          <w:sz w:val="30"/>
          <w:szCs w:val="30"/>
        </w:rPr>
      </w:pPr>
    </w:p>
    <w:p w14:paraId="2A02285D">
      <w:pPr>
        <w:snapToGrid w:val="0"/>
        <w:spacing w:line="288" w:lineRule="auto"/>
        <w:ind w:left="630"/>
        <w:rPr>
          <w:rFonts w:ascii="仿宋" w:hAnsi="仿宋" w:eastAsia="仿宋" w:cs="Times New Roman"/>
          <w:sz w:val="30"/>
          <w:szCs w:val="30"/>
        </w:rPr>
      </w:pPr>
      <w:r>
        <w:rPr>
          <w:rFonts w:ascii="仿宋" w:hAnsi="仿宋" w:eastAsia="仿宋" w:cs="Times New Roman"/>
          <w:sz w:val="30"/>
          <w:szCs w:val="30"/>
        </w:rPr>
        <w:t xml:space="preserve">甲方：（盖章）  </w:t>
      </w:r>
      <w:r>
        <w:rPr>
          <w:rFonts w:hint="eastAsia" w:ascii="仿宋" w:hAnsi="仿宋" w:eastAsia="仿宋" w:cs="Times New Roman"/>
          <w:sz w:val="30"/>
          <w:szCs w:val="30"/>
        </w:rPr>
        <w:t xml:space="preserve"> </w:t>
      </w:r>
      <w:r>
        <w:rPr>
          <w:rFonts w:ascii="仿宋" w:hAnsi="仿宋" w:eastAsia="仿宋" w:cs="Times New Roman"/>
          <w:sz w:val="30"/>
          <w:szCs w:val="30"/>
        </w:rPr>
        <w:t xml:space="preserve">             乙方：（盖章）</w:t>
      </w:r>
    </w:p>
    <w:p w14:paraId="15FCA3E7">
      <w:pPr>
        <w:snapToGrid w:val="0"/>
        <w:spacing w:line="288" w:lineRule="auto"/>
        <w:ind w:left="630"/>
        <w:rPr>
          <w:rFonts w:hint="eastAsia" w:ascii="仿宋" w:hAnsi="仿宋" w:eastAsia="仿宋" w:cs="Times New Roman"/>
          <w:sz w:val="30"/>
          <w:szCs w:val="30"/>
        </w:rPr>
      </w:pPr>
    </w:p>
    <w:p w14:paraId="3EC2D9F1">
      <w:pPr>
        <w:snapToGrid w:val="0"/>
        <w:spacing w:line="288" w:lineRule="auto"/>
        <w:rPr>
          <w:rFonts w:hint="eastAsia" w:ascii="仿宋" w:hAnsi="仿宋" w:eastAsia="仿宋" w:cs="Times New Roman"/>
          <w:sz w:val="30"/>
          <w:szCs w:val="30"/>
        </w:rPr>
      </w:pPr>
    </w:p>
    <w:p w14:paraId="4A0CCFFE">
      <w:pPr>
        <w:snapToGrid w:val="0"/>
        <w:spacing w:line="288" w:lineRule="auto"/>
        <w:rPr>
          <w:rFonts w:hint="eastAsia" w:ascii="仿宋" w:hAnsi="仿宋" w:eastAsia="仿宋" w:cs="Times New Roman"/>
          <w:sz w:val="30"/>
          <w:szCs w:val="30"/>
        </w:rPr>
      </w:pPr>
    </w:p>
    <w:p w14:paraId="28A68E60">
      <w:pPr>
        <w:snapToGrid w:val="0"/>
        <w:spacing w:line="288" w:lineRule="auto"/>
        <w:ind w:left="630"/>
        <w:rPr>
          <w:rFonts w:ascii="仿宋" w:hAnsi="仿宋" w:eastAsia="仿宋" w:cs="Times New Roman"/>
          <w:sz w:val="30"/>
          <w:szCs w:val="30"/>
        </w:rPr>
      </w:pPr>
      <w:r>
        <w:rPr>
          <w:rFonts w:ascii="仿宋" w:hAnsi="仿宋" w:eastAsia="仿宋" w:cs="Times New Roman"/>
          <w:sz w:val="30"/>
          <w:szCs w:val="30"/>
        </w:rPr>
        <w:t>法定代表人：（</w:t>
      </w:r>
      <w:r>
        <w:rPr>
          <w:rFonts w:hint="eastAsia" w:ascii="仿宋" w:hAnsi="仿宋" w:eastAsia="仿宋" w:cs="Times New Roman"/>
          <w:sz w:val="30"/>
          <w:szCs w:val="30"/>
        </w:rPr>
        <w:t>签章）</w:t>
      </w:r>
      <w:r>
        <w:rPr>
          <w:rFonts w:ascii="仿宋" w:hAnsi="仿宋" w:eastAsia="仿宋" w:cs="Times New Roman"/>
          <w:sz w:val="30"/>
          <w:szCs w:val="30"/>
        </w:rPr>
        <w:t xml:space="preserve">    </w:t>
      </w:r>
      <w:r>
        <w:rPr>
          <w:rFonts w:hint="eastAsia" w:ascii="仿宋" w:hAnsi="仿宋" w:eastAsia="仿宋" w:cs="Times New Roman"/>
          <w:sz w:val="30"/>
          <w:szCs w:val="30"/>
        </w:rPr>
        <w:t xml:space="preserve"> </w:t>
      </w:r>
      <w:r>
        <w:rPr>
          <w:rFonts w:ascii="仿宋" w:hAnsi="仿宋" w:eastAsia="仿宋" w:cs="Times New Roman"/>
          <w:sz w:val="30"/>
          <w:szCs w:val="30"/>
        </w:rPr>
        <w:t xml:space="preserve">     </w:t>
      </w:r>
      <w:r>
        <w:rPr>
          <w:rFonts w:hint="eastAsia" w:ascii="仿宋" w:hAnsi="仿宋" w:eastAsia="仿宋" w:cs="Times New Roman"/>
          <w:sz w:val="30"/>
          <w:szCs w:val="30"/>
        </w:rPr>
        <w:t>代表</w:t>
      </w:r>
      <w:r>
        <w:rPr>
          <w:rFonts w:ascii="仿宋" w:hAnsi="仿宋" w:eastAsia="仿宋" w:cs="Times New Roman"/>
          <w:sz w:val="30"/>
          <w:szCs w:val="30"/>
        </w:rPr>
        <w:t>：（</w:t>
      </w:r>
      <w:r>
        <w:rPr>
          <w:rFonts w:hint="eastAsia" w:ascii="仿宋" w:hAnsi="仿宋" w:eastAsia="仿宋" w:cs="Times New Roman"/>
          <w:sz w:val="30"/>
          <w:szCs w:val="30"/>
        </w:rPr>
        <w:t>签章）</w:t>
      </w:r>
    </w:p>
    <w:p w14:paraId="1FEF64EB">
      <w:pPr>
        <w:snapToGrid w:val="0"/>
        <w:spacing w:line="288" w:lineRule="auto"/>
        <w:ind w:left="630" w:leftChars="300" w:firstLine="6150" w:firstLineChars="2050"/>
        <w:jc w:val="right"/>
        <w:rPr>
          <w:rFonts w:hint="eastAsia" w:ascii="仿宋" w:hAnsi="仿宋" w:eastAsia="仿宋" w:cs="Times New Roman"/>
          <w:sz w:val="30"/>
          <w:szCs w:val="30"/>
        </w:rPr>
      </w:pPr>
    </w:p>
    <w:p w14:paraId="54090220">
      <w:pPr>
        <w:snapToGrid w:val="0"/>
        <w:spacing w:line="288" w:lineRule="auto"/>
        <w:jc w:val="right"/>
        <w:rPr>
          <w:rFonts w:hint="eastAsia" w:ascii="仿宋" w:hAnsi="仿宋" w:eastAsia="仿宋" w:cs="Times New Roman"/>
          <w:sz w:val="30"/>
          <w:szCs w:val="30"/>
        </w:rPr>
      </w:pPr>
    </w:p>
    <w:p w14:paraId="29D8DB9F">
      <w:pPr>
        <w:snapToGrid w:val="0"/>
        <w:spacing w:line="288" w:lineRule="auto"/>
        <w:jc w:val="right"/>
      </w:pPr>
      <w:r>
        <w:rPr>
          <w:rFonts w:hint="eastAsia" w:ascii="仿宋" w:hAnsi="仿宋" w:eastAsia="仿宋" w:cs="Times New Roman"/>
          <w:sz w:val="30"/>
          <w:szCs w:val="30"/>
        </w:rPr>
        <w:t xml:space="preserve">日期：     </w:t>
      </w:r>
      <w:r>
        <w:rPr>
          <w:rFonts w:ascii="仿宋" w:hAnsi="仿宋" w:eastAsia="仿宋" w:cs="Times New Roman"/>
          <w:sz w:val="30"/>
          <w:szCs w:val="30"/>
        </w:rPr>
        <w:t>年</w:t>
      </w:r>
      <w:r>
        <w:rPr>
          <w:rFonts w:hint="eastAsia" w:ascii="仿宋" w:hAnsi="仿宋" w:eastAsia="仿宋" w:cs="Times New Roman"/>
          <w:sz w:val="30"/>
          <w:szCs w:val="30"/>
        </w:rPr>
        <w:t xml:space="preserve">   </w:t>
      </w:r>
      <w:r>
        <w:rPr>
          <w:rFonts w:ascii="仿宋" w:hAnsi="仿宋" w:eastAsia="仿宋" w:cs="Times New Roman"/>
          <w:sz w:val="30"/>
          <w:szCs w:val="30"/>
        </w:rPr>
        <w:t>月</w:t>
      </w:r>
      <w:r>
        <w:rPr>
          <w:rFonts w:hint="eastAsia" w:ascii="仿宋" w:hAnsi="仿宋" w:eastAsia="仿宋" w:cs="Times New Roman"/>
          <w:sz w:val="30"/>
          <w:szCs w:val="30"/>
        </w:rPr>
        <w:t xml:space="preserve">   </w:t>
      </w:r>
      <w:r>
        <w:rPr>
          <w:rFonts w:ascii="仿宋" w:hAnsi="仿宋" w:eastAsia="仿宋" w:cs="Times New Roman"/>
          <w:sz w:val="30"/>
          <w:szCs w:val="30"/>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4FC62D7"/>
    <w:rsid w:val="34FC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2024-08-22T02:08:00Z</dcterms:created>
  <dc:creator>土豆排骨的滋味</dc:creator>
  <cp:lastModifiedBy>土豆排骨的滋味</cp:lastModifiedBy>
  <dcterms:modified xsi:type="dcterms:W3CDTF">2024-08-22T02:09:23Z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8908E3D496284862B9808A193988BFFD_11</vt:lpwstr>
  </property>
</Properties>
</file>