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bookmarkStart w:id="0" w:name="_GoBack"/>
      <w:bookmarkEnd w:id="0"/>
      <w:r>
        <w:rPr>
          <w:rFonts w:hint="eastAsia" w:ascii="仿宋_GB2312" w:hAnsi="仿宋_GB2312" w:eastAsia="仿宋_GB2312" w:cs="仿宋_GB2312"/>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GKJC20240628</w:t>
      </w:r>
      <w:r>
        <w:rPr>
          <w:rFonts w:hint="eastAsia" w:ascii="仿宋_GB2312" w:hAnsi="仿宋_GB2312" w:eastAsia="仿宋_GB2312" w:cs="仿宋_GB2312"/>
          <w:b w:val="0"/>
          <w:bCs w:val="0"/>
          <w:color w:val="auto"/>
          <w:kern w:val="2"/>
          <w:sz w:val="28"/>
          <w:szCs w:val="28"/>
          <w:shd w:val="clear"/>
        </w:rPr>
        <w:t>）</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auto"/>
          <w:kern w:val="2"/>
          <w:sz w:val="28"/>
          <w:szCs w:val="28"/>
          <w:shd w:val="clear"/>
          <w:lang w:eastAsia="zh-CN"/>
        </w:rPr>
        <w:t>2024年</w:t>
      </w:r>
      <w:r>
        <w:rPr>
          <w:rFonts w:hint="eastAsia" w:ascii="仿宋_GB2312" w:hAnsi="仿宋_GB2312" w:eastAsia="仿宋_GB2312" w:cs="仿宋_GB2312"/>
          <w:color w:val="auto"/>
          <w:kern w:val="2"/>
          <w:sz w:val="28"/>
          <w:szCs w:val="28"/>
          <w:shd w:val="clear"/>
          <w:lang w:val="en-US" w:eastAsia="zh-CN"/>
        </w:rPr>
        <w:t>6</w:t>
      </w:r>
      <w:r>
        <w:rPr>
          <w:rFonts w:hint="eastAsia" w:ascii="仿宋_GB2312" w:hAnsi="仿宋_GB2312" w:eastAsia="仿宋_GB2312" w:cs="仿宋_GB2312"/>
          <w:color w:val="auto"/>
          <w:kern w:val="2"/>
          <w:sz w:val="28"/>
          <w:szCs w:val="28"/>
          <w:shd w:val="clear"/>
          <w:lang w:eastAsia="zh-CN"/>
        </w:rPr>
        <w:t>月</w:t>
      </w:r>
      <w:r>
        <w:rPr>
          <w:rFonts w:hint="eastAsia" w:ascii="仿宋_GB2312" w:hAnsi="仿宋_GB2312" w:eastAsia="仿宋_GB2312" w:cs="仿宋_GB2312"/>
          <w:color w:val="auto"/>
          <w:kern w:val="2"/>
          <w:sz w:val="28"/>
          <w:szCs w:val="28"/>
          <w:shd w:val="clear"/>
          <w:lang w:val="en-US" w:eastAsia="zh-CN"/>
        </w:rPr>
        <w:t>28</w:t>
      </w:r>
      <w:r>
        <w:rPr>
          <w:rFonts w:hint="eastAsia" w:ascii="仿宋_GB2312" w:hAnsi="仿宋_GB2312" w:eastAsia="仿宋_GB2312" w:cs="仿宋_GB2312"/>
          <w:color w:val="auto"/>
          <w:kern w:val="2"/>
          <w:sz w:val="28"/>
          <w:szCs w:val="28"/>
          <w:shd w:val="clear"/>
          <w:lang w:eastAsia="zh-CN"/>
        </w:rPr>
        <w:t>日</w:t>
      </w:r>
      <w:r>
        <w:rPr>
          <w:rFonts w:hint="eastAsia" w:ascii="仿宋_GB2312" w:hAnsi="仿宋_GB2312" w:eastAsia="仿宋_GB2312" w:cs="仿宋_GB2312"/>
          <w:color w:val="auto"/>
          <w:kern w:val="2"/>
          <w:sz w:val="28"/>
          <w:szCs w:val="28"/>
          <w:shd w:val="clear"/>
        </w:rPr>
        <w:t>9:30开始至9:50止（20分钟）。</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6</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25</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6</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27</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pPr>
        <w:snapToGrid/>
        <w:spacing w:line="520" w:lineRule="exact"/>
        <w:ind w:firstLine="560" w:firstLineChars="200"/>
        <w:rPr>
          <w:rFonts w:hint="eastAsia" w:ascii="仿宋_GB2312" w:hAnsi="仿宋_GB2312" w:eastAsia="仿宋_GB2312" w:cs="仿宋_GB2312"/>
          <w:color w:val="auto"/>
          <w:sz w:val="28"/>
          <w:szCs w:val="28"/>
          <w:shd w:val="clear"/>
          <w:lang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eastAsia="zh-CN"/>
        </w:rPr>
        <w:t>18039848961</w:t>
      </w:r>
    </w:p>
    <w:p>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连城县莲冠电子商务产业园区综合楼房屋安全结构鉴定服务机构</w:t>
      </w:r>
      <w:r>
        <w:rPr>
          <w:rFonts w:hint="eastAsia" w:ascii="仿宋_GB2312" w:hAnsi="仿宋_GB2312" w:eastAsia="仿宋_GB2312" w:cs="仿宋_GB2312"/>
          <w:color w:val="auto"/>
          <w:sz w:val="28"/>
          <w:szCs w:val="28"/>
        </w:rPr>
        <w:t>。</w:t>
      </w:r>
    </w:p>
    <w:p>
      <w:pPr>
        <w:pStyle w:val="2"/>
        <w:ind w:firstLine="560" w:firstLineChars="200"/>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shd w:val="clear"/>
          <w:lang w:val="en-US" w:eastAsia="zh-CN" w:bidi="ar-SA"/>
        </w:rPr>
        <w:t>2.项目地址：</w:t>
      </w:r>
      <w:r>
        <w:rPr>
          <w:rFonts w:hint="eastAsia" w:ascii="仿宋_GB2312" w:hAnsi="仿宋_GB2312" w:eastAsia="仿宋_GB2312" w:cs="仿宋_GB2312"/>
          <w:color w:val="0000FF"/>
          <w:kern w:val="2"/>
          <w:sz w:val="28"/>
          <w:szCs w:val="28"/>
          <w:lang w:val="en-US" w:eastAsia="zh-CN" w:bidi="ar-SA"/>
        </w:rPr>
        <w:t>连城县工业园区</w:t>
      </w:r>
    </w:p>
    <w:p>
      <w:pPr>
        <w:widowControl/>
        <w:shd w:val="clear" w:color="auto" w:fill="auto"/>
        <w:snapToGrid/>
        <w:spacing w:before="0" w:beforeAutospacing="0" w:after="0" w:afterAutospacing="0" w:line="520" w:lineRule="exact"/>
        <w:ind w:firstLine="560" w:firstLineChars="200"/>
        <w:rPr>
          <w:rFonts w:hint="eastAsia" w:ascii="新宋体" w:hAnsi="新宋体" w:eastAsia="新宋体" w:cs="新宋体"/>
          <w:color w:val="000000"/>
          <w:sz w:val="28"/>
          <w:szCs w:val="28"/>
          <w:lang w:eastAsia="zh-CN"/>
        </w:rPr>
      </w:pPr>
      <w:r>
        <w:rPr>
          <w:rFonts w:hint="eastAsia" w:ascii="仿宋_GB2312" w:hAnsi="仿宋_GB2312" w:eastAsia="仿宋_GB2312" w:cs="仿宋_GB2312"/>
          <w:color w:val="auto"/>
          <w:kern w:val="2"/>
          <w:sz w:val="28"/>
          <w:szCs w:val="28"/>
          <w:shd w:val="clear"/>
          <w:lang w:val="en-US" w:eastAsia="zh-CN" w:bidi="ar-SA"/>
        </w:rPr>
        <w:t>3.鉴定内容：</w:t>
      </w:r>
      <w:r>
        <w:rPr>
          <w:rFonts w:hint="eastAsia" w:ascii="仿宋_GB2312" w:hAnsi="仿宋_GB2312" w:eastAsia="仿宋_GB2312" w:cs="仿宋_GB2312"/>
          <w:color w:val="0000FF"/>
          <w:sz w:val="28"/>
          <w:szCs w:val="28"/>
          <w:lang w:eastAsia="zh-CN"/>
        </w:rPr>
        <w:t>对连城县莲冠电子商务产业园区综合楼（</w:t>
      </w:r>
      <w:r>
        <w:rPr>
          <w:rFonts w:hint="eastAsia" w:ascii="仿宋_GB2312" w:hAnsi="仿宋_GB2312" w:eastAsia="仿宋_GB2312" w:cs="仿宋_GB2312"/>
          <w:color w:val="0000FF"/>
          <w:sz w:val="28"/>
          <w:szCs w:val="28"/>
          <w:lang w:val="en-US" w:eastAsia="zh-CN"/>
        </w:rPr>
        <w:t>3层</w:t>
      </w:r>
      <w:r>
        <w:rPr>
          <w:rFonts w:hint="eastAsia" w:ascii="仿宋_GB2312" w:hAnsi="仿宋_GB2312" w:eastAsia="仿宋_GB2312" w:cs="仿宋_GB2312"/>
          <w:color w:val="0000FF"/>
          <w:sz w:val="28"/>
          <w:szCs w:val="28"/>
          <w:lang w:eastAsia="zh-CN"/>
        </w:rPr>
        <w:t>）进行检验鉴定，</w:t>
      </w:r>
      <w:r>
        <w:rPr>
          <w:rFonts w:hint="eastAsia" w:ascii="仿宋_GB2312" w:hAnsi="仿宋_GB2312" w:eastAsia="仿宋_GB2312" w:cs="仿宋_GB2312"/>
          <w:color w:val="0000FF"/>
          <w:sz w:val="28"/>
          <w:szCs w:val="28"/>
          <w:lang w:val="en-US" w:eastAsia="zh-CN"/>
        </w:rPr>
        <w:t>评价其是否合格，并出具相关报告</w:t>
      </w:r>
      <w:r>
        <w:rPr>
          <w:rFonts w:hint="eastAsia" w:ascii="仿宋_GB2312" w:hAnsi="仿宋_GB2312" w:eastAsia="仿宋_GB2312" w:cs="仿宋_GB2312"/>
          <w:color w:val="0000FF"/>
          <w:sz w:val="28"/>
          <w:szCs w:val="28"/>
          <w:lang w:eastAsia="zh-CN"/>
        </w:rPr>
        <w:t>。</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auto"/>
          <w:kern w:val="2"/>
          <w:sz w:val="28"/>
          <w:szCs w:val="28"/>
          <w:shd w:val="clear"/>
          <w:lang w:val="en-US" w:eastAsia="zh-CN" w:bidi="ar-SA"/>
        </w:rPr>
        <w:t>4.安全鉴定服务费用：</w:t>
      </w:r>
      <w:r>
        <w:rPr>
          <w:rFonts w:hint="eastAsia" w:ascii="仿宋_GB2312" w:hAnsi="仿宋_GB2312" w:eastAsia="仿宋_GB2312" w:cs="仿宋_GB2312"/>
          <w:color w:val="0000FF"/>
          <w:sz w:val="28"/>
          <w:szCs w:val="28"/>
          <w:lang w:val="en-US" w:eastAsia="zh-CN"/>
        </w:rPr>
        <w:t>本项目服务费单价限价15元/㎡，鉴定面积约6842㎡，服务费包含因检测、取样、鉴定产生的孔洞等破损修复费用。最终结算金额按实际面积乘以成交单价结算。</w:t>
      </w:r>
    </w:p>
    <w:p>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5.工作要求（具体以《技术服务合同》为准）：</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1）进度控制：成交人根据与委托方在签订的合同中的第二条执行，并应在委托人通知后1个工作日内组织鉴定人员及设备进场进行勘察检测工作；预计从进场检测之日起5个工作日内完成现场勘察检测工作，现场检测工作结束且委托方提供成交人所需完整资料后20个工作日内，成交人应完成并出具鉴定报告。</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（2）质量控制：成交人应按国家及地方相关技术规范、标准、规程的规定开展鉴定服务，提交鉴定报告，并对其准确性负责。</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（3）成果递交：成交人完成鉴定报告后立即交付给委托方，鉴定报告应符合国家及行业现行相关标准规范。</w:t>
      </w:r>
    </w:p>
    <w:p>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工程检测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工程检测类名单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kern w:val="2"/>
          <w:sz w:val="28"/>
          <w:szCs w:val="28"/>
          <w:lang w:val="en-US" w:eastAsia="zh-CN" w:bidi="ar-SA"/>
        </w:rPr>
        <w:t>2000</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2024年6月27日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房屋安全结构鉴定服务合同</w:t>
      </w:r>
      <w:r>
        <w:rPr>
          <w:rFonts w:hint="eastAsia" w:ascii="仿宋_GB2312" w:hAnsi="仿宋_GB2312" w:eastAsia="仿宋_GB2312" w:cs="仿宋_GB2312"/>
          <w:color w:val="auto"/>
          <w:sz w:val="28"/>
          <w:szCs w:val="28"/>
          <w:shd w:val="clear"/>
        </w:rPr>
        <w:t>》，由委托人经过相应审批程序后签订。</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房屋安全结构鉴定服务合同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（2）签订完整的承诺书。</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val="en-US" w:eastAsia="zh-CN"/>
        </w:rPr>
        <w:t>反</w:t>
      </w:r>
      <w:r>
        <w:rPr>
          <w:rFonts w:hint="eastAsia" w:ascii="仿宋_GB2312" w:hAnsi="仿宋_GB2312" w:eastAsia="仿宋_GB2312" w:cs="仿宋_GB2312"/>
          <w:b/>
          <w:bCs/>
          <w:color w:val="auto"/>
          <w:kern w:val="2"/>
          <w:sz w:val="28"/>
          <w:szCs w:val="28"/>
          <w:shd w:val="clear"/>
          <w:lang w:eastAsia="zh-CN"/>
        </w:rPr>
        <w:t>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u w:val="single"/>
          <w:shd w:val="clear"/>
          <w:lang w:val="en-US" w:eastAsia="zh-CN"/>
        </w:rPr>
        <w:t>服务费单价</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应以服务费单价进行报价，竞价系统设置的价格</w:t>
      </w:r>
      <w:r>
        <w:rPr>
          <w:rFonts w:hint="eastAsia" w:ascii="仿宋_GB2312" w:hAnsi="仿宋_GB2312" w:eastAsia="仿宋_GB2312" w:cs="仿宋_GB2312"/>
          <w:b/>
          <w:bCs/>
          <w:color w:val="auto"/>
          <w:kern w:val="2"/>
          <w:sz w:val="28"/>
          <w:szCs w:val="28"/>
          <w:shd w:val="clear"/>
          <w:lang w:val="en-US" w:eastAsia="zh-CN"/>
        </w:rPr>
        <w:t>15</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服务费单价为15元/</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高于15</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auto"/>
          <w:kern w:val="2"/>
          <w:sz w:val="28"/>
          <w:szCs w:val="28"/>
          <w:shd w:val="clear"/>
          <w:lang w:val="en-US" w:eastAsia="zh-CN"/>
        </w:rPr>
        <w:t>填报服务费单价最低的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w:t>
      </w:r>
      <w:r>
        <w:rPr>
          <w:rFonts w:hint="eastAsia" w:ascii="仿宋_GB2312" w:hAnsi="仿宋_GB2312" w:eastAsia="仿宋_GB2312" w:cs="仿宋_GB2312"/>
          <w:color w:val="auto"/>
          <w:sz w:val="28"/>
          <w:szCs w:val="28"/>
        </w:rPr>
        <w:t>则</w:t>
      </w:r>
      <w:r>
        <w:rPr>
          <w:rFonts w:hint="eastAsia" w:ascii="仿宋_GB2312" w:hAnsi="仿宋_GB2312" w:eastAsia="仿宋_GB2312" w:cs="仿宋_GB2312"/>
          <w:color w:val="auto"/>
          <w:sz w:val="28"/>
          <w:szCs w:val="28"/>
          <w:lang w:eastAsia="zh-CN"/>
        </w:rPr>
        <w:t>竞价人</w:t>
      </w:r>
      <w:r>
        <w:rPr>
          <w:rFonts w:hint="eastAsia" w:ascii="仿宋_GB2312" w:hAnsi="仿宋_GB2312" w:eastAsia="仿宋_GB2312" w:cs="仿宋_GB2312"/>
          <w:color w:val="auto"/>
          <w:sz w:val="28"/>
          <w:szCs w:val="28"/>
        </w:rPr>
        <w:t>应</w:t>
      </w:r>
      <w:r>
        <w:rPr>
          <w:rFonts w:hint="eastAsia" w:ascii="仿宋_GB2312" w:hAnsi="仿宋_GB2312" w:eastAsia="仿宋_GB2312" w:cs="仿宋_GB2312"/>
          <w:color w:val="auto"/>
          <w:sz w:val="28"/>
          <w:szCs w:val="28"/>
          <w:lang w:val="en-US" w:eastAsia="zh-CN"/>
        </w:rPr>
        <w:t>遵循报价规格</w:t>
      </w:r>
      <w:r>
        <w:rPr>
          <w:rFonts w:hint="eastAsia" w:ascii="仿宋_GB2312" w:hAnsi="仿宋_GB2312" w:eastAsia="仿宋_GB2312" w:cs="仿宋_GB2312"/>
          <w:color w:val="auto"/>
          <w:sz w:val="28"/>
          <w:szCs w:val="28"/>
        </w:rPr>
        <w:t>进行报价，</w:t>
      </w:r>
      <w:r>
        <w:rPr>
          <w:rFonts w:hint="eastAsia" w:ascii="仿宋_GB2312" w:hAnsi="仿宋_GB2312" w:eastAsia="仿宋_GB2312" w:cs="仿宋_GB2312"/>
          <w:color w:val="auto"/>
          <w:kern w:val="2"/>
          <w:sz w:val="28"/>
          <w:szCs w:val="28"/>
          <w:shd w:val="clear"/>
        </w:rPr>
        <w:t>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lang w:val="en-US" w:eastAsia="zh-CN"/>
        </w:rPr>
        <w:t>成交服务费单价</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6842㎡（鉴定面积）</w:t>
      </w:r>
      <w:r>
        <w:rPr>
          <w:rFonts w:hint="eastAsia" w:ascii="仿宋_GB2312" w:hAnsi="仿宋_GB2312" w:eastAsia="仿宋_GB2312" w:cs="仿宋_GB2312"/>
          <w:b/>
          <w:bCs/>
          <w:color w:val="0000FF"/>
          <w:sz w:val="28"/>
          <w:szCs w:val="28"/>
        </w:rPr>
        <w:t>为基数</w:t>
      </w:r>
      <w:r>
        <w:rPr>
          <w:rFonts w:hint="eastAsia" w:ascii="仿宋_GB2312" w:hAnsi="仿宋_GB2312" w:eastAsia="仿宋_GB2312" w:cs="仿宋_GB2312"/>
          <w:color w:val="0000FF"/>
          <w:sz w:val="28"/>
          <w:szCs w:val="28"/>
        </w:rPr>
        <w:t>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上述交易服务费分档累进计算，并开具交易服务费等额的法定发票。</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792" w:type="dxa"/>
            <w:gridSpan w:val="2"/>
            <w:noWrap w:val="0"/>
            <w:vAlign w:val="top"/>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根据双方签订的合同约定进行结算。</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pPr>
        <w:snapToGrid/>
        <w:spacing w:line="520" w:lineRule="exact"/>
        <w:ind w:firstLine="560" w:firstLineChars="200"/>
        <w:rPr>
          <w:rFonts w:hint="eastAsia" w:ascii="仿宋_GB2312" w:hAnsi="仿宋_GB2312" w:eastAsia="仿宋_GB2312" w:cs="仿宋_GB2312"/>
          <w:b w:val="0"/>
          <w:bCs w:val="0"/>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val="0"/>
          <w:bCs w:val="0"/>
          <w:color w:val="auto"/>
          <w:kern w:val="28"/>
          <w:sz w:val="28"/>
          <w:szCs w:val="28"/>
          <w:lang w:val="en-US" w:eastAsia="zh-CN" w:bidi="ar-SA"/>
        </w:rPr>
        <w:t>房屋安全结构鉴定服务合同</w:t>
      </w:r>
      <w:r>
        <w:rPr>
          <w:rFonts w:hint="eastAsia" w:ascii="仿宋_GB2312" w:hAnsi="仿宋_GB2312" w:eastAsia="仿宋_GB2312" w:cs="仿宋_GB2312"/>
          <w:b w:val="0"/>
          <w:bCs w:val="0"/>
          <w:color w:val="auto"/>
          <w:kern w:val="2"/>
          <w:sz w:val="28"/>
          <w:szCs w:val="28"/>
          <w:shd w:val="clear"/>
          <w:lang w:val="en-US" w:eastAsia="zh-CN"/>
        </w:rPr>
        <w:t>》，并严格履行，双方的权利、义务以《</w:t>
      </w:r>
      <w:r>
        <w:rPr>
          <w:rFonts w:hint="eastAsia" w:ascii="仿宋_GB2312" w:hAnsi="仿宋_GB2312" w:eastAsia="仿宋_GB2312" w:cs="仿宋_GB2312"/>
          <w:b w:val="0"/>
          <w:bCs w:val="0"/>
          <w:color w:val="auto"/>
          <w:kern w:val="28"/>
          <w:sz w:val="28"/>
          <w:szCs w:val="28"/>
          <w:lang w:val="en-US" w:eastAsia="zh-CN" w:bidi="ar-SA"/>
        </w:rPr>
        <w:t>房屋安全结构鉴定服务合同</w:t>
      </w:r>
      <w:r>
        <w:rPr>
          <w:rFonts w:hint="eastAsia" w:ascii="仿宋_GB2312" w:hAnsi="仿宋_GB2312" w:eastAsia="仿宋_GB2312" w:cs="仿宋_GB2312"/>
          <w:b w:val="0"/>
          <w:bCs w:val="0"/>
          <w:color w:val="auto"/>
          <w:kern w:val="2"/>
          <w:sz w:val="28"/>
          <w:szCs w:val="28"/>
          <w:shd w:val="clear"/>
          <w:lang w:val="en-US" w:eastAsia="zh-CN"/>
        </w:rPr>
        <w:t>》约定为准。</w:t>
      </w:r>
    </w:p>
    <w:p>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41C3DFB"/>
    <w:rsid w:val="041B6B69"/>
    <w:rsid w:val="541C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3260</Words>
  <Characters>3463</Characters>
  <Lines>0</Lines>
  <Paragraphs>0</Paragraphs>
  <TotalTime>0</TotalTime>
  <ScaleCrop>false</ScaleCrop>
  <LinksUpToDate>false</LinksUpToDate>
  <CharactersWithSpaces>3490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2024-06-24T00:36:00Z</dcterms:created>
  <dc:creator>土豆排骨的滋味</dc:creator>
  <cp:lastModifiedBy>土豆排骨的滋味</cp:lastModifiedBy>
  <dcterms:modified xsi:type="dcterms:W3CDTF">2024-06-24T00:38:38Z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F004E57CFC5447F99B6639C6FB1FC3CC_11</vt:lpwstr>
  </property>
</Properties>
</file>