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Theme="minorEastAsia" w:hAnsiTheme="minorEastAsia" w:eastAsiaTheme="minorEastAsia" w:cstheme="minorEastAsia"/>
        </w:rPr>
      </w:pPr>
    </w:p>
    <w:p>
      <w:pPr>
        <w:spacing w:line="360" w:lineRule="auto"/>
        <w:ind w:firstLine="482" w:firstLineChars="20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网络竞价须知</w:t>
      </w:r>
    </w:p>
    <w:p>
      <w:pPr>
        <w:spacing w:line="360" w:lineRule="auto"/>
        <w:ind w:firstLine="480" w:firstLineChars="20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（项目编号:</w:t>
      </w:r>
      <w:r>
        <w:rPr>
          <w:rFonts w:hint="eastAsia" w:asciiTheme="minorEastAsia" w:hAnsiTheme="minorEastAsia" w:eastAsiaTheme="minorEastAsia" w:cstheme="minorEastAsia"/>
          <w:color w:val="0000FF"/>
          <w:kern w:val="2"/>
          <w:sz w:val="24"/>
          <w:szCs w:val="24"/>
          <w:lang w:eastAsia="zh-CN"/>
        </w:rPr>
        <w:t>LCCQJJ20240422</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连城县国有资产产权交易服务有限公司</w:t>
      </w:r>
      <w:r>
        <w:rPr>
          <w:rFonts w:hint="eastAsia" w:asciiTheme="minorEastAsia" w:hAnsiTheme="minorEastAsia" w:eastAsiaTheme="minorEastAsia" w:cstheme="minorEastAsia"/>
          <w:kern w:val="2"/>
          <w:sz w:val="24"/>
          <w:szCs w:val="24"/>
        </w:rPr>
        <w:t>（以下简称本公司）遵循“公开、公平、公正、诚实信用”的原则，依照国家法律、法规、政策为本次竞价活动提供服务。现将有关竞价事项告知如下：</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一、公开竞价、报名时间、地点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竞价时间：</w:t>
      </w:r>
      <w:r>
        <w:rPr>
          <w:rFonts w:hint="eastAsia" w:asciiTheme="minorEastAsia" w:hAnsiTheme="minorEastAsia" w:eastAsiaTheme="minorEastAsia" w:cstheme="minorEastAsia"/>
          <w:color w:val="0000FF"/>
          <w:kern w:val="2"/>
          <w:sz w:val="24"/>
          <w:szCs w:val="24"/>
          <w:lang w:val="en-US" w:eastAsia="zh-CN"/>
        </w:rPr>
        <w:t>2024年4月22日9:30开始至9:50止（20分钟）</w:t>
      </w:r>
      <w:r>
        <w:rPr>
          <w:rFonts w:hint="eastAsia" w:asciiTheme="minorEastAsia" w:hAnsiTheme="minorEastAsia" w:eastAsiaTheme="minorEastAsia" w:cstheme="minorEastAsia"/>
          <w:kern w:val="2"/>
          <w:sz w:val="24"/>
          <w:szCs w:val="24"/>
        </w:rPr>
        <w:t>。</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竞价地点：权益云交易平台或微信公众号“权益云交易平台”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报名时间：</w:t>
      </w:r>
      <w:r>
        <w:rPr>
          <w:rFonts w:hint="eastAsia" w:asciiTheme="minorEastAsia" w:hAnsiTheme="minorEastAsia" w:eastAsiaTheme="minorEastAsia" w:cstheme="minorEastAsia"/>
          <w:color w:val="0000FF"/>
          <w:kern w:val="2"/>
          <w:sz w:val="24"/>
          <w:szCs w:val="24"/>
          <w:lang w:val="en-US" w:eastAsia="zh-CN"/>
        </w:rPr>
        <w:t>2024年4月17日至2024年4月21日17时(节假日除外)</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报名地点：福建省龙岩市连城县莲峰镇李彭村彭坊桥路1号4层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联系电话：18039848961</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二、项目概况及合同要求</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1.项目名称：</w:t>
      </w:r>
      <w:r>
        <w:rPr>
          <w:rFonts w:hint="eastAsia" w:asciiTheme="minorEastAsia" w:hAnsiTheme="minorEastAsia" w:eastAsiaTheme="minorEastAsia" w:cstheme="minorEastAsia"/>
          <w:color w:val="0000FF"/>
          <w:sz w:val="24"/>
          <w:szCs w:val="24"/>
          <w:lang w:eastAsia="zh-CN"/>
        </w:rPr>
        <w:t>连城县第二中学分校阶梯教室整改工程</w:t>
      </w:r>
      <w:r>
        <w:rPr>
          <w:rFonts w:hint="eastAsia" w:asciiTheme="minorEastAsia" w:hAnsiTheme="minorEastAsia" w:eastAsiaTheme="minorEastAsia" w:cstheme="minorEastAsia"/>
          <w:sz w:val="24"/>
          <w:szCs w:val="24"/>
        </w:rPr>
        <w:t>。</w:t>
      </w:r>
    </w:p>
    <w:p>
      <w:pPr>
        <w:pStyle w:val="5"/>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2.供货清单要求如下：</w:t>
      </w:r>
    </w:p>
    <w:tbl>
      <w:tblPr>
        <w:tblStyle w:val="3"/>
        <w:tblW w:w="91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46"/>
        <w:gridCol w:w="547"/>
        <w:gridCol w:w="857"/>
        <w:gridCol w:w="4827"/>
        <w:gridCol w:w="777"/>
        <w:gridCol w:w="846"/>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采购最高限价：126000元（含税）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9189" w:type="dxa"/>
            <w:gridSpan w:val="7"/>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b/>
                <w:bCs/>
                <w:i w:val="0"/>
                <w:iCs w:val="0"/>
                <w:color w:val="000000"/>
                <w:kern w:val="0"/>
                <w:sz w:val="22"/>
                <w:szCs w:val="22"/>
                <w:u w:val="none"/>
                <w:lang w:val="en-US" w:eastAsia="zh-CN" w:bidi="ar"/>
              </w:rPr>
              <w:t>竞价保证金：2400元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项目</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序号</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材料</w:t>
            </w:r>
          </w:p>
        </w:tc>
        <w:tc>
          <w:tcPr>
            <w:tcW w:w="482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主要参数</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846"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789"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46" w:type="dxa"/>
            <w:vMerge w:val="restart"/>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高科室内全彩 Q2-H</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1</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高科室内 Q2-H</w:t>
            </w:r>
          </w:p>
        </w:tc>
        <w:tc>
          <w:tcPr>
            <w:tcW w:w="4827" w:type="dxa"/>
            <w:shd w:val="clear" w:color="auto" w:fill="FFFFFF"/>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1.尺寸:长6.5米X高2.66米=14.75㎡</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1、灯芯像素封装：SMD1515三合一封装；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2、像素密度:≥250000Dots/㎡；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3、模组尺寸：320mm×160mm、模组像素密度：160点×80点；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4、结构特点：灯驱合一，采用恒流设计；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5、驱动方式：1/40恒流驱动；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6、最大亮度：≥540cd/㎡；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7、亮度均匀性：≧96%；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8、色度均匀性：符合通过-0.003&lt;Cx&lt;0.003，-0.003&lt;Cy&lt;0.003（校正后）技术要求；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9、水平视角：≥140°、垂直视角：≥140°；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10、最大功耗：≤416W/㎡、平均功耗：≤139W/㎡；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11、最大对比度：≧5420:1；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12、灰度等级（信号处理深度）：符合16Bits技术，换帧频率：≥60帧/秒；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13、刷新频率符合：≥3000HZ；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14、像素中心距精确度：≦2.0mm；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15、色温:符合3000K-18000K可调；</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16、低亮高灰：符合亮度为20%时信号处理深度（灰度级数）达道14BIt；</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17、平整度：≦0.04mm；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18、宽色域：按照测试NTSC色域技术要求，检验结果能达到：≧112%；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19、平均无故障时间（MTBF）：≥10000H；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20、模组结构符合LED显示屏显示部分结构可采用钢、铝、塑料等材料，结构安全坚固；套件、箱体材质采用聚碳酸酯和玻璃纤维材质；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21、像素失控率：符合≦0.01%；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22、工作电压：符合在4.5×（1±10%）VDC范围内能正常工作；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23、自动校正：能实现数据采集自动共享到网上，客户可自行下载校正数据，进行校正和优化；可通过系统调节参数影响显示效果；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24、模组符合EMC(辐射、干扰、抗干扰、谐波)检测，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25、工作环境：可在-20℃~50℃条件下能正常工作。</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17.29 </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2</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开关电源</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 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电压范围 180～264V 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输入电流 230VAC/2.5A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效    率 86%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频率范围 47～63HZ</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漏 电 流 &lt;1mA/240VAC</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 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直流电压 5V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额定电流 40A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功    率 200W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启动上升时间 3000ms，50ms/230VAC 负载 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保持时间 20ms/230VAC 负载 100%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线性调整率  ±0.5%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负载调整率  ±2.0%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电压精度    ±3.0%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 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过载保护 110～150% rated 自锁模式,断电重启后恢复正常工作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短路保护 自锁模式,断电重启后恢复正常工作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环境要求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工作温度及湿度 -20~70℃ 20%~95%RH 不凝露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储存温湿度 -40℃~85℃; 10%~95%RH 不凝露</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个</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3</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接收系统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诺瓦 DH7516</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单卡支持16组和32组数据输出模式；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单卡自带16个HUB75 16P接口；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单卡带载像素128*1024/256*512。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支持逐点亮色度校正、多批次、亮暗线调节和显示屏效果调节等功能，与3D控制器搭配支持3D效果；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支持接收卡预存画面和保留最后一帧设置；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支持灯板flash管理；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支持5pin液晶模块；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支持千兆网，可通过网线直接连接PC端进行调试和显示；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支持接收卡参数及程序包回读；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接收卡具有与灯板一致的电源接口；</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张</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4</w:t>
            </w:r>
          </w:p>
        </w:tc>
        <w:tc>
          <w:tcPr>
            <w:tcW w:w="85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处理器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诺瓦V1160</w:t>
            </w:r>
          </w:p>
        </w:tc>
        <w:tc>
          <w:tcPr>
            <w:tcW w:w="4827" w:type="dxa"/>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支持常见的视频接口，包括2 路 HDMI1.3，1 路 DVI，1 路 3G-SDI（选配）。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产品本身集成视频处理器与发送卡于一体。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视频输出最大带载高达650万像素，10路网口输出。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支持最宽带载10240点，最高带载8192点。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 3 画面显示。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支持快捷配屏和高级配屏功能。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 HDMI、DVI 输入分辨率自定义调节。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支持设备备份设置。 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支持一键将优先级最低的窗口全屏自动缩放，增强产品实用性能。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支持创建 10 个用户场景作为模板保存，方便使用。 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设备支持Fn快捷键功能自定义，可快速调用保存场景进行切换、亮度、窗口等快捷功能，增强产品实用性能。</w:t>
            </w:r>
          </w:p>
        </w:tc>
        <w:tc>
          <w:tcPr>
            <w:tcW w:w="777" w:type="dxa"/>
            <w:shd w:val="clear" w:color="auto" w:fill="FFFFFF"/>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台</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rPr>
                <w:rFonts w:hint="eastAsia" w:asciiTheme="minorEastAsia" w:hAnsiTheme="minorEastAsia" w:eastAsiaTheme="minorEastAsia" w:cstheme="minorEastAsia"/>
                <w:i w:val="0"/>
                <w:iCs w:val="0"/>
                <w:color w:val="FF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5</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螺丝、扎带短网线、数据排线等小配件</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 </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9"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6</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货物运输、安装、调试、培训、服务</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14.75</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FF0000"/>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7</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综合布线</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6平方三相电，六类网线8根</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tabs>
                <w:tab w:val="left" w:pos="456"/>
              </w:tabs>
              <w:jc w:val="left"/>
              <w:rPr>
                <w:rFonts w:hint="eastAsia" w:asciiTheme="minorEastAsia" w:hAnsiTheme="minorEastAsia" w:eastAsiaTheme="minorEastAsia" w:cstheme="minorEastAsia"/>
                <w:i w:val="0"/>
                <w:iCs w:val="0"/>
                <w:color w:val="000000"/>
                <w:sz w:val="22"/>
                <w:szCs w:val="22"/>
                <w:u w:val="none"/>
                <w:lang w:eastAsia="zh-CN"/>
              </w:rPr>
            </w:pPr>
            <w:r>
              <w:rPr>
                <w:rFonts w:hint="eastAsia" w:asciiTheme="minorEastAsia" w:hAnsiTheme="minorEastAsia" w:eastAsiaTheme="minorEastAsia" w:cstheme="minorEastAsia"/>
                <w:i w:val="0"/>
                <w:iCs w:val="0"/>
                <w:color w:val="000000"/>
                <w:sz w:val="22"/>
                <w:szCs w:val="22"/>
                <w:u w:val="none"/>
                <w:lang w:val="en-US" w:eastAsia="zh-CN"/>
              </w:rPr>
              <w:t>委托人</w:t>
            </w:r>
            <w:r>
              <w:rPr>
                <w:rFonts w:hint="eastAsia" w:asciiTheme="minorEastAsia" w:hAnsiTheme="minorEastAsia" w:eastAsiaTheme="minorEastAsia" w:cstheme="minorEastAsia"/>
                <w:i w:val="0"/>
                <w:iCs w:val="0"/>
                <w:color w:val="000000"/>
                <w:sz w:val="22"/>
                <w:szCs w:val="22"/>
                <w:u w:val="none"/>
                <w:lang w:eastAsia="zh-CN"/>
              </w:rPr>
              <w:t>自备到屏体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46" w:type="dxa"/>
            <w:vMerge w:val="restart"/>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钢构框架铝塑板</w:t>
            </w:r>
          </w:p>
        </w:tc>
        <w:tc>
          <w:tcPr>
            <w:tcW w:w="5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钢构底架</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尺寸:长8.37米X高3.9米=14.75㎡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1.钢材应符合国家或行业标准，具有足够的强度和稳定性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2.具有良好的防锈处理，以延长使用寿命。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3.钢结构的连接件应质量可靠，确保连接的牢固性。</w:t>
            </w:r>
          </w:p>
        </w:tc>
        <w:tc>
          <w:tcPr>
            <w:tcW w:w="7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546" w:type="dxa"/>
            <w:vMerge w:val="continue"/>
            <w:shd w:val="clear" w:color="auto" w:fill="auto"/>
            <w:noWrap/>
            <w:textDirection w:val="tbRlV"/>
            <w:vAlign w:val="center"/>
          </w:tcPr>
          <w:p>
            <w:pPr>
              <w:jc w:val="center"/>
              <w:rPr>
                <w:rFonts w:hint="eastAsia" w:asciiTheme="minorEastAsia" w:hAnsiTheme="minorEastAsia" w:eastAsiaTheme="minorEastAsia" w:cstheme="minorEastAsia"/>
                <w:i w:val="0"/>
                <w:iCs w:val="0"/>
                <w:color w:val="000000"/>
                <w:sz w:val="32"/>
                <w:szCs w:val="32"/>
                <w:u w:val="none"/>
              </w:rPr>
            </w:pPr>
          </w:p>
        </w:tc>
        <w:tc>
          <w:tcPr>
            <w:tcW w:w="54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5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4MM铝塑板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制作安装</w:t>
            </w:r>
          </w:p>
        </w:tc>
        <w:tc>
          <w:tcPr>
            <w:tcW w:w="4827"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选用具有优良性能的铝塑板，表面应平整光滑，无明显瑕疵。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具备较好的耐候性，能适应不同的气候环境。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具有一定的防火性能，符合相关的防火标准。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颜色和纹理可根据设计要求进行选择。</w:t>
            </w:r>
          </w:p>
        </w:tc>
        <w:tc>
          <w:tcPr>
            <w:tcW w:w="777"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6" w:type="dxa"/>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0" w:hRule="atLeast"/>
        </w:trPr>
        <w:tc>
          <w:tcPr>
            <w:tcW w:w="546" w:type="dxa"/>
            <w:shd w:val="clear" w:color="auto" w:fill="auto"/>
            <w:noWrap/>
            <w:textDirection w:val="tbRlV"/>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32"/>
                <w:szCs w:val="32"/>
                <w:u w:val="none"/>
              </w:rPr>
            </w:pPr>
            <w:r>
              <w:rPr>
                <w:rFonts w:hint="eastAsia" w:asciiTheme="minorEastAsia" w:hAnsiTheme="minorEastAsia" w:eastAsiaTheme="minorEastAsia" w:cstheme="minorEastAsia"/>
                <w:i w:val="0"/>
                <w:iCs w:val="0"/>
                <w:color w:val="000000"/>
                <w:kern w:val="0"/>
                <w:sz w:val="28"/>
                <w:szCs w:val="28"/>
                <w:u w:val="none"/>
                <w:lang w:val="en-US" w:eastAsia="zh-CN" w:bidi="ar"/>
              </w:rPr>
              <w:t>数控一体机</w:t>
            </w:r>
          </w:p>
        </w:tc>
        <w:tc>
          <w:tcPr>
            <w:tcW w:w="54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5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86英寸数控一体机</w:t>
            </w:r>
          </w:p>
        </w:tc>
        <w:tc>
          <w:tcPr>
            <w:tcW w:w="4827" w:type="dxa"/>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品牌：seewo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CPU：I7</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固态硬盘：256G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内存：8G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移动支架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现场安装布线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显示屏：86英寸，分辨率为1920x1080（16:9），亮度为400cd/㎡，对比度为1400:1。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触摸屏：红外触摸屏。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书写方式：手指或书写笔。</w:t>
            </w:r>
          </w:p>
        </w:tc>
        <w:tc>
          <w:tcPr>
            <w:tcW w:w="777"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46" w:type="dxa"/>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89" w:type="dxa"/>
            <w:shd w:val="clear" w:color="auto" w:fill="auto"/>
            <w:noWrap/>
            <w:vAlign w:val="center"/>
          </w:tcPr>
          <w:p>
            <w:pPr>
              <w:jc w:val="center"/>
              <w:rPr>
                <w:rFonts w:hint="eastAsia" w:asciiTheme="minorEastAsia" w:hAnsiTheme="minorEastAsia" w:eastAsiaTheme="minorEastAsia" w:cstheme="minorEastAsia"/>
                <w:i w:val="0"/>
                <w:iCs w:val="0"/>
                <w:color w:val="000000"/>
                <w:sz w:val="22"/>
                <w:szCs w:val="22"/>
                <w:u w:val="none"/>
              </w:rPr>
            </w:pPr>
          </w:p>
        </w:tc>
      </w:tr>
    </w:tbl>
    <w:p>
      <w:pPr>
        <w:spacing w:line="360" w:lineRule="auto"/>
        <w:ind w:firstLine="480"/>
        <w:rPr>
          <w:rFonts w:hint="eastAsia" w:asciiTheme="minorEastAsia" w:hAnsiTheme="minorEastAsia" w:eastAsiaTheme="minorEastAsia" w:cstheme="minorEastAsia"/>
          <w:b/>
          <w:bCs/>
          <w:color w:val="404040"/>
          <w:sz w:val="24"/>
          <w:szCs w:val="24"/>
        </w:rPr>
      </w:pPr>
      <w:r>
        <w:rPr>
          <w:rFonts w:hint="eastAsia" w:asciiTheme="minorEastAsia" w:hAnsiTheme="minorEastAsia" w:eastAsiaTheme="minorEastAsia" w:cstheme="minorEastAsia"/>
          <w:b/>
          <w:bCs/>
          <w:color w:val="404040"/>
          <w:sz w:val="24"/>
          <w:szCs w:val="24"/>
        </w:rPr>
        <w:t>特别提示：</w:t>
      </w:r>
    </w:p>
    <w:p>
      <w:pPr>
        <w:widowControl w:val="0"/>
        <w:numPr>
          <w:ilvl w:val="0"/>
          <w:numId w:val="0"/>
        </w:numPr>
        <w:adjustRightInd/>
        <w:snapToGrid/>
        <w:spacing w:after="0" w:line="360" w:lineRule="auto"/>
        <w:ind w:firstLine="480" w:firstLineChars="200"/>
        <w:jc w:val="both"/>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lang w:val="en-US" w:eastAsia="zh-CN"/>
        </w:rPr>
        <w:t>1.</w:t>
      </w:r>
      <w:r>
        <w:rPr>
          <w:rFonts w:hint="eastAsia" w:asciiTheme="minorEastAsia" w:hAnsiTheme="minorEastAsia" w:eastAsiaTheme="minorEastAsia" w:cstheme="minorEastAsia"/>
          <w:color w:val="0000FF"/>
          <w:sz w:val="24"/>
          <w:szCs w:val="24"/>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2.交付地址：委托方指定地点。</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3.交付时间：成交人应在成交通知书发放后</w:t>
      </w:r>
      <w:r>
        <w:rPr>
          <w:rFonts w:hint="eastAsia" w:asciiTheme="minorEastAsia" w:hAnsiTheme="minorEastAsia" w:eastAsiaTheme="minorEastAsia" w:cstheme="minorEastAsia"/>
          <w:color w:val="0000FF"/>
          <w:sz w:val="24"/>
          <w:szCs w:val="24"/>
          <w:u w:val="single"/>
        </w:rPr>
        <w:t>3</w:t>
      </w:r>
      <w:r>
        <w:rPr>
          <w:rFonts w:hint="eastAsia" w:asciiTheme="minorEastAsia" w:hAnsiTheme="minorEastAsia" w:eastAsiaTheme="minorEastAsia" w:cstheme="minorEastAsia"/>
          <w:color w:val="0000FF"/>
          <w:sz w:val="24"/>
          <w:szCs w:val="24"/>
        </w:rPr>
        <w:t>天内签订《供货合同》，在《供货合同》签订之日起</w:t>
      </w:r>
      <w:r>
        <w:rPr>
          <w:rFonts w:hint="eastAsia" w:asciiTheme="minorEastAsia" w:hAnsiTheme="minorEastAsia" w:eastAsiaTheme="minorEastAsia" w:cstheme="minorEastAsia"/>
          <w:color w:val="0000FF"/>
          <w:sz w:val="24"/>
          <w:szCs w:val="24"/>
          <w:u w:val="single"/>
        </w:rPr>
        <w:t>20个工作日</w:t>
      </w:r>
      <w:r>
        <w:rPr>
          <w:rFonts w:hint="eastAsia" w:asciiTheme="minorEastAsia" w:hAnsiTheme="minorEastAsia" w:eastAsiaTheme="minorEastAsia" w:cstheme="minorEastAsia"/>
          <w:color w:val="0000FF"/>
          <w:sz w:val="24"/>
          <w:szCs w:val="24"/>
        </w:rPr>
        <w:t>内将符合要求的货物送达指定地点并交付正常使用。</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4.供货要求：成交人根据《供货合同》供货安装调试使之正常使用。（详见附件《供货合同》）。</w:t>
      </w:r>
    </w:p>
    <w:p>
      <w:pPr>
        <w:spacing w:line="360" w:lineRule="auto"/>
        <w:ind w:firstLine="480" w:firstLineChars="200"/>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sz w:val="24"/>
          <w:szCs w:val="24"/>
        </w:rPr>
        <w:t>5.</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z w:val="24"/>
          <w:szCs w:val="24"/>
        </w:rPr>
        <w:t>付款方式：经验收合格后支付至合同总价的97%；质保期（一年）结束后支付至合同总价的100%。</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三、竞价资格</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1.竞价者必须遵守中华人民共和国法律、法规，具有独立法人资格的国内企业或个体工商户（失信被执行人除外）。</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2.具有履行合同所必需的能力。</w:t>
      </w:r>
    </w:p>
    <w:p>
      <w:pPr>
        <w:spacing w:line="360" w:lineRule="auto"/>
        <w:ind w:left="14"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color w:val="FF0000"/>
          <w:sz w:val="24"/>
          <w:szCs w:val="24"/>
        </w:rPr>
        <w:t>竞价人必须是委托人邀请的供应商：连城县众视广告制作部，连城县恒鹄广告工作室，连城县新视点广告有限公司，龙岩市连城县嘉晟广告装潢有限公司，连城县双记号广告经营部。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1.保证金</w:t>
      </w:r>
      <w:r>
        <w:rPr>
          <w:rFonts w:hint="eastAsia" w:asciiTheme="minorEastAsia" w:hAnsiTheme="minorEastAsia" w:eastAsiaTheme="minorEastAsia" w:cstheme="minorEastAsia"/>
          <w:color w:val="0000FF"/>
          <w:kern w:val="2"/>
          <w:sz w:val="24"/>
          <w:szCs w:val="24"/>
          <w:lang w:val="en-US" w:eastAsia="zh-CN"/>
        </w:rPr>
        <w:t>24</w:t>
      </w:r>
      <w:r>
        <w:rPr>
          <w:rFonts w:hint="eastAsia" w:asciiTheme="minorEastAsia" w:hAnsiTheme="minorEastAsia" w:eastAsiaTheme="minorEastAsia" w:cstheme="minorEastAsia"/>
          <w:color w:val="0000FF"/>
          <w:kern w:val="2"/>
          <w:sz w:val="24"/>
          <w:szCs w:val="24"/>
        </w:rPr>
        <w:t>00</w:t>
      </w:r>
      <w:r>
        <w:rPr>
          <w:rFonts w:hint="eastAsia" w:asciiTheme="minorEastAsia" w:hAnsiTheme="minorEastAsia" w:eastAsiaTheme="minorEastAsia" w:cstheme="minorEastAsia"/>
          <w:kern w:val="2"/>
          <w:sz w:val="24"/>
          <w:szCs w:val="24"/>
        </w:rPr>
        <w:t>元</w:t>
      </w:r>
      <w:r>
        <w:rPr>
          <w:rFonts w:hint="eastAsia" w:asciiTheme="minorEastAsia" w:hAnsiTheme="minorEastAsia" w:eastAsiaTheme="minorEastAsia" w:cstheme="minorEastAsia"/>
          <w:sz w:val="24"/>
          <w:szCs w:val="24"/>
        </w:rPr>
        <w:t>，必须于</w:t>
      </w: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21</w:t>
      </w:r>
      <w:r>
        <w:rPr>
          <w:rFonts w:hint="eastAsia" w:asciiTheme="minorEastAsia" w:hAnsiTheme="minorEastAsia" w:eastAsiaTheme="minorEastAsia" w:cstheme="minorEastAsia"/>
          <w:color w:val="0000FF"/>
          <w:kern w:val="2"/>
          <w:sz w:val="24"/>
          <w:szCs w:val="24"/>
        </w:rPr>
        <w:t>日</w:t>
      </w:r>
      <w:r>
        <w:rPr>
          <w:rFonts w:hint="eastAsia" w:asciiTheme="minorEastAsia" w:hAnsiTheme="minorEastAsia" w:eastAsiaTheme="minorEastAsia" w:cstheme="minorEastAsia"/>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竞价成交后，成交人必须在成交之日起3个工作日内与本公司签订《竞价结果通知书》并提交《分项报价表》，在签订《竞价结果通知书》之日起3个工作日内向委托人提供《供货合同》，由委托人经过相应审批程序后签订。</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3.成交人的竞价保证金可以直接抵作交易服务费，如有剩余，在成交人与委托人签订《供货合同》后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个工作日内一次性无息退回。</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4.未成交人的保证金，在竞价结束后</w:t>
      </w:r>
      <w:r>
        <w:rPr>
          <w:rFonts w:hint="eastAsia" w:asciiTheme="minorEastAsia" w:hAnsiTheme="minorEastAsia" w:eastAsiaTheme="minorEastAsia" w:cstheme="minorEastAsia"/>
          <w:kern w:val="2"/>
          <w:sz w:val="24"/>
          <w:szCs w:val="24"/>
        </w:rPr>
        <w:t>10</w:t>
      </w:r>
      <w:r>
        <w:rPr>
          <w:rFonts w:hint="eastAsia" w:asciiTheme="minorEastAsia" w:hAnsiTheme="minorEastAsia" w:eastAsiaTheme="minorEastAsia" w:cstheme="minorEastAsia"/>
          <w:sz w:val="24"/>
          <w:szCs w:val="24"/>
        </w:rPr>
        <w:t>个工作日内（遇法定节假日顺延）无息退回。</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五、竞价手续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1.有意参加竞价人应提供如下有效证照复印件：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（1）营业执照副本、法定代表人身份证复印件；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（2）签订完整的承诺书。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如法定代表人无法亲自到现场办理竞价手续的，应提供《授权委托书》原件和委托代理人身份证复印件。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以上材料复印件须注明与原件相符并加盖公章。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2.报名方式</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参加本次竞价会的竞价人需在规定的时间前交纳竞价保证金并登录权益云交易平台办理竞价登记手续，同时将报名资料递交给我司，材料可以采用现场或邮件方式递交。</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六、竞价程序</w:t>
      </w:r>
    </w:p>
    <w:p>
      <w:pPr>
        <w:spacing w:line="360" w:lineRule="auto"/>
        <w:ind w:firstLine="480" w:firstLineChars="200"/>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2"/>
          <w:sz w:val="24"/>
          <w:szCs w:val="24"/>
        </w:rPr>
        <w:t>1.</w:t>
      </w:r>
      <w:r>
        <w:rPr>
          <w:rFonts w:hint="eastAsia" w:asciiTheme="minorEastAsia" w:hAnsiTheme="minorEastAsia" w:eastAsiaTheme="minorEastAsia" w:cstheme="minorEastAsia"/>
          <w:color w:val="000000"/>
          <w:sz w:val="24"/>
          <w:szCs w:val="24"/>
        </w:rPr>
        <w:t>本场竞价须三家及以上竞价人在规定时间内参与竞价，如果在规定时间内参与竞价的竞价人不足三家，则按流标处理，竞价人不得有异议。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2.意向竞价人应至权益云网站或微信公众号“权益云交易平台”注册用户名，并于报名截止时间前至本公司办理报名竞价手续，登录到权益云报价大厅申请参与本场竞价。</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3.采用网络</w:t>
      </w:r>
      <w:r>
        <w:rPr>
          <w:rFonts w:hint="eastAsia" w:asciiTheme="minorEastAsia" w:hAnsiTheme="minorEastAsia" w:eastAsiaTheme="minorEastAsia" w:cstheme="minorEastAsia"/>
          <w:b/>
          <w:bCs/>
          <w:kern w:val="2"/>
          <w:sz w:val="24"/>
          <w:szCs w:val="24"/>
        </w:rPr>
        <w:t>反向一次性</w:t>
      </w:r>
      <w:r>
        <w:rPr>
          <w:rFonts w:hint="eastAsia" w:asciiTheme="minorEastAsia" w:hAnsiTheme="minorEastAsia" w:eastAsiaTheme="minorEastAsia" w:cstheme="minorEastAsia"/>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rPr>
        <w:t>3.竞价人应以总价进行报价，竞价系统设置的价格</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表示最高限价为人民币</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，竞价人在竞价系统填报价格高于</w:t>
      </w:r>
      <w:r>
        <w:rPr>
          <w:rFonts w:hint="eastAsia" w:asciiTheme="minorEastAsia" w:hAnsiTheme="minorEastAsia" w:eastAsiaTheme="minorEastAsia" w:cstheme="minorEastAsia"/>
          <w:b/>
          <w:bCs/>
          <w:color w:val="0000FF"/>
          <w:kern w:val="2"/>
          <w:sz w:val="24"/>
          <w:szCs w:val="24"/>
          <w:lang w:val="en-US" w:eastAsia="zh-CN"/>
        </w:rPr>
        <w:t>126</w:t>
      </w:r>
      <w:r>
        <w:rPr>
          <w:rFonts w:hint="eastAsia" w:asciiTheme="minorEastAsia" w:hAnsiTheme="minorEastAsia" w:eastAsiaTheme="minorEastAsia" w:cstheme="minorEastAsia"/>
          <w:b/>
          <w:bCs/>
          <w:color w:val="0000FF"/>
          <w:kern w:val="2"/>
          <w:sz w:val="24"/>
          <w:szCs w:val="24"/>
        </w:rPr>
        <w:t>000元</w:t>
      </w:r>
      <w:r>
        <w:rPr>
          <w:rFonts w:hint="eastAsia" w:asciiTheme="minorEastAsia" w:hAnsiTheme="minorEastAsia" w:eastAsiaTheme="minorEastAsia" w:cstheme="minorEastAsia"/>
          <w:b/>
          <w:bCs/>
          <w:kern w:val="2"/>
          <w:sz w:val="24"/>
          <w:szCs w:val="24"/>
        </w:rPr>
        <w:t>为无效报价，填报</w:t>
      </w:r>
      <w:r>
        <w:rPr>
          <w:rFonts w:hint="eastAsia" w:asciiTheme="minorEastAsia" w:hAnsiTheme="minorEastAsia" w:eastAsiaTheme="minorEastAsia" w:cstheme="minorEastAsia"/>
          <w:b/>
          <w:bCs/>
          <w:kern w:val="2"/>
          <w:sz w:val="24"/>
          <w:szCs w:val="24"/>
          <w:lang w:val="en-US" w:eastAsia="zh-CN"/>
        </w:rPr>
        <w:t>总价</w:t>
      </w:r>
      <w:r>
        <w:rPr>
          <w:rFonts w:hint="eastAsia" w:asciiTheme="minorEastAsia" w:hAnsiTheme="minorEastAsia" w:eastAsiaTheme="minorEastAsia" w:cstheme="minorEastAsia"/>
          <w:b/>
          <w:bCs/>
          <w:kern w:val="2"/>
          <w:sz w:val="24"/>
          <w:szCs w:val="24"/>
        </w:rPr>
        <w:t>最低的竞价人作为本项目成交人。</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4.特别提示：标的经公开征集到合格竞价人,则竞价人应以不高于最高限价进行报价，成交人应签署</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等相关文件，否则视同为违约。</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5.本公司有权就竞价时间做出调整，如有调整将在本公司网站进行公告。</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七、交易服务费</w:t>
      </w:r>
    </w:p>
    <w:p>
      <w:pPr>
        <w:spacing w:line="360" w:lineRule="auto"/>
        <w:ind w:firstLine="482" w:firstLineChars="200"/>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本项目的交易服务费</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由委托人支付</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八、结算方式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1.竞价人自行承担参加竞价会有关的全部费用（包括但不限于差旅费、邮寄费、资料费等）。</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九、税费承担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竞价人自行承担参加竞价会有关的全部费用（包括但不限于差旅费、邮寄费、资料费等）。</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十、违约责任</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成交人应价后反悔的，或不即时签订</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竞价结果通知书</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，或逾期未缴纳交易服务费，本公司按违约处理，保证金不予退回，同时《竞价结果通知书》自动失效，并视情对竞价标的再次竞价或处理，本公司将保留向该成交人提起赔偿诉讼的权利。</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十一、注意事项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1.因不可预见的原因导致上述竞价交易方式不能正常进行的，本公司有权中止交易或临时决定采用其它竞价方式和竞价交易规则，竞价人对此不得有异议。</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3.成交后，成交人应当与委托人签订《</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》，并严格履行，双方的权利、义务以《</w:t>
      </w:r>
      <w:r>
        <w:rPr>
          <w:rFonts w:hint="eastAsia" w:asciiTheme="minorEastAsia" w:hAnsiTheme="minorEastAsia" w:eastAsiaTheme="minorEastAsia" w:cstheme="minorEastAsia"/>
          <w:b/>
          <w:bCs/>
          <w:kern w:val="28"/>
          <w:sz w:val="24"/>
          <w:szCs w:val="24"/>
        </w:rPr>
        <w:t>供货合同</w:t>
      </w:r>
      <w:r>
        <w:rPr>
          <w:rFonts w:hint="eastAsia" w:asciiTheme="minorEastAsia" w:hAnsiTheme="minorEastAsia" w:eastAsiaTheme="minorEastAsia" w:cstheme="minorEastAsia"/>
          <w:kern w:val="2"/>
          <w:sz w:val="24"/>
          <w:szCs w:val="24"/>
        </w:rPr>
        <w:t>》约定为准。</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4.因委托人、成交人的原因造成不能签订相应的合同或解除合同、合同无效的，我司不承担任何责任。签订《竞价结果通知书》视为我司对成交人的合同义务履行完毕。</w:t>
      </w:r>
    </w:p>
    <w:p>
      <w:pPr>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kern w:val="2"/>
          <w:sz w:val="24"/>
          <w:szCs w:val="24"/>
        </w:rPr>
        <w:t>十二、特别提示</w:t>
      </w:r>
    </w:p>
    <w:tbl>
      <w:tblPr>
        <w:tblStyle w:val="3"/>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1.申请人必须对本项目情况及竞价流程进行充分的咨询和了解，一旦参与竞价，视为无异议，并对项目存在或可能存在的瑕疵表示认可，自行承担由此造成的风险。</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2.竞价文件如有更正修改，公告将在</w:t>
            </w:r>
            <w:r>
              <w:rPr>
                <w:rFonts w:hint="eastAsia" w:asciiTheme="minorEastAsia" w:hAnsiTheme="minorEastAsia" w:eastAsiaTheme="minorEastAsia" w:cstheme="minorEastAsia"/>
                <w:sz w:val="24"/>
                <w:szCs w:val="24"/>
              </w:rPr>
              <w:t>连城产权交易网（网址：</w:t>
            </w:r>
            <w:r>
              <w:rPr>
                <w:rFonts w:hint="eastAsia" w:asciiTheme="minorEastAsia" w:hAnsiTheme="minorEastAsia" w:eastAsiaTheme="minorEastAsia" w:cstheme="minorEastAsia"/>
                <w:b/>
                <w:bCs/>
                <w:sz w:val="24"/>
                <w:szCs w:val="24"/>
              </w:rPr>
              <w:t>http://www.lcxcqjy.com/</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rPr>
        <w:t xml:space="preserve">       </w:t>
      </w:r>
      <w:r>
        <w:rPr>
          <w:rFonts w:hint="eastAsia" w:asciiTheme="minorEastAsia" w:hAnsiTheme="minorEastAsia" w:eastAsiaTheme="minorEastAsia" w:cstheme="minorEastAsia"/>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sz w:val="24"/>
          <w:szCs w:val="24"/>
        </w:rPr>
        <w:t xml:space="preserve">               连城县国有资产产权交易服务有限公司</w:t>
      </w:r>
    </w:p>
    <w:p>
      <w:pPr>
        <w:spacing w:line="360" w:lineRule="auto"/>
        <w:ind w:firstLine="480" w:firstLineChars="200"/>
        <w:jc w:val="right"/>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0000FF"/>
          <w:kern w:val="2"/>
          <w:sz w:val="24"/>
          <w:szCs w:val="24"/>
        </w:rPr>
        <w:t>2024年</w:t>
      </w:r>
      <w:r>
        <w:rPr>
          <w:rFonts w:hint="eastAsia" w:asciiTheme="minorEastAsia" w:hAnsiTheme="minorEastAsia" w:eastAsiaTheme="minorEastAsia" w:cstheme="minorEastAsia"/>
          <w:color w:val="0000FF"/>
          <w:kern w:val="2"/>
          <w:sz w:val="24"/>
          <w:szCs w:val="24"/>
          <w:lang w:val="en-US" w:eastAsia="zh-CN"/>
        </w:rPr>
        <w:t>4</w:t>
      </w:r>
      <w:r>
        <w:rPr>
          <w:rFonts w:hint="eastAsia" w:asciiTheme="minorEastAsia" w:hAnsiTheme="minorEastAsia" w:eastAsiaTheme="minorEastAsia" w:cstheme="minorEastAsia"/>
          <w:color w:val="0000FF"/>
          <w:kern w:val="2"/>
          <w:sz w:val="24"/>
          <w:szCs w:val="24"/>
        </w:rPr>
        <w:t>月</w:t>
      </w:r>
      <w:r>
        <w:rPr>
          <w:rFonts w:hint="eastAsia" w:asciiTheme="minorEastAsia" w:hAnsiTheme="minorEastAsia" w:eastAsiaTheme="minorEastAsia" w:cstheme="minorEastAsia"/>
          <w:color w:val="0000FF"/>
          <w:kern w:val="2"/>
          <w:sz w:val="24"/>
          <w:szCs w:val="24"/>
          <w:lang w:val="en-US" w:eastAsia="zh-CN"/>
        </w:rPr>
        <w:t>16</w:t>
      </w:r>
      <w:r>
        <w:rPr>
          <w:rFonts w:hint="eastAsia" w:asciiTheme="minorEastAsia" w:hAnsiTheme="minorEastAsia" w:eastAsiaTheme="minorEastAsia" w:cstheme="minorEastAsia"/>
          <w:color w:val="0000FF"/>
          <w:kern w:val="2"/>
          <w:sz w:val="24"/>
          <w:szCs w:val="24"/>
        </w:rPr>
        <w:t>日</w:t>
      </w:r>
    </w:p>
    <w:p>
      <w:pPr>
        <w:spacing w:line="360" w:lineRule="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sz w:val="24"/>
          <w:szCs w:val="24"/>
        </w:rPr>
        <w:br w:type="page"/>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bookmarkStart w:id="0" w:name="_GoBack"/>
      <w:bookmarkEnd w:id="0"/>
    </w:p>
    <w:p>
      <w:pPr>
        <w:jc w:val="center"/>
        <w:rPr>
          <w:rFonts w:hint="eastAsia" w:asciiTheme="minorEastAsia" w:hAnsiTheme="minorEastAsia" w:eastAsiaTheme="minorEastAsia" w:cstheme="minorEastAsia"/>
          <w:sz w:val="24"/>
          <w:szCs w:val="24"/>
        </w:rPr>
      </w:pPr>
    </w:p>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A4D733B"/>
    <w:rsid w:val="6A4D7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line="380" w:lineRule="exact"/>
    </w:pPr>
    <w:rPr>
      <w:sz w:val="24"/>
    </w:rPr>
  </w:style>
  <w:style w:type="paragraph" w:customStyle="1" w:styleId="5">
    <w:name w:val="Fließtext"/>
    <w:basedOn w:val="1"/>
    <w:autoRedefine/>
    <w:qFormat/>
    <w:uiPriority w:val="0"/>
    <w:pPr>
      <w:widowControl w:val="0"/>
      <w:overflowPunct w:val="0"/>
      <w:autoSpaceDE w:val="0"/>
      <w:autoSpaceDN w:val="0"/>
      <w:snapToGrid/>
      <w:spacing w:after="0"/>
      <w:jc w:val="both"/>
      <w:textAlignment w:val="baseline"/>
    </w:pPr>
    <w:rPr>
      <w:rFonts w:ascii="Calibri" w:hAnsi="Calibri" w:eastAsia="宋体" w:cs="Arial"/>
      <w:kern w:val="28"/>
      <w:sz w:val="21"/>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2024-04-16T08:42:00Z</dcterms:created>
  <dc:creator>土豆排骨的滋味</dc:creator>
  <cp:lastModifiedBy>土豆排骨的滋味</cp:lastModifiedBy>
  <dcterms:modified xsi:type="dcterms:W3CDTF">2024-04-16T08:43:18Z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9AA6D08D973A40EA9B364BA422F89710_11</vt:lpwstr>
  </property>
</Properties>
</file>