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baseline"/>
        <w:rPr>
          <w:rFonts w:asciiTheme="minorEastAsia" w:hAnsiTheme="minorEastAsia" w:eastAsiaTheme="minorEastAsia" w:cstheme="minorEastAsia"/>
          <w:color w:val="auto"/>
          <w:sz w:val="84"/>
          <w:szCs w:val="84"/>
        </w:rPr>
      </w:pPr>
    </w:p>
    <w:p>
      <w:pPr>
        <w:spacing w:line="360" w:lineRule="auto"/>
        <w:jc w:val="center"/>
        <w:textAlignment w:val="baseline"/>
        <w:rPr>
          <w:rFonts w:asciiTheme="minorEastAsia" w:hAnsiTheme="minorEastAsia" w:eastAsiaTheme="minorEastAsia" w:cstheme="minorEastAsia"/>
          <w:color w:val="auto"/>
          <w:sz w:val="84"/>
          <w:szCs w:val="84"/>
        </w:rPr>
      </w:pPr>
    </w:p>
    <w:p>
      <w:pPr>
        <w:spacing w:line="360" w:lineRule="auto"/>
        <w:jc w:val="center"/>
        <w:textAlignment w:val="baseline"/>
        <w:rPr>
          <w:rFonts w:hint="eastAsia" w:asciiTheme="minorEastAsia" w:hAnsiTheme="minorEastAsia" w:eastAsiaTheme="minorEastAsia" w:cstheme="minorEastAsia"/>
          <w:color w:val="auto"/>
          <w:sz w:val="84"/>
          <w:szCs w:val="84"/>
        </w:rPr>
      </w:pPr>
      <w:r>
        <w:rPr>
          <w:rFonts w:hint="eastAsia" w:asciiTheme="minorEastAsia" w:hAnsiTheme="minorEastAsia" w:eastAsiaTheme="minorEastAsia" w:cstheme="minorEastAsia"/>
          <w:color w:val="auto"/>
          <w:sz w:val="84"/>
          <w:szCs w:val="84"/>
        </w:rPr>
        <w:t>竞争性磋商文件</w:t>
      </w:r>
    </w:p>
    <w:p>
      <w:pPr>
        <w:spacing w:line="360" w:lineRule="auto"/>
        <w:jc w:val="center"/>
        <w:textAlignment w:val="baseline"/>
        <w:rPr>
          <w:rFonts w:hint="default" w:asciiTheme="minorEastAsia" w:hAnsiTheme="minorEastAsia" w:eastAsiaTheme="minorEastAsia" w:cstheme="minorEastAsia"/>
          <w:color w:val="auto"/>
          <w:sz w:val="52"/>
          <w:szCs w:val="52"/>
          <w:lang w:val="en-US" w:eastAsia="zh-CN"/>
        </w:rPr>
      </w:pPr>
      <w:r>
        <w:rPr>
          <w:rFonts w:hint="eastAsia" w:asciiTheme="minorEastAsia" w:hAnsiTheme="minorEastAsia" w:eastAsiaTheme="minorEastAsia" w:cstheme="minorEastAsia"/>
          <w:color w:val="auto"/>
          <w:sz w:val="52"/>
          <w:szCs w:val="52"/>
          <w:lang w:val="en-US" w:eastAsia="zh-CN"/>
        </w:rPr>
        <w:t>(更正后)</w:t>
      </w:r>
    </w:p>
    <w:p>
      <w:pPr>
        <w:pStyle w:val="11"/>
        <w:spacing w:line="360" w:lineRule="auto"/>
        <w:ind w:firstLine="883" w:firstLineChars="200"/>
        <w:jc w:val="center"/>
        <w:textAlignment w:val="baseline"/>
        <w:rPr>
          <w:rFonts w:asciiTheme="minorEastAsia" w:hAnsiTheme="minorEastAsia" w:eastAsiaTheme="minorEastAsia" w:cstheme="minorEastAsia"/>
          <w:b/>
          <w:bCs/>
          <w:color w:val="auto"/>
          <w:sz w:val="44"/>
          <w:szCs w:val="44"/>
        </w:rPr>
      </w:pPr>
      <w:bookmarkStart w:id="14" w:name="_GoBack"/>
      <w:bookmarkEnd w:id="14"/>
    </w:p>
    <w:p>
      <w:pPr>
        <w:pStyle w:val="11"/>
        <w:spacing w:line="360" w:lineRule="auto"/>
        <w:ind w:firstLine="643" w:firstLineChars="200"/>
        <w:textAlignment w:val="baseline"/>
        <w:rPr>
          <w:rFonts w:asciiTheme="minorEastAsia" w:hAnsiTheme="minorEastAsia" w:eastAsiaTheme="minorEastAsia" w:cstheme="minorEastAsia"/>
          <w:b/>
          <w:bCs/>
          <w:color w:val="auto"/>
          <w:sz w:val="32"/>
          <w:szCs w:val="32"/>
        </w:rPr>
      </w:pPr>
    </w:p>
    <w:p>
      <w:pPr>
        <w:pStyle w:val="11"/>
        <w:spacing w:line="360" w:lineRule="auto"/>
        <w:ind w:firstLine="643" w:firstLineChars="200"/>
        <w:textAlignment w:val="baseline"/>
        <w:rPr>
          <w:rFonts w:asciiTheme="minorEastAsia" w:hAnsiTheme="minorEastAsia" w:eastAsiaTheme="minorEastAsia" w:cstheme="minorEastAsia"/>
          <w:b/>
          <w:bCs/>
          <w:color w:val="auto"/>
          <w:sz w:val="32"/>
          <w:szCs w:val="32"/>
        </w:rPr>
      </w:pPr>
    </w:p>
    <w:p>
      <w:pPr>
        <w:widowControl/>
        <w:shd w:val="clear" w:color="auto" w:fill="FFFFFF"/>
        <w:spacing w:line="390" w:lineRule="atLeast"/>
        <w:ind w:firstLine="960" w:firstLineChars="300"/>
        <w:jc w:val="left"/>
        <w:textAlignment w:val="baseline"/>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项目编号：</w:t>
      </w:r>
      <w:r>
        <w:rPr>
          <w:rFonts w:hint="eastAsia" w:asciiTheme="minorEastAsia" w:hAnsiTheme="minorEastAsia" w:eastAsiaTheme="minorEastAsia" w:cstheme="minorEastAsia"/>
          <w:color w:val="auto"/>
          <w:sz w:val="32"/>
          <w:szCs w:val="32"/>
          <w:lang w:eastAsia="zh-CN"/>
        </w:rPr>
        <w:t>LCCQCGCS2024003</w:t>
      </w:r>
    </w:p>
    <w:p>
      <w:pPr>
        <w:widowControl/>
        <w:shd w:val="clear" w:color="auto" w:fill="FFFFFF"/>
        <w:spacing w:line="390" w:lineRule="atLeast"/>
        <w:ind w:firstLine="960" w:firstLineChars="300"/>
        <w:jc w:val="left"/>
        <w:textAlignment w:val="baseline"/>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项目名称：</w:t>
      </w:r>
      <w:r>
        <w:rPr>
          <w:rFonts w:hint="eastAsia" w:asciiTheme="minorEastAsia" w:hAnsiTheme="minorEastAsia" w:eastAsiaTheme="minorEastAsia" w:cstheme="minorEastAsia"/>
          <w:color w:val="auto"/>
          <w:sz w:val="32"/>
          <w:szCs w:val="32"/>
          <w:lang w:eastAsia="zh-CN"/>
        </w:rPr>
        <w:t>连城连聚物业服务有限公司电梯维保服务采购</w:t>
      </w:r>
    </w:p>
    <w:p>
      <w:pPr>
        <w:widowControl/>
        <w:shd w:val="clear" w:color="auto" w:fill="FFFFFF"/>
        <w:spacing w:line="390" w:lineRule="atLeast"/>
        <w:ind w:firstLine="960" w:firstLineChars="300"/>
        <w:jc w:val="left"/>
        <w:textAlignment w:val="baseline"/>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采 购 人：</w:t>
      </w:r>
      <w:r>
        <w:rPr>
          <w:rFonts w:hint="eastAsia" w:asciiTheme="minorEastAsia" w:hAnsiTheme="minorEastAsia" w:eastAsiaTheme="minorEastAsia" w:cstheme="minorEastAsia"/>
          <w:color w:val="auto"/>
          <w:sz w:val="32"/>
          <w:szCs w:val="32"/>
          <w:lang w:eastAsia="zh-CN"/>
        </w:rPr>
        <w:t>连城连聚物业服务有限公司</w:t>
      </w:r>
    </w:p>
    <w:p>
      <w:pPr>
        <w:pStyle w:val="11"/>
        <w:spacing w:line="360" w:lineRule="auto"/>
        <w:textAlignment w:val="baseline"/>
        <w:rPr>
          <w:rFonts w:asciiTheme="minorEastAsia" w:hAnsiTheme="minorEastAsia" w:eastAsiaTheme="minorEastAsia" w:cstheme="minorEastAsia"/>
          <w:b/>
          <w:bCs/>
          <w:color w:val="auto"/>
          <w:sz w:val="32"/>
          <w:szCs w:val="32"/>
        </w:rPr>
      </w:pPr>
    </w:p>
    <w:p>
      <w:pPr>
        <w:pStyle w:val="11"/>
        <w:spacing w:line="360" w:lineRule="auto"/>
        <w:ind w:firstLine="1767" w:firstLineChars="550"/>
        <w:jc w:val="left"/>
        <w:textAlignment w:val="baseline"/>
        <w:rPr>
          <w:rFonts w:asciiTheme="minorEastAsia" w:hAnsiTheme="minorEastAsia" w:eastAsiaTheme="minorEastAsia" w:cstheme="minorEastAsia"/>
          <w:b/>
          <w:bCs/>
          <w:color w:val="auto"/>
          <w:sz w:val="32"/>
          <w:szCs w:val="32"/>
        </w:rPr>
      </w:pPr>
    </w:p>
    <w:p>
      <w:pPr>
        <w:pStyle w:val="11"/>
        <w:spacing w:line="360" w:lineRule="auto"/>
        <w:ind w:firstLine="1767" w:firstLineChars="550"/>
        <w:jc w:val="left"/>
        <w:textAlignment w:val="baseline"/>
        <w:rPr>
          <w:rFonts w:asciiTheme="minorEastAsia" w:hAnsiTheme="minorEastAsia" w:eastAsiaTheme="minorEastAsia" w:cstheme="minorEastAsia"/>
          <w:b/>
          <w:bCs/>
          <w:color w:val="auto"/>
          <w:sz w:val="32"/>
          <w:szCs w:val="32"/>
        </w:rPr>
      </w:pPr>
    </w:p>
    <w:p>
      <w:pPr>
        <w:pStyle w:val="11"/>
        <w:spacing w:line="360" w:lineRule="auto"/>
        <w:ind w:firstLine="1767" w:firstLineChars="550"/>
        <w:jc w:val="left"/>
        <w:textAlignment w:val="baseline"/>
        <w:rPr>
          <w:rFonts w:asciiTheme="minorEastAsia" w:hAnsiTheme="minorEastAsia" w:eastAsiaTheme="minorEastAsia" w:cstheme="minorEastAsia"/>
          <w:b/>
          <w:bCs/>
          <w:color w:val="auto"/>
          <w:sz w:val="32"/>
          <w:szCs w:val="32"/>
        </w:rPr>
      </w:pPr>
    </w:p>
    <w:p>
      <w:pPr>
        <w:pStyle w:val="11"/>
        <w:spacing w:line="360" w:lineRule="auto"/>
        <w:ind w:firstLine="1928" w:firstLineChars="600"/>
        <w:jc w:val="left"/>
        <w:textAlignment w:val="baseline"/>
        <w:rPr>
          <w:rFonts w:asciiTheme="minorEastAsia" w:hAnsiTheme="minorEastAsia" w:eastAsiaTheme="minorEastAsia" w:cstheme="minorEastAsia"/>
          <w:b/>
          <w:bCs/>
          <w:color w:val="auto"/>
          <w:sz w:val="32"/>
          <w:szCs w:val="32"/>
        </w:rPr>
      </w:pPr>
    </w:p>
    <w:p>
      <w:pPr>
        <w:pStyle w:val="11"/>
        <w:spacing w:line="360" w:lineRule="auto"/>
        <w:ind w:firstLine="1928" w:firstLineChars="600"/>
        <w:jc w:val="left"/>
        <w:textAlignment w:val="baseline"/>
        <w:rPr>
          <w:rFonts w:asciiTheme="minorEastAsia" w:hAnsiTheme="minorEastAsia" w:eastAsiaTheme="minorEastAsia" w:cstheme="minorEastAsia"/>
          <w:b/>
          <w:bCs/>
          <w:color w:val="auto"/>
          <w:sz w:val="32"/>
          <w:szCs w:val="32"/>
        </w:rPr>
      </w:pPr>
    </w:p>
    <w:p>
      <w:pPr>
        <w:pStyle w:val="11"/>
        <w:spacing w:line="360" w:lineRule="auto"/>
        <w:jc w:val="center"/>
        <w:textAlignment w:val="baseline"/>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32"/>
          <w:szCs w:val="32"/>
        </w:rPr>
        <w:t>连城县国有资产产权交易服务有限公司</w:t>
      </w:r>
    </w:p>
    <w:p>
      <w:pPr>
        <w:jc w:val="center"/>
        <w:textAlignment w:val="baseline"/>
        <w:rPr>
          <w:rFonts w:asciiTheme="minorEastAsia" w:hAnsiTheme="minorEastAsia" w:eastAsiaTheme="minorEastAsia" w:cstheme="minorEastAsia"/>
          <w:b/>
          <w:bCs/>
          <w:color w:val="auto"/>
          <w:sz w:val="32"/>
          <w:szCs w:val="32"/>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r>
        <w:rPr>
          <w:rFonts w:hint="eastAsia" w:asciiTheme="minorEastAsia" w:hAnsiTheme="minorEastAsia" w:eastAsiaTheme="minorEastAsia" w:cstheme="minorEastAsia"/>
          <w:b/>
          <w:bCs/>
          <w:color w:val="auto"/>
          <w:sz w:val="32"/>
          <w:szCs w:val="32"/>
        </w:rPr>
        <w:t>202</w:t>
      </w:r>
      <w:r>
        <w:rPr>
          <w:rFonts w:hint="eastAsia" w:asciiTheme="minorEastAsia" w:hAnsiTheme="minorEastAsia" w:eastAsiaTheme="minorEastAsia" w:cstheme="minorEastAsia"/>
          <w:b/>
          <w:bCs/>
          <w:color w:val="auto"/>
          <w:sz w:val="32"/>
          <w:szCs w:val="32"/>
          <w:lang w:val="en-US" w:eastAsia="zh-CN"/>
        </w:rPr>
        <w:t>4</w:t>
      </w:r>
      <w:r>
        <w:rPr>
          <w:rFonts w:hint="eastAsia" w:asciiTheme="minorEastAsia" w:hAnsiTheme="minorEastAsia" w:eastAsiaTheme="minorEastAsia" w:cstheme="minorEastAsia"/>
          <w:b/>
          <w:bCs/>
          <w:color w:val="auto"/>
          <w:sz w:val="32"/>
          <w:szCs w:val="32"/>
        </w:rPr>
        <w:t>年</w:t>
      </w:r>
      <w:r>
        <w:rPr>
          <w:rFonts w:hint="eastAsia" w:asciiTheme="minorEastAsia" w:hAnsiTheme="minorEastAsia" w:eastAsiaTheme="minorEastAsia" w:cstheme="minorEastAsia"/>
          <w:b/>
          <w:bCs/>
          <w:color w:val="auto"/>
          <w:sz w:val="32"/>
          <w:szCs w:val="32"/>
          <w:lang w:val="en-US" w:eastAsia="zh-CN"/>
        </w:rPr>
        <w:t>4</w:t>
      </w:r>
      <w:r>
        <w:rPr>
          <w:rFonts w:hint="eastAsia" w:asciiTheme="minorEastAsia" w:hAnsiTheme="minorEastAsia" w:eastAsiaTheme="minorEastAsia" w:cstheme="minorEastAsia"/>
          <w:b/>
          <w:bCs/>
          <w:color w:val="auto"/>
          <w:sz w:val="32"/>
          <w:szCs w:val="32"/>
        </w:rPr>
        <w:t>月</w:t>
      </w:r>
    </w:p>
    <w:p>
      <w:pPr>
        <w:jc w:val="center"/>
        <w:textAlignment w:val="baseline"/>
        <w:rPr>
          <w:rFonts w:asciiTheme="minorEastAsia" w:hAnsiTheme="minorEastAsia" w:eastAsiaTheme="minorEastAsia" w:cstheme="minorEastAsia"/>
          <w:b/>
          <w:bCs/>
          <w:color w:val="auto"/>
          <w:sz w:val="20"/>
          <w:szCs w:val="20"/>
        </w:rPr>
      </w:pPr>
      <w:r>
        <w:rPr>
          <w:rFonts w:hint="eastAsia" w:asciiTheme="minorEastAsia" w:hAnsiTheme="minorEastAsia" w:eastAsiaTheme="minorEastAsia" w:cstheme="minorEastAsia"/>
          <w:b/>
          <w:bCs/>
          <w:color w:val="auto"/>
          <w:sz w:val="28"/>
          <w:szCs w:val="28"/>
        </w:rPr>
        <w:t>目录</w:t>
      </w:r>
    </w:p>
    <w:p>
      <w:pPr>
        <w:pStyle w:val="16"/>
        <w:tabs>
          <w:tab w:val="right" w:leader="dot" w:pos="9062"/>
        </w:tabs>
        <w:textAlignment w:val="baseline"/>
        <w:rPr>
          <w:rFonts w:asciiTheme="minorEastAsia" w:hAnsiTheme="minorEastAsia" w:eastAsiaTheme="minorEastAsia" w:cstheme="minorEastAsia"/>
          <w:b w:val="0"/>
          <w:bCs w:val="0"/>
          <w:caps w:val="0"/>
          <w:color w:val="auto"/>
          <w:sz w:val="32"/>
          <w:szCs w:val="32"/>
        </w:rPr>
      </w:pPr>
      <w:r>
        <w:rPr>
          <w:rFonts w:hint="eastAsia" w:asciiTheme="minorEastAsia" w:hAnsiTheme="minorEastAsia" w:eastAsiaTheme="minorEastAsia" w:cstheme="minorEastAsia"/>
          <w:b w:val="0"/>
          <w:bCs w:val="0"/>
          <w:caps w:val="0"/>
          <w:color w:val="auto"/>
          <w:sz w:val="56"/>
          <w:szCs w:val="56"/>
        </w:rPr>
        <w:fldChar w:fldCharType="begin"/>
      </w:r>
      <w:r>
        <w:rPr>
          <w:rFonts w:hint="eastAsia" w:asciiTheme="minorEastAsia" w:hAnsiTheme="minorEastAsia" w:eastAsiaTheme="minorEastAsia" w:cstheme="minorEastAsia"/>
          <w:b w:val="0"/>
          <w:bCs w:val="0"/>
          <w:caps w:val="0"/>
          <w:color w:val="auto"/>
          <w:sz w:val="56"/>
          <w:szCs w:val="56"/>
        </w:rPr>
        <w:instrText xml:space="preserve"> TOC \o "1-3" \h \z \u </w:instrText>
      </w:r>
      <w:r>
        <w:rPr>
          <w:rFonts w:hint="eastAsia" w:asciiTheme="minorEastAsia" w:hAnsiTheme="minorEastAsia" w:eastAsiaTheme="minorEastAsia" w:cstheme="minorEastAsia"/>
          <w:b w:val="0"/>
          <w:bCs w:val="0"/>
          <w:caps w:val="0"/>
          <w:color w:val="auto"/>
          <w:sz w:val="56"/>
          <w:szCs w:val="56"/>
        </w:rPr>
        <w:fldChar w:fldCharType="separate"/>
      </w:r>
      <w:r>
        <w:rPr>
          <w:color w:val="auto"/>
        </w:rPr>
        <w:fldChar w:fldCharType="begin"/>
      </w:r>
      <w:r>
        <w:rPr>
          <w:color w:val="auto"/>
        </w:rPr>
        <w:instrText xml:space="preserve"> HYPERLINK \l "_Toc36811825" </w:instrText>
      </w:r>
      <w:r>
        <w:rPr>
          <w:color w:val="auto"/>
        </w:rPr>
        <w:fldChar w:fldCharType="separate"/>
      </w:r>
      <w:r>
        <w:rPr>
          <w:rStyle w:val="28"/>
          <w:rFonts w:hint="eastAsia" w:asciiTheme="minorEastAsia" w:hAnsiTheme="minorEastAsia" w:eastAsiaTheme="minorEastAsia" w:cstheme="minorEastAsia"/>
          <w:b w:val="0"/>
          <w:bCs w:val="0"/>
          <w:color w:val="auto"/>
          <w:sz w:val="28"/>
          <w:szCs w:val="28"/>
        </w:rPr>
        <w:t>第一章竞争性磋商邀请</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aps w:val="0"/>
          <w:color w:val="auto"/>
          <w:sz w:val="28"/>
          <w:szCs w:val="28"/>
        </w:rPr>
        <w:fldChar w:fldCharType="begin"/>
      </w:r>
      <w:r>
        <w:rPr>
          <w:rFonts w:hint="eastAsia" w:asciiTheme="minorEastAsia" w:hAnsiTheme="minorEastAsia" w:eastAsiaTheme="minorEastAsia" w:cstheme="minorEastAsia"/>
          <w:b w:val="0"/>
          <w:bCs w:val="0"/>
          <w:caps w:val="0"/>
          <w:color w:val="auto"/>
          <w:sz w:val="28"/>
          <w:szCs w:val="28"/>
        </w:rPr>
        <w:instrText xml:space="preserve"> PAGEREF _Toc36811825 \h </w:instrText>
      </w:r>
      <w:r>
        <w:rPr>
          <w:rFonts w:hint="eastAsia" w:asciiTheme="minorEastAsia" w:hAnsiTheme="minorEastAsia" w:eastAsiaTheme="minorEastAsia" w:cstheme="minorEastAsia"/>
          <w:b w:val="0"/>
          <w:bCs w:val="0"/>
          <w:caps w:val="0"/>
          <w:color w:val="auto"/>
          <w:sz w:val="28"/>
          <w:szCs w:val="28"/>
        </w:rPr>
        <w:fldChar w:fldCharType="separate"/>
      </w:r>
      <w:r>
        <w:rPr>
          <w:rFonts w:hint="eastAsia" w:asciiTheme="minorEastAsia" w:hAnsiTheme="minorEastAsia" w:eastAsiaTheme="minorEastAsia" w:cstheme="minorEastAsia"/>
          <w:b w:val="0"/>
          <w:bCs w:val="0"/>
          <w:caps w:val="0"/>
          <w:color w:val="auto"/>
          <w:sz w:val="28"/>
          <w:szCs w:val="28"/>
        </w:rPr>
        <w:t>2</w:t>
      </w:r>
      <w:r>
        <w:rPr>
          <w:rFonts w:hint="eastAsia" w:asciiTheme="minorEastAsia" w:hAnsiTheme="minorEastAsia" w:eastAsiaTheme="minorEastAsia" w:cstheme="minorEastAsia"/>
          <w:b w:val="0"/>
          <w:bCs w:val="0"/>
          <w:caps w:val="0"/>
          <w:color w:val="auto"/>
          <w:sz w:val="28"/>
          <w:szCs w:val="28"/>
        </w:rPr>
        <w:fldChar w:fldCharType="end"/>
      </w:r>
      <w:r>
        <w:rPr>
          <w:rFonts w:hint="eastAsia" w:asciiTheme="minorEastAsia" w:hAnsiTheme="minorEastAsia" w:eastAsiaTheme="minorEastAsia" w:cstheme="minorEastAsia"/>
          <w:b w:val="0"/>
          <w:bCs w:val="0"/>
          <w:caps w:val="0"/>
          <w:color w:val="auto"/>
          <w:sz w:val="28"/>
          <w:szCs w:val="28"/>
        </w:rPr>
        <w:fldChar w:fldCharType="end"/>
      </w:r>
    </w:p>
    <w:p>
      <w:pPr>
        <w:pStyle w:val="17"/>
        <w:tabs>
          <w:tab w:val="right" w:leader="dot" w:pos="9062"/>
        </w:tabs>
        <w:textAlignment w:val="baseline"/>
        <w:rPr>
          <w:rFonts w:asciiTheme="minorEastAsia" w:hAnsiTheme="minorEastAsia" w:eastAsiaTheme="minorEastAsia" w:cstheme="minorEastAsia"/>
          <w:color w:val="auto"/>
          <w:sz w:val="32"/>
          <w:szCs w:val="32"/>
        </w:rPr>
      </w:pPr>
      <w:r>
        <w:rPr>
          <w:color w:val="auto"/>
        </w:rPr>
        <w:fldChar w:fldCharType="begin"/>
      </w:r>
      <w:r>
        <w:rPr>
          <w:color w:val="auto"/>
        </w:rPr>
        <w:instrText xml:space="preserve"> HYPERLINK \l "_Toc36811826" </w:instrText>
      </w:r>
      <w:r>
        <w:rPr>
          <w:color w:val="auto"/>
        </w:rPr>
        <w:fldChar w:fldCharType="separate"/>
      </w:r>
      <w:r>
        <w:rPr>
          <w:rStyle w:val="28"/>
          <w:rFonts w:hint="eastAsia" w:asciiTheme="minorEastAsia" w:hAnsiTheme="minorEastAsia" w:eastAsiaTheme="minorEastAsia" w:cstheme="minorEastAsia"/>
          <w:color w:val="auto"/>
          <w:sz w:val="28"/>
          <w:szCs w:val="28"/>
        </w:rPr>
        <w:t>一、竞争性磋商邀请</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_Toc36811826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7"/>
        <w:tabs>
          <w:tab w:val="right" w:leader="dot" w:pos="9062"/>
        </w:tabs>
        <w:textAlignment w:val="baseline"/>
        <w:rPr>
          <w:rFonts w:asciiTheme="minorEastAsia" w:hAnsiTheme="minorEastAsia" w:eastAsiaTheme="minorEastAsia" w:cstheme="minorEastAsia"/>
          <w:color w:val="auto"/>
          <w:sz w:val="32"/>
          <w:szCs w:val="32"/>
        </w:rPr>
      </w:pPr>
      <w:r>
        <w:rPr>
          <w:color w:val="auto"/>
        </w:rPr>
        <w:fldChar w:fldCharType="begin"/>
      </w:r>
      <w:r>
        <w:rPr>
          <w:color w:val="auto"/>
        </w:rPr>
        <w:instrText xml:space="preserve"> HYPERLINK \l "_Toc36811827" </w:instrText>
      </w:r>
      <w:r>
        <w:rPr>
          <w:color w:val="auto"/>
        </w:rPr>
        <w:fldChar w:fldCharType="separate"/>
      </w:r>
      <w:r>
        <w:rPr>
          <w:rStyle w:val="28"/>
          <w:rFonts w:hint="eastAsia" w:asciiTheme="minorEastAsia" w:hAnsiTheme="minorEastAsia" w:eastAsiaTheme="minorEastAsia" w:cstheme="minorEastAsia"/>
          <w:color w:val="auto"/>
          <w:sz w:val="28"/>
          <w:szCs w:val="28"/>
        </w:rPr>
        <w:t>二、竞争性磋商货物（服务）一览表</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_Toc36811827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4</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6"/>
        <w:tabs>
          <w:tab w:val="right" w:leader="dot" w:pos="9062"/>
        </w:tabs>
        <w:textAlignment w:val="baseline"/>
        <w:rPr>
          <w:rFonts w:asciiTheme="minorEastAsia" w:hAnsiTheme="minorEastAsia" w:eastAsiaTheme="minorEastAsia" w:cstheme="minorEastAsia"/>
          <w:b w:val="0"/>
          <w:bCs w:val="0"/>
          <w:caps w:val="0"/>
          <w:color w:val="auto"/>
          <w:sz w:val="32"/>
          <w:szCs w:val="32"/>
        </w:rPr>
      </w:pPr>
      <w:r>
        <w:rPr>
          <w:color w:val="auto"/>
        </w:rPr>
        <w:fldChar w:fldCharType="begin"/>
      </w:r>
      <w:r>
        <w:rPr>
          <w:color w:val="auto"/>
        </w:rPr>
        <w:instrText xml:space="preserve"> HYPERLINK \l "_Toc36811828" </w:instrText>
      </w:r>
      <w:r>
        <w:rPr>
          <w:color w:val="auto"/>
        </w:rPr>
        <w:fldChar w:fldCharType="separate"/>
      </w:r>
      <w:r>
        <w:rPr>
          <w:rStyle w:val="28"/>
          <w:rFonts w:hint="eastAsia" w:asciiTheme="minorEastAsia" w:hAnsiTheme="minorEastAsia" w:eastAsiaTheme="minorEastAsia" w:cstheme="minorEastAsia"/>
          <w:b w:val="0"/>
          <w:bCs w:val="0"/>
          <w:color w:val="auto"/>
          <w:sz w:val="28"/>
          <w:szCs w:val="28"/>
        </w:rPr>
        <w:t>第二章供应商须知</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aps w:val="0"/>
          <w:color w:val="auto"/>
          <w:sz w:val="28"/>
          <w:szCs w:val="28"/>
        </w:rPr>
        <w:fldChar w:fldCharType="begin"/>
      </w:r>
      <w:r>
        <w:rPr>
          <w:rFonts w:hint="eastAsia" w:asciiTheme="minorEastAsia" w:hAnsiTheme="minorEastAsia" w:eastAsiaTheme="minorEastAsia" w:cstheme="minorEastAsia"/>
          <w:b w:val="0"/>
          <w:bCs w:val="0"/>
          <w:caps w:val="0"/>
          <w:color w:val="auto"/>
          <w:sz w:val="28"/>
          <w:szCs w:val="28"/>
        </w:rPr>
        <w:instrText xml:space="preserve"> PAGEREF _Toc36811828 \h </w:instrText>
      </w:r>
      <w:r>
        <w:rPr>
          <w:rFonts w:hint="eastAsia" w:asciiTheme="minorEastAsia" w:hAnsiTheme="minorEastAsia" w:eastAsiaTheme="minorEastAsia" w:cstheme="minorEastAsia"/>
          <w:b w:val="0"/>
          <w:bCs w:val="0"/>
          <w:caps w:val="0"/>
          <w:color w:val="auto"/>
          <w:sz w:val="28"/>
          <w:szCs w:val="28"/>
        </w:rPr>
        <w:fldChar w:fldCharType="separate"/>
      </w:r>
      <w:r>
        <w:rPr>
          <w:rFonts w:hint="eastAsia" w:asciiTheme="minorEastAsia" w:hAnsiTheme="minorEastAsia" w:eastAsiaTheme="minorEastAsia" w:cstheme="minorEastAsia"/>
          <w:b w:val="0"/>
          <w:bCs w:val="0"/>
          <w:caps w:val="0"/>
          <w:color w:val="auto"/>
          <w:sz w:val="28"/>
          <w:szCs w:val="28"/>
        </w:rPr>
        <w:t>5</w:t>
      </w:r>
      <w:r>
        <w:rPr>
          <w:rFonts w:hint="eastAsia" w:asciiTheme="minorEastAsia" w:hAnsiTheme="minorEastAsia" w:eastAsiaTheme="minorEastAsia" w:cstheme="minorEastAsia"/>
          <w:b w:val="0"/>
          <w:bCs w:val="0"/>
          <w:caps w:val="0"/>
          <w:color w:val="auto"/>
          <w:sz w:val="28"/>
          <w:szCs w:val="28"/>
        </w:rPr>
        <w:fldChar w:fldCharType="end"/>
      </w:r>
      <w:r>
        <w:rPr>
          <w:rFonts w:hint="eastAsia" w:asciiTheme="minorEastAsia" w:hAnsiTheme="minorEastAsia" w:eastAsiaTheme="minorEastAsia" w:cstheme="minorEastAsia"/>
          <w:b w:val="0"/>
          <w:bCs w:val="0"/>
          <w:caps w:val="0"/>
          <w:color w:val="auto"/>
          <w:sz w:val="28"/>
          <w:szCs w:val="28"/>
        </w:rPr>
        <w:fldChar w:fldCharType="end"/>
      </w:r>
    </w:p>
    <w:p>
      <w:pPr>
        <w:pStyle w:val="17"/>
        <w:tabs>
          <w:tab w:val="right" w:leader="dot" w:pos="9062"/>
        </w:tabs>
        <w:textAlignment w:val="baseline"/>
        <w:rPr>
          <w:rFonts w:asciiTheme="minorEastAsia" w:hAnsiTheme="minorEastAsia" w:eastAsiaTheme="minorEastAsia" w:cstheme="minorEastAsia"/>
          <w:color w:val="auto"/>
          <w:sz w:val="32"/>
          <w:szCs w:val="32"/>
        </w:rPr>
      </w:pPr>
      <w:r>
        <w:rPr>
          <w:color w:val="auto"/>
        </w:rPr>
        <w:fldChar w:fldCharType="begin"/>
      </w:r>
      <w:r>
        <w:rPr>
          <w:color w:val="auto"/>
        </w:rPr>
        <w:instrText xml:space="preserve"> HYPERLINK \l "_Toc36811829" </w:instrText>
      </w:r>
      <w:r>
        <w:rPr>
          <w:color w:val="auto"/>
        </w:rPr>
        <w:fldChar w:fldCharType="separate"/>
      </w:r>
      <w:r>
        <w:rPr>
          <w:rStyle w:val="28"/>
          <w:rFonts w:hint="eastAsia" w:asciiTheme="minorEastAsia" w:hAnsiTheme="minorEastAsia" w:eastAsiaTheme="minorEastAsia" w:cstheme="minorEastAsia"/>
          <w:color w:val="auto"/>
          <w:sz w:val="28"/>
          <w:szCs w:val="28"/>
        </w:rPr>
        <w:t>供应商须知前附表</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begin"/>
      </w:r>
      <w:r>
        <w:rPr>
          <w:rFonts w:hint="eastAsia" w:asciiTheme="minorEastAsia" w:hAnsiTheme="minorEastAsia" w:eastAsiaTheme="minorEastAsia" w:cstheme="minorEastAsia"/>
          <w:color w:val="auto"/>
          <w:sz w:val="28"/>
          <w:szCs w:val="28"/>
        </w:rPr>
        <w:instrText xml:space="preserve"> PAGEREF _Toc36811829 \h </w:instrText>
      </w:r>
      <w:r>
        <w:rPr>
          <w:rFonts w:hint="eastAsia" w:asciiTheme="minorEastAsia" w:hAnsiTheme="minorEastAsia" w:eastAsiaTheme="minorEastAsia" w:cstheme="minorEastAsia"/>
          <w:color w:val="auto"/>
          <w:sz w:val="28"/>
          <w:szCs w:val="28"/>
        </w:rPr>
        <w:fldChar w:fldCharType="separate"/>
      </w:r>
      <w:r>
        <w:rPr>
          <w:rFonts w:hint="eastAsia" w:asciiTheme="minorEastAsia" w:hAnsiTheme="minorEastAsia" w:eastAsiaTheme="minorEastAsia" w:cstheme="minorEastAsia"/>
          <w:color w:val="auto"/>
          <w:sz w:val="28"/>
          <w:szCs w:val="28"/>
        </w:rPr>
        <w:t>5</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rPr>
        <w:fldChar w:fldCharType="end"/>
      </w:r>
    </w:p>
    <w:p>
      <w:pPr>
        <w:pStyle w:val="17"/>
        <w:tabs>
          <w:tab w:val="right" w:leader="dot" w:pos="9062"/>
        </w:tabs>
        <w:textAlignment w:val="baseline"/>
        <w:rPr>
          <w:rFonts w:asciiTheme="minorEastAsia" w:hAnsiTheme="minorEastAsia" w:eastAsiaTheme="minorEastAsia" w:cstheme="minorEastAsia"/>
          <w:color w:val="auto"/>
          <w:sz w:val="32"/>
          <w:szCs w:val="32"/>
        </w:rPr>
      </w:pPr>
      <w:r>
        <w:rPr>
          <w:color w:val="auto"/>
        </w:rPr>
        <w:fldChar w:fldCharType="begin"/>
      </w:r>
      <w:r>
        <w:rPr>
          <w:color w:val="auto"/>
        </w:rPr>
        <w:instrText xml:space="preserve"> HYPERLINK \l "_Toc36811830" </w:instrText>
      </w:r>
      <w:r>
        <w:rPr>
          <w:color w:val="auto"/>
        </w:rPr>
        <w:fldChar w:fldCharType="separate"/>
      </w:r>
      <w:r>
        <w:rPr>
          <w:rStyle w:val="28"/>
          <w:rFonts w:hint="eastAsia" w:asciiTheme="minorEastAsia" w:hAnsiTheme="minorEastAsia" w:eastAsiaTheme="minorEastAsia" w:cstheme="minorEastAsia"/>
          <w:color w:val="auto"/>
          <w:sz w:val="28"/>
          <w:szCs w:val="28"/>
        </w:rPr>
        <w:t>一、说明</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t>6</w:t>
      </w:r>
      <w:r>
        <w:rPr>
          <w:rFonts w:hint="eastAsia" w:asciiTheme="minorEastAsia" w:hAnsiTheme="minorEastAsia" w:eastAsiaTheme="minorEastAsia" w:cstheme="minorEastAsia"/>
          <w:color w:val="auto"/>
          <w:sz w:val="28"/>
          <w:szCs w:val="28"/>
        </w:rPr>
        <w:fldChar w:fldCharType="end"/>
      </w:r>
    </w:p>
    <w:p>
      <w:pPr>
        <w:pStyle w:val="17"/>
        <w:tabs>
          <w:tab w:val="right" w:leader="dot" w:pos="9062"/>
        </w:tabs>
        <w:textAlignment w:val="baseline"/>
        <w:rPr>
          <w:rFonts w:hint="default" w:asciiTheme="minorEastAsia" w:hAnsiTheme="minorEastAsia" w:eastAsiaTheme="minorEastAsia" w:cstheme="minorEastAsia"/>
          <w:color w:val="auto"/>
          <w:sz w:val="32"/>
          <w:szCs w:val="32"/>
          <w:lang w:val="en-US" w:eastAsia="zh-CN"/>
        </w:rPr>
      </w:pPr>
      <w:r>
        <w:rPr>
          <w:color w:val="auto"/>
        </w:rPr>
        <w:fldChar w:fldCharType="begin"/>
      </w:r>
      <w:r>
        <w:rPr>
          <w:color w:val="auto"/>
        </w:rPr>
        <w:instrText xml:space="preserve"> HYPERLINK \l "_Toc36811831" </w:instrText>
      </w:r>
      <w:r>
        <w:rPr>
          <w:color w:val="auto"/>
        </w:rPr>
        <w:fldChar w:fldCharType="separate"/>
      </w:r>
      <w:r>
        <w:rPr>
          <w:rStyle w:val="28"/>
          <w:rFonts w:hint="eastAsia" w:asciiTheme="minorEastAsia" w:hAnsiTheme="minorEastAsia" w:eastAsiaTheme="minorEastAsia" w:cstheme="minorEastAsia"/>
          <w:color w:val="auto"/>
          <w:sz w:val="28"/>
          <w:szCs w:val="28"/>
        </w:rPr>
        <w:t>二、竞争性磋商采购文件</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lang w:val="en-US" w:eastAsia="zh-CN"/>
        </w:rPr>
        <w:t>11</w:t>
      </w:r>
    </w:p>
    <w:p>
      <w:pPr>
        <w:pStyle w:val="17"/>
        <w:tabs>
          <w:tab w:val="right" w:leader="dot" w:pos="9062"/>
        </w:tabs>
        <w:textAlignment w:val="baseline"/>
        <w:rPr>
          <w:rFonts w:hint="eastAsia" w:asciiTheme="minorEastAsia" w:hAnsiTheme="minorEastAsia" w:eastAsiaTheme="minorEastAsia" w:cstheme="minorEastAsia"/>
          <w:color w:val="auto"/>
          <w:sz w:val="32"/>
          <w:szCs w:val="32"/>
          <w:lang w:eastAsia="zh-CN"/>
        </w:rPr>
      </w:pPr>
      <w:r>
        <w:rPr>
          <w:color w:val="auto"/>
        </w:rPr>
        <w:fldChar w:fldCharType="begin"/>
      </w:r>
      <w:r>
        <w:rPr>
          <w:color w:val="auto"/>
        </w:rPr>
        <w:instrText xml:space="preserve"> HYPERLINK \l "_Toc36811832" </w:instrText>
      </w:r>
      <w:r>
        <w:rPr>
          <w:color w:val="auto"/>
        </w:rPr>
        <w:fldChar w:fldCharType="separate"/>
      </w:r>
      <w:r>
        <w:rPr>
          <w:rStyle w:val="28"/>
          <w:rFonts w:hint="eastAsia" w:asciiTheme="minorEastAsia" w:hAnsiTheme="minorEastAsia" w:eastAsiaTheme="minorEastAsia" w:cstheme="minorEastAsia"/>
          <w:color w:val="auto"/>
          <w:sz w:val="28"/>
          <w:szCs w:val="28"/>
        </w:rPr>
        <w:t>三、响应文件的编写</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lang w:val="en-US" w:eastAsia="zh-CN"/>
        </w:rPr>
        <w:t>3</w:t>
      </w:r>
    </w:p>
    <w:p>
      <w:pPr>
        <w:pStyle w:val="17"/>
        <w:tabs>
          <w:tab w:val="right" w:leader="dot" w:pos="9062"/>
        </w:tabs>
        <w:textAlignment w:val="baseline"/>
        <w:rPr>
          <w:rFonts w:hint="eastAsia" w:asciiTheme="minorEastAsia" w:hAnsiTheme="minorEastAsia" w:eastAsiaTheme="minorEastAsia" w:cstheme="minorEastAsia"/>
          <w:color w:val="auto"/>
          <w:sz w:val="32"/>
          <w:szCs w:val="32"/>
          <w:lang w:eastAsia="zh-CN"/>
        </w:rPr>
      </w:pPr>
      <w:r>
        <w:rPr>
          <w:color w:val="auto"/>
        </w:rPr>
        <w:fldChar w:fldCharType="begin"/>
      </w:r>
      <w:r>
        <w:rPr>
          <w:color w:val="auto"/>
        </w:rPr>
        <w:instrText xml:space="preserve"> HYPERLINK \l "_Toc36811833" </w:instrText>
      </w:r>
      <w:r>
        <w:rPr>
          <w:color w:val="auto"/>
        </w:rPr>
        <w:fldChar w:fldCharType="separate"/>
      </w:r>
      <w:r>
        <w:rPr>
          <w:rStyle w:val="28"/>
          <w:rFonts w:hint="eastAsia" w:asciiTheme="minorEastAsia" w:hAnsiTheme="minorEastAsia" w:eastAsiaTheme="minorEastAsia" w:cstheme="minorEastAsia"/>
          <w:color w:val="auto"/>
          <w:sz w:val="28"/>
          <w:szCs w:val="28"/>
        </w:rPr>
        <w:t>四、磋商响应文件的递交</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lang w:val="en-US" w:eastAsia="zh-CN"/>
        </w:rPr>
        <w:t>6</w:t>
      </w:r>
    </w:p>
    <w:p>
      <w:pPr>
        <w:pStyle w:val="17"/>
        <w:tabs>
          <w:tab w:val="right" w:leader="dot" w:pos="9062"/>
        </w:tabs>
        <w:textAlignment w:val="baseline"/>
        <w:rPr>
          <w:rFonts w:hint="eastAsia" w:asciiTheme="minorEastAsia" w:hAnsiTheme="minorEastAsia" w:eastAsiaTheme="minorEastAsia" w:cstheme="minorEastAsia"/>
          <w:color w:val="auto"/>
          <w:sz w:val="32"/>
          <w:szCs w:val="32"/>
          <w:lang w:eastAsia="zh-CN"/>
        </w:rPr>
      </w:pPr>
      <w:r>
        <w:rPr>
          <w:color w:val="auto"/>
        </w:rPr>
        <w:fldChar w:fldCharType="begin"/>
      </w:r>
      <w:r>
        <w:rPr>
          <w:color w:val="auto"/>
        </w:rPr>
        <w:instrText xml:space="preserve"> HYPERLINK \l "_Toc36811834" </w:instrText>
      </w:r>
      <w:r>
        <w:rPr>
          <w:color w:val="auto"/>
        </w:rPr>
        <w:fldChar w:fldCharType="separate"/>
      </w:r>
      <w:r>
        <w:rPr>
          <w:rStyle w:val="28"/>
          <w:rFonts w:hint="eastAsia" w:asciiTheme="minorEastAsia" w:hAnsiTheme="minorEastAsia" w:eastAsiaTheme="minorEastAsia" w:cstheme="minorEastAsia"/>
          <w:color w:val="auto"/>
          <w:sz w:val="28"/>
          <w:szCs w:val="28"/>
        </w:rPr>
        <w:t>五、竞争性磋商</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rPr>
        <w:t>1</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lang w:val="en-US" w:eastAsia="zh-CN"/>
        </w:rPr>
        <w:t>7</w:t>
      </w:r>
    </w:p>
    <w:p>
      <w:pPr>
        <w:pStyle w:val="17"/>
        <w:tabs>
          <w:tab w:val="right" w:leader="dot" w:pos="9062"/>
        </w:tabs>
        <w:textAlignment w:val="baseline"/>
        <w:rPr>
          <w:rFonts w:hint="eastAsia" w:asciiTheme="minorEastAsia" w:hAnsiTheme="minorEastAsia" w:eastAsiaTheme="minorEastAsia" w:cstheme="minorEastAsia"/>
          <w:color w:val="auto"/>
          <w:sz w:val="32"/>
          <w:szCs w:val="32"/>
          <w:lang w:val="en-US" w:eastAsia="zh-CN"/>
        </w:rPr>
      </w:pPr>
      <w:r>
        <w:rPr>
          <w:color w:val="auto"/>
        </w:rPr>
        <w:fldChar w:fldCharType="begin"/>
      </w:r>
      <w:r>
        <w:rPr>
          <w:color w:val="auto"/>
        </w:rPr>
        <w:instrText xml:space="preserve"> HYPERLINK \l "_Toc36811835" </w:instrText>
      </w:r>
      <w:r>
        <w:rPr>
          <w:color w:val="auto"/>
        </w:rPr>
        <w:fldChar w:fldCharType="separate"/>
      </w:r>
      <w:r>
        <w:rPr>
          <w:rStyle w:val="28"/>
          <w:rFonts w:hint="eastAsia" w:asciiTheme="minorEastAsia" w:hAnsiTheme="minorEastAsia" w:eastAsiaTheme="minorEastAsia" w:cstheme="minorEastAsia"/>
          <w:color w:val="auto"/>
          <w:sz w:val="28"/>
          <w:szCs w:val="28"/>
        </w:rPr>
        <w:t>六、确定成交供应商磋商与签订合同</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lang w:val="en-US" w:eastAsia="zh-CN"/>
        </w:rPr>
        <w:t>3</w:t>
      </w:r>
    </w:p>
    <w:p>
      <w:pPr>
        <w:pStyle w:val="17"/>
        <w:tabs>
          <w:tab w:val="right" w:leader="dot" w:pos="9062"/>
        </w:tabs>
        <w:textAlignment w:val="baseline"/>
        <w:rPr>
          <w:rFonts w:hint="default" w:asciiTheme="minorEastAsia" w:hAnsiTheme="minorEastAsia" w:eastAsiaTheme="minorEastAsia" w:cstheme="minorEastAsia"/>
          <w:color w:val="auto"/>
          <w:sz w:val="32"/>
          <w:szCs w:val="32"/>
          <w:lang w:val="en-US" w:eastAsia="zh-CN"/>
        </w:rPr>
      </w:pPr>
      <w:r>
        <w:rPr>
          <w:color w:val="auto"/>
        </w:rPr>
        <w:fldChar w:fldCharType="begin"/>
      </w:r>
      <w:r>
        <w:rPr>
          <w:color w:val="auto"/>
        </w:rPr>
        <w:instrText xml:space="preserve"> HYPERLINK \l "_Toc36811836" </w:instrText>
      </w:r>
      <w:r>
        <w:rPr>
          <w:color w:val="auto"/>
        </w:rPr>
        <w:fldChar w:fldCharType="separate"/>
      </w:r>
      <w:r>
        <w:rPr>
          <w:rStyle w:val="28"/>
          <w:rFonts w:hint="eastAsia" w:asciiTheme="minorEastAsia" w:hAnsiTheme="minorEastAsia" w:eastAsiaTheme="minorEastAsia" w:cstheme="minorEastAsia"/>
          <w:color w:val="auto"/>
          <w:sz w:val="28"/>
          <w:szCs w:val="28"/>
        </w:rPr>
        <w:t>七、询问、质疑</w:t>
      </w:r>
      <w:r>
        <w:rPr>
          <w:rFonts w:hint="eastAsia" w:asciiTheme="minorEastAsia" w:hAnsiTheme="minorEastAsia" w:eastAsiaTheme="minorEastAsia" w:cstheme="minorEastAsia"/>
          <w:color w:val="auto"/>
          <w:sz w:val="28"/>
          <w:szCs w:val="28"/>
        </w:rPr>
        <w:tab/>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rPr>
        <w:fldChar w:fldCharType="end"/>
      </w:r>
      <w:r>
        <w:rPr>
          <w:rFonts w:hint="eastAsia" w:asciiTheme="minorEastAsia" w:hAnsiTheme="minorEastAsia" w:eastAsiaTheme="minorEastAsia" w:cstheme="minorEastAsia"/>
          <w:color w:val="auto"/>
          <w:sz w:val="28"/>
          <w:szCs w:val="28"/>
          <w:lang w:val="en-US" w:eastAsia="zh-CN"/>
        </w:rPr>
        <w:t>4</w:t>
      </w:r>
    </w:p>
    <w:p>
      <w:pPr>
        <w:pStyle w:val="16"/>
        <w:tabs>
          <w:tab w:val="right" w:leader="dot" w:pos="9062"/>
        </w:tabs>
        <w:textAlignment w:val="baseline"/>
        <w:rPr>
          <w:rFonts w:asciiTheme="minorEastAsia" w:hAnsiTheme="minorEastAsia" w:eastAsiaTheme="minorEastAsia" w:cstheme="minorEastAsia"/>
          <w:b w:val="0"/>
          <w:bCs w:val="0"/>
          <w:caps w:val="0"/>
          <w:color w:val="auto"/>
          <w:sz w:val="32"/>
          <w:szCs w:val="32"/>
        </w:rPr>
      </w:pPr>
      <w:r>
        <w:rPr>
          <w:color w:val="auto"/>
        </w:rPr>
        <w:fldChar w:fldCharType="begin"/>
      </w:r>
      <w:r>
        <w:rPr>
          <w:color w:val="auto"/>
        </w:rPr>
        <w:instrText xml:space="preserve"> HYPERLINK \l "_Toc36811837" </w:instrText>
      </w:r>
      <w:r>
        <w:rPr>
          <w:color w:val="auto"/>
        </w:rPr>
        <w:fldChar w:fldCharType="separate"/>
      </w:r>
      <w:r>
        <w:rPr>
          <w:rStyle w:val="28"/>
          <w:rFonts w:hint="eastAsia" w:asciiTheme="minorEastAsia" w:hAnsiTheme="minorEastAsia" w:eastAsiaTheme="minorEastAsia" w:cstheme="minorEastAsia"/>
          <w:b w:val="0"/>
          <w:bCs w:val="0"/>
          <w:color w:val="auto"/>
          <w:sz w:val="28"/>
          <w:szCs w:val="28"/>
        </w:rPr>
        <w:t>第三章采购项目内容及要求</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t>2</w:t>
      </w:r>
      <w:r>
        <w:rPr>
          <w:rFonts w:hint="eastAsia" w:asciiTheme="minorEastAsia" w:hAnsiTheme="minorEastAsia" w:eastAsiaTheme="minorEastAsia" w:cstheme="minorEastAsia"/>
          <w:b w:val="0"/>
          <w:bCs w:val="0"/>
          <w:color w:val="auto"/>
          <w:sz w:val="28"/>
          <w:szCs w:val="28"/>
          <w:lang w:val="en-US" w:eastAsia="zh-CN"/>
        </w:rPr>
        <w:t>7</w:t>
      </w:r>
      <w:r>
        <w:rPr>
          <w:rFonts w:hint="eastAsia" w:asciiTheme="minorEastAsia" w:hAnsiTheme="minorEastAsia" w:eastAsiaTheme="minorEastAsia" w:cstheme="minorEastAsia"/>
          <w:b w:val="0"/>
          <w:bCs w:val="0"/>
          <w:color w:val="auto"/>
          <w:sz w:val="28"/>
          <w:szCs w:val="28"/>
        </w:rPr>
        <w:fldChar w:fldCharType="end"/>
      </w:r>
    </w:p>
    <w:p>
      <w:pPr>
        <w:pStyle w:val="16"/>
        <w:tabs>
          <w:tab w:val="right" w:leader="dot" w:pos="9062"/>
        </w:tabs>
        <w:textAlignment w:val="baseline"/>
        <w:rPr>
          <w:rFonts w:asciiTheme="minorEastAsia" w:hAnsiTheme="minorEastAsia" w:eastAsiaTheme="minorEastAsia" w:cstheme="minorEastAsia"/>
          <w:b w:val="0"/>
          <w:bCs w:val="0"/>
          <w:caps w:val="0"/>
          <w:color w:val="auto"/>
          <w:sz w:val="32"/>
          <w:szCs w:val="32"/>
        </w:rPr>
      </w:pPr>
      <w:r>
        <w:rPr>
          <w:color w:val="auto"/>
        </w:rPr>
        <w:fldChar w:fldCharType="begin"/>
      </w:r>
      <w:r>
        <w:rPr>
          <w:color w:val="auto"/>
        </w:rPr>
        <w:instrText xml:space="preserve"> HYPERLINK \l "_Toc36811841" </w:instrText>
      </w:r>
      <w:r>
        <w:rPr>
          <w:color w:val="auto"/>
        </w:rPr>
        <w:fldChar w:fldCharType="separate"/>
      </w:r>
      <w:r>
        <w:rPr>
          <w:rStyle w:val="28"/>
          <w:rFonts w:hint="eastAsia" w:asciiTheme="minorEastAsia" w:hAnsiTheme="minorEastAsia" w:eastAsiaTheme="minorEastAsia" w:cstheme="minorEastAsia"/>
          <w:b w:val="0"/>
          <w:bCs w:val="0"/>
          <w:color w:val="auto"/>
          <w:sz w:val="28"/>
          <w:szCs w:val="28"/>
        </w:rPr>
        <w:t>第四章合同</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lang w:val="en-US" w:eastAsia="zh-CN"/>
        </w:rPr>
        <w:t>3</w:t>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lang w:val="en-US" w:eastAsia="zh-CN"/>
        </w:rPr>
        <w:t>5</w:t>
      </w:r>
    </w:p>
    <w:p>
      <w:pPr>
        <w:pStyle w:val="16"/>
        <w:tabs>
          <w:tab w:val="right" w:leader="dot" w:pos="9062"/>
        </w:tabs>
        <w:textAlignment w:val="baseline"/>
        <w:rPr>
          <w:rFonts w:asciiTheme="minorEastAsia" w:hAnsiTheme="minorEastAsia" w:eastAsiaTheme="minorEastAsia" w:cstheme="minorEastAsia"/>
          <w:b w:val="0"/>
          <w:bCs w:val="0"/>
          <w:caps w:val="0"/>
          <w:color w:val="auto"/>
          <w:sz w:val="32"/>
          <w:szCs w:val="32"/>
        </w:rPr>
      </w:pPr>
      <w:r>
        <w:rPr>
          <w:color w:val="auto"/>
        </w:rPr>
        <w:fldChar w:fldCharType="begin"/>
      </w:r>
      <w:r>
        <w:rPr>
          <w:color w:val="auto"/>
        </w:rPr>
        <w:instrText xml:space="preserve"> HYPERLINK \l "_Toc36811842" </w:instrText>
      </w:r>
      <w:r>
        <w:rPr>
          <w:color w:val="auto"/>
        </w:rPr>
        <w:fldChar w:fldCharType="separate"/>
      </w:r>
      <w:r>
        <w:rPr>
          <w:rStyle w:val="28"/>
          <w:rFonts w:hint="eastAsia" w:asciiTheme="minorEastAsia" w:hAnsiTheme="minorEastAsia" w:eastAsiaTheme="minorEastAsia" w:cstheme="minorEastAsia"/>
          <w:b w:val="0"/>
          <w:bCs w:val="0"/>
          <w:color w:val="auto"/>
          <w:sz w:val="28"/>
          <w:szCs w:val="28"/>
        </w:rPr>
        <w:t>第五章磋商响应文件格式</w:t>
      </w:r>
      <w:r>
        <w:rPr>
          <w:rFonts w:hint="eastAsia" w:asciiTheme="minorEastAsia" w:hAnsiTheme="minorEastAsia" w:eastAsiaTheme="minorEastAsia" w:cstheme="minorEastAsia"/>
          <w:b w:val="0"/>
          <w:bCs w:val="0"/>
          <w:color w:val="auto"/>
          <w:sz w:val="28"/>
          <w:szCs w:val="28"/>
        </w:rPr>
        <w:tab/>
      </w:r>
      <w:r>
        <w:rPr>
          <w:rFonts w:hint="eastAsia" w:asciiTheme="minorEastAsia" w:hAnsiTheme="minorEastAsia" w:eastAsiaTheme="minorEastAsia" w:cstheme="minorEastAsia"/>
          <w:b w:val="0"/>
          <w:bCs w:val="0"/>
          <w:color w:val="auto"/>
          <w:sz w:val="28"/>
          <w:szCs w:val="28"/>
        </w:rPr>
        <w:fldChar w:fldCharType="end"/>
      </w:r>
      <w:r>
        <w:rPr>
          <w:rFonts w:hint="eastAsia" w:asciiTheme="minorEastAsia" w:hAnsiTheme="minorEastAsia" w:eastAsiaTheme="minorEastAsia" w:cstheme="minorEastAsia"/>
          <w:b w:val="0"/>
          <w:bCs w:val="0"/>
          <w:color w:val="auto"/>
          <w:sz w:val="28"/>
          <w:szCs w:val="28"/>
          <w:lang w:val="en-US" w:eastAsia="zh-CN"/>
        </w:rPr>
        <w:t>4</w:t>
      </w:r>
      <w:r>
        <w:rPr>
          <w:rFonts w:hint="eastAsia" w:asciiTheme="minorEastAsia" w:hAnsiTheme="minorEastAsia" w:eastAsiaTheme="minorEastAsia" w:cstheme="minorEastAsia"/>
          <w:b w:val="0"/>
          <w:bCs w:val="0"/>
          <w:color w:val="auto"/>
          <w:sz w:val="28"/>
          <w:szCs w:val="28"/>
        </w:rPr>
        <w:t>5</w:t>
      </w:r>
    </w:p>
    <w:p>
      <w:pPr>
        <w:textAlignment w:val="baseline"/>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b/>
          <w:bCs/>
          <w:caps/>
          <w:color w:val="auto"/>
          <w:sz w:val="56"/>
          <w:szCs w:val="56"/>
        </w:rPr>
        <w:fldChar w:fldCharType="end"/>
      </w:r>
    </w:p>
    <w:p>
      <w:pPr>
        <w:pStyle w:val="11"/>
        <w:spacing w:line="360" w:lineRule="auto"/>
        <w:ind w:firstLine="643" w:firstLineChars="200"/>
        <w:textAlignment w:val="baseline"/>
        <w:rPr>
          <w:rFonts w:asciiTheme="minorEastAsia" w:hAnsiTheme="minorEastAsia" w:eastAsiaTheme="minorEastAsia" w:cstheme="minorEastAsia"/>
          <w:b/>
          <w:bCs/>
          <w:color w:val="auto"/>
          <w:sz w:val="32"/>
          <w:szCs w:val="32"/>
        </w:rPr>
      </w:pPr>
    </w:p>
    <w:p>
      <w:pPr>
        <w:spacing w:line="360" w:lineRule="auto"/>
        <w:ind w:left="482"/>
        <w:textAlignment w:val="baseline"/>
        <w:rPr>
          <w:rFonts w:asciiTheme="minorEastAsia" w:hAnsiTheme="minorEastAsia" w:eastAsiaTheme="minorEastAsia" w:cstheme="minorEastAsia"/>
          <w:b/>
          <w:bCs/>
          <w:color w:val="auto"/>
          <w:sz w:val="24"/>
          <w:szCs w:val="24"/>
        </w:rPr>
        <w:sectPr>
          <w:headerReference r:id="rId5" w:type="default"/>
          <w:pgSz w:w="11907" w:h="16840"/>
          <w:pgMar w:top="1440" w:right="1800" w:bottom="1440" w:left="1800" w:header="851" w:footer="992" w:gutter="0"/>
          <w:cols w:space="720" w:num="1"/>
          <w:docGrid w:type="lines" w:linePitch="323" w:charSpace="0"/>
        </w:sectPr>
      </w:pPr>
    </w:p>
    <w:p>
      <w:pPr>
        <w:pStyle w:val="3"/>
        <w:jc w:val="center"/>
        <w:textAlignment w:val="baseline"/>
        <w:rPr>
          <w:rFonts w:asciiTheme="minorEastAsia" w:hAnsiTheme="minorEastAsia" w:eastAsiaTheme="minorEastAsia" w:cstheme="minorEastAsia"/>
          <w:color w:val="auto"/>
        </w:rPr>
      </w:pPr>
      <w:bookmarkStart w:id="0" w:name="_Toc36811825"/>
    </w:p>
    <w:p>
      <w:pPr>
        <w:pStyle w:val="3"/>
        <w:jc w:val="center"/>
        <w:textAlignment w:val="baseline"/>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第一章竞争性磋商邀请</w:t>
      </w:r>
      <w:bookmarkEnd w:id="0"/>
    </w:p>
    <w:p>
      <w:pPr>
        <w:pStyle w:val="2"/>
        <w:spacing w:line="360" w:lineRule="auto"/>
        <w:ind w:left="0" w:firstLine="0"/>
        <w:jc w:val="center"/>
        <w:textAlignment w:val="baseline"/>
        <w:rPr>
          <w:rFonts w:asciiTheme="minorEastAsia" w:hAnsiTheme="minorEastAsia" w:eastAsiaTheme="minorEastAsia" w:cstheme="minorEastAsia"/>
          <w:color w:val="auto"/>
          <w:sz w:val="28"/>
          <w:szCs w:val="28"/>
        </w:rPr>
      </w:pPr>
      <w:bookmarkStart w:id="1" w:name="_Toc36811826"/>
      <w:r>
        <w:rPr>
          <w:rFonts w:hint="eastAsia" w:asciiTheme="minorEastAsia" w:hAnsiTheme="minorEastAsia" w:eastAsiaTheme="minorEastAsia" w:cstheme="minorEastAsia"/>
          <w:color w:val="auto"/>
          <w:sz w:val="28"/>
          <w:szCs w:val="28"/>
        </w:rPr>
        <w:t>一、竞争性磋商邀请</w:t>
      </w:r>
      <w:bookmarkEnd w:id="1"/>
    </w:p>
    <w:p>
      <w:pPr>
        <w:pStyle w:val="10"/>
        <w:spacing w:line="360" w:lineRule="auto"/>
        <w:ind w:firstLine="48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受采购人委托，对本项目的下述货物（服务、工程）进行国内竞争性磋商采购，现欢迎国内合格的磋商供应商前来参与。</w:t>
      </w:r>
    </w:p>
    <w:p>
      <w:pPr>
        <w:numPr>
          <w:ilvl w:val="0"/>
          <w:numId w:val="1"/>
        </w:num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color w:val="auto"/>
          <w:sz w:val="24"/>
          <w:szCs w:val="24"/>
          <w:lang w:eastAsia="zh-CN"/>
        </w:rPr>
        <w:t>LCCQCGCS2024003</w:t>
      </w:r>
    </w:p>
    <w:p>
      <w:pPr>
        <w:spacing w:line="360" w:lineRule="auto"/>
        <w:ind w:firstLine="480" w:firstLineChars="200"/>
        <w:textAlignment w:val="baseline"/>
        <w:rPr>
          <w:rFonts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pacing w:val="-6"/>
          <w:sz w:val="24"/>
          <w:szCs w:val="24"/>
        </w:rPr>
        <w:t>、</w:t>
      </w:r>
      <w:r>
        <w:rPr>
          <w:rFonts w:hint="eastAsia" w:asciiTheme="minorEastAsia" w:hAnsiTheme="minorEastAsia" w:eastAsiaTheme="minorEastAsia" w:cstheme="minorEastAsia"/>
          <w:color w:val="auto"/>
          <w:spacing w:val="-14"/>
          <w:sz w:val="24"/>
          <w:szCs w:val="24"/>
        </w:rPr>
        <w:t>货物(服务)名称、数量及主要技术规格：见后</w:t>
      </w:r>
      <w:r>
        <w:rPr>
          <w:rFonts w:hint="eastAsia" w:asciiTheme="minorEastAsia" w:hAnsiTheme="minorEastAsia" w:eastAsiaTheme="minorEastAsia" w:cstheme="minorEastAsia"/>
          <w:color w:val="auto"/>
          <w:sz w:val="24"/>
          <w:szCs w:val="24"/>
        </w:rPr>
        <w:t>附磋商货物(服务)一览表</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本项目须报名，自招标公告发布之日起，供应商可直接在连城产权交易网（http://www.lcxcqjy.com/）、龙岩市公共资源交易中心（https://ggzy.longyan.gov.cn/lyztb/）公布的招标公告中查看并下载招标文件，投标人制作的投标文件在接受投标文件的时间内递交至开标地点。</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4、递交响应文件（含相关原件）地点、开始及截止时间：</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响应文件递交地点：龙岩市万宝广场龙岩市公共资源交易中心交易厅。</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响应文件递交截止时间：</w:t>
      </w:r>
      <w:r>
        <w:rPr>
          <w:rFonts w:hint="eastAsia" w:asciiTheme="minorEastAsia" w:hAnsiTheme="minorEastAsia" w:eastAsiaTheme="minorEastAsia" w:cstheme="minorEastAsia"/>
          <w:color w:val="auto"/>
          <w:sz w:val="24"/>
          <w:szCs w:val="24"/>
          <w:u w:val="single" w:color="000000"/>
        </w:rPr>
        <w:t>详见采购公告或更正公告（若有），若不一致，以更正公告（若有）为准，逾期收到的或不符合规定的投标文件将被拒绝。投标截止时间以接受投标文件地点时钟显示的时间为准。</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逾期收到的或不符合规定的响应文件将被拒绝。投标截止时间以接受投标文件地点时钟显示的时间为准。</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5、响应文件开启时间、地点:</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时间：</w:t>
      </w:r>
      <w:r>
        <w:rPr>
          <w:rFonts w:hint="eastAsia" w:asciiTheme="minorEastAsia" w:hAnsiTheme="minorEastAsia" w:eastAsiaTheme="minorEastAsia" w:cstheme="minorEastAsia"/>
          <w:color w:val="auto"/>
          <w:sz w:val="24"/>
          <w:szCs w:val="24"/>
          <w:u w:val="single" w:color="000000"/>
        </w:rPr>
        <w:t>详见采购公告或更正公告（若有），若不一致，以更正公告（若有）为准</w:t>
      </w:r>
      <w:r>
        <w:rPr>
          <w:rFonts w:hint="eastAsia" w:asciiTheme="minorEastAsia" w:hAnsiTheme="minorEastAsia" w:eastAsiaTheme="minorEastAsia" w:cstheme="minorEastAsia"/>
          <w:color w:val="auto"/>
          <w:sz w:val="24"/>
          <w:szCs w:val="24"/>
        </w:rPr>
        <w:t>；</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地点：龙岩市万宝广场龙岩市公共资源交易中心交易厅。</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6、供应商对本次采购活动事项提出疑问的，请在采购会截止时间3个工作日之前,以信函或传真的形式与代理机构联系。</w:t>
      </w:r>
    </w:p>
    <w:p>
      <w:pPr>
        <w:spacing w:line="360" w:lineRule="auto"/>
        <w:ind w:firstLine="480" w:firstLineChars="200"/>
        <w:textAlignment w:val="baseline"/>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szCs w:val="24"/>
        </w:rPr>
        <w:t>7、</w:t>
      </w:r>
      <w:r>
        <w:rPr>
          <w:rFonts w:hint="eastAsia" w:asciiTheme="minorEastAsia" w:hAnsiTheme="minorEastAsia" w:eastAsiaTheme="minorEastAsia" w:cstheme="minorEastAsia"/>
          <w:bCs/>
          <w:color w:val="auto"/>
          <w:sz w:val="24"/>
        </w:rPr>
        <w:t>以上如有变更，招标代理机构会通过连城产权交易网（http://www.lcxcqjy.com/）、龙岩市公共资源交易中心（https://ggzy.longyan.gov.cn/lyztb/）通知，请投标人关注。</w:t>
      </w:r>
    </w:p>
    <w:p>
      <w:pPr>
        <w:spacing w:line="360" w:lineRule="auto"/>
        <w:ind w:firstLine="480" w:firstLineChars="200"/>
        <w:textAlignment w:val="baseline"/>
        <w:rPr>
          <w:rFonts w:hint="eastAsia" w:asciiTheme="minorEastAsia" w:hAnsiTheme="minorEastAsia" w:eastAsiaTheme="minorEastAsia" w:cstheme="minorEastAsia"/>
          <w:bCs/>
          <w:color w:val="auto"/>
          <w:sz w:val="24"/>
          <w:lang w:eastAsia="zh-CN"/>
        </w:rPr>
      </w:pPr>
      <w:r>
        <w:rPr>
          <w:rFonts w:hint="eastAsia" w:asciiTheme="minorEastAsia" w:hAnsiTheme="minorEastAsia" w:eastAsiaTheme="minorEastAsia" w:cstheme="minorEastAsia"/>
          <w:bCs/>
          <w:color w:val="auto"/>
          <w:sz w:val="24"/>
        </w:rPr>
        <w:t>8、采购单位：</w:t>
      </w:r>
      <w:r>
        <w:rPr>
          <w:rFonts w:hint="eastAsia" w:asciiTheme="minorEastAsia" w:hAnsiTheme="minorEastAsia" w:eastAsiaTheme="minorEastAsia" w:cstheme="minorEastAsia"/>
          <w:bCs/>
          <w:color w:val="auto"/>
          <w:sz w:val="24"/>
          <w:lang w:eastAsia="zh-CN"/>
        </w:rPr>
        <w:t>连城连聚物业服务有限公司</w:t>
      </w:r>
    </w:p>
    <w:p>
      <w:pPr>
        <w:spacing w:line="360" w:lineRule="auto"/>
        <w:ind w:firstLine="480" w:firstLineChars="200"/>
        <w:textAlignment w:val="baseline"/>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联系人：江</w:t>
      </w:r>
      <w:r>
        <w:rPr>
          <w:rFonts w:hint="eastAsia" w:asciiTheme="minorEastAsia" w:hAnsiTheme="minorEastAsia" w:eastAsiaTheme="minorEastAsia" w:cstheme="minorEastAsia"/>
          <w:bCs/>
          <w:color w:val="auto"/>
          <w:sz w:val="24"/>
          <w:lang w:val="en-US" w:eastAsia="zh-CN"/>
        </w:rPr>
        <w:t>女士</w:t>
      </w:r>
      <w:r>
        <w:rPr>
          <w:rFonts w:hint="eastAsia" w:asciiTheme="minorEastAsia" w:hAnsiTheme="minorEastAsia" w:eastAsiaTheme="minorEastAsia" w:cstheme="minorEastAsia"/>
          <w:bCs/>
          <w:color w:val="auto"/>
          <w:sz w:val="24"/>
        </w:rPr>
        <w:t xml:space="preserve">       电话：</w:t>
      </w:r>
      <w:r>
        <w:rPr>
          <w:rFonts w:hint="eastAsia" w:asciiTheme="minorEastAsia" w:hAnsiTheme="minorEastAsia" w:eastAsiaTheme="minorEastAsia" w:cstheme="minorEastAsia"/>
          <w:bCs/>
          <w:color w:val="auto"/>
          <w:sz w:val="24"/>
          <w:lang w:val="en-US" w:eastAsia="zh-CN"/>
        </w:rPr>
        <w:t>18359266892</w:t>
      </w:r>
      <w:r>
        <w:rPr>
          <w:rFonts w:hint="eastAsia" w:asciiTheme="minorEastAsia" w:hAnsiTheme="minorEastAsia" w:eastAsiaTheme="minorEastAsia" w:cstheme="minorEastAsia"/>
          <w:bCs/>
          <w:color w:val="auto"/>
          <w:sz w:val="24"/>
        </w:rPr>
        <w:t xml:space="preserve"> </w:t>
      </w:r>
    </w:p>
    <w:p>
      <w:pPr>
        <w:spacing w:line="360" w:lineRule="auto"/>
        <w:ind w:firstLine="480" w:firstLineChars="200"/>
        <w:textAlignment w:val="baseline"/>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地址：福建省连城县莲峰镇西台路98号鹧鸪花园1幢    邮编：36</w:t>
      </w:r>
      <w:r>
        <w:rPr>
          <w:rFonts w:hint="eastAsia" w:asciiTheme="minorEastAsia" w:hAnsiTheme="minorEastAsia" w:eastAsiaTheme="minorEastAsia" w:cstheme="minorEastAsia"/>
          <w:bCs/>
          <w:color w:val="auto"/>
          <w:sz w:val="24"/>
          <w:lang w:val="en-US" w:eastAsia="zh-CN"/>
        </w:rPr>
        <w:t>62</w:t>
      </w:r>
      <w:r>
        <w:rPr>
          <w:rFonts w:hint="eastAsia" w:asciiTheme="minorEastAsia" w:hAnsiTheme="minorEastAsia" w:eastAsiaTheme="minorEastAsia" w:cstheme="minorEastAsia"/>
          <w:bCs/>
          <w:color w:val="auto"/>
          <w:sz w:val="24"/>
        </w:rPr>
        <w:t>00</w:t>
      </w:r>
    </w:p>
    <w:p>
      <w:pPr>
        <w:spacing w:line="360" w:lineRule="auto"/>
        <w:ind w:firstLine="480" w:firstLineChars="200"/>
        <w:textAlignment w:val="baseline"/>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8、招标代理机构：连城县国有资产产权交易服务有限公司</w:t>
      </w:r>
    </w:p>
    <w:p>
      <w:pPr>
        <w:spacing w:line="360" w:lineRule="auto"/>
        <w:ind w:firstLine="480" w:firstLineChars="200"/>
        <w:textAlignment w:val="baseline"/>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地址：福建省龙岩市连城县莲峰镇李彭村彭坊桥路1号4层</w:t>
      </w:r>
    </w:p>
    <w:p>
      <w:pPr>
        <w:spacing w:line="360" w:lineRule="auto"/>
        <w:ind w:firstLine="480" w:firstLineChars="200"/>
        <w:textAlignment w:val="baseline"/>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项目联系人：谢女士</w:t>
      </w:r>
    </w:p>
    <w:p>
      <w:pPr>
        <w:spacing w:line="360" w:lineRule="auto"/>
        <w:ind w:firstLine="480" w:firstLineChars="200"/>
        <w:textAlignment w:val="baseline"/>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电话：18039848961</w:t>
      </w:r>
    </w:p>
    <w:p>
      <w:pPr>
        <w:pStyle w:val="6"/>
        <w:rPr>
          <w:rFonts w:asciiTheme="minorEastAsia" w:hAnsiTheme="minorEastAsia" w:eastAsiaTheme="minorEastAsia" w:cstheme="minorEastAsia"/>
          <w:bCs/>
          <w:color w:val="auto"/>
        </w:rPr>
      </w:pPr>
    </w:p>
    <w:p>
      <w:pPr>
        <w:pStyle w:val="7"/>
        <w:rPr>
          <w:rFonts w:asciiTheme="minorEastAsia" w:hAnsiTheme="minorEastAsia" w:eastAsiaTheme="minorEastAsia" w:cstheme="minorEastAsia"/>
          <w:bCs/>
          <w:color w:val="auto"/>
          <w:sz w:val="24"/>
        </w:rPr>
      </w:pP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附：竞争性磋商</w:t>
      </w:r>
      <w:r>
        <w:rPr>
          <w:rFonts w:hint="eastAsia" w:asciiTheme="minorEastAsia" w:hAnsiTheme="minorEastAsia" w:eastAsiaTheme="minorEastAsia" w:cstheme="minorEastAsia"/>
          <w:color w:val="auto"/>
        </w:rPr>
        <w:t>货物（服务）</w:t>
      </w:r>
      <w:r>
        <w:rPr>
          <w:rFonts w:hint="eastAsia" w:asciiTheme="minorEastAsia" w:hAnsiTheme="minorEastAsia" w:eastAsiaTheme="minorEastAsia" w:cstheme="minorEastAsia"/>
          <w:color w:val="auto"/>
          <w:sz w:val="24"/>
          <w:szCs w:val="24"/>
        </w:rPr>
        <w:t>一览表</w:t>
      </w:r>
    </w:p>
    <w:p>
      <w:pPr>
        <w:rPr>
          <w:rFonts w:hint="eastAsia" w:asciiTheme="minorEastAsia" w:hAnsiTheme="minorEastAsia" w:eastAsiaTheme="minorEastAsia" w:cstheme="minorEastAsia"/>
          <w:color w:val="auto"/>
          <w:sz w:val="28"/>
          <w:szCs w:val="28"/>
        </w:rPr>
      </w:pPr>
      <w:bookmarkStart w:id="2" w:name="_Toc36811827"/>
      <w:r>
        <w:rPr>
          <w:rFonts w:hint="eastAsia" w:asciiTheme="minorEastAsia" w:hAnsiTheme="minorEastAsia" w:eastAsiaTheme="minorEastAsia" w:cstheme="minorEastAsia"/>
          <w:color w:val="auto"/>
          <w:sz w:val="28"/>
          <w:szCs w:val="28"/>
        </w:rPr>
        <w:br w:type="page"/>
      </w:r>
    </w:p>
    <w:p>
      <w:pPr>
        <w:pStyle w:val="2"/>
        <w:spacing w:line="360" w:lineRule="auto"/>
        <w:ind w:left="0" w:firstLine="0"/>
        <w:jc w:val="center"/>
        <w:textAlignment w:val="baseline"/>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二、竞争性磋商货物（服务）一览表</w:t>
      </w:r>
      <w:bookmarkEnd w:id="2"/>
    </w:p>
    <w:tbl>
      <w:tblPr>
        <w:tblStyle w:val="22"/>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490"/>
        <w:gridCol w:w="1473"/>
        <w:gridCol w:w="1833"/>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794" w:type="dxa"/>
            <w:vAlign w:val="center"/>
          </w:tcPr>
          <w:p>
            <w:pPr>
              <w:spacing w:line="500" w:lineRule="exact"/>
              <w:ind w:left="-65" w:leftChars="-31" w:right="-107" w:rightChars="-51"/>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合同包</w:t>
            </w:r>
          </w:p>
        </w:tc>
        <w:tc>
          <w:tcPr>
            <w:tcW w:w="3490" w:type="dxa"/>
            <w:vAlign w:val="center"/>
          </w:tcPr>
          <w:p>
            <w:pPr>
              <w:spacing w:line="500" w:lineRule="exact"/>
              <w:ind w:left="-65" w:leftChars="-31" w:right="-107" w:rightChars="-51"/>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项目名称</w:t>
            </w:r>
          </w:p>
        </w:tc>
        <w:tc>
          <w:tcPr>
            <w:tcW w:w="1473" w:type="dxa"/>
            <w:vAlign w:val="center"/>
          </w:tcPr>
          <w:p>
            <w:pPr>
              <w:spacing w:line="50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技术和服务要求</w:t>
            </w:r>
          </w:p>
        </w:tc>
        <w:tc>
          <w:tcPr>
            <w:tcW w:w="1833" w:type="dxa"/>
            <w:vAlign w:val="center"/>
          </w:tcPr>
          <w:p>
            <w:pPr>
              <w:spacing w:line="500" w:lineRule="exact"/>
              <w:jc w:val="center"/>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lang w:val="en-US" w:eastAsia="zh-CN"/>
              </w:rPr>
              <w:t>最高控制价</w:t>
            </w:r>
          </w:p>
        </w:tc>
        <w:tc>
          <w:tcPr>
            <w:tcW w:w="1197" w:type="dxa"/>
            <w:vAlign w:val="center"/>
          </w:tcPr>
          <w:p>
            <w:pPr>
              <w:spacing w:line="50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磋商保证金（元）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794" w:type="dxa"/>
            <w:vAlign w:val="center"/>
          </w:tcPr>
          <w:p>
            <w:pPr>
              <w:widowControl/>
              <w:spacing w:line="500" w:lineRule="exact"/>
              <w:jc w:val="center"/>
              <w:textAlignment w:val="center"/>
              <w:rPr>
                <w:rFonts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shd w:val="clear" w:color="auto" w:fill="FFFFFF"/>
              </w:rPr>
              <w:t>1</w:t>
            </w:r>
          </w:p>
        </w:tc>
        <w:tc>
          <w:tcPr>
            <w:tcW w:w="3490" w:type="dxa"/>
            <w:vAlign w:val="center"/>
          </w:tcPr>
          <w:p>
            <w:pPr>
              <w:spacing w:line="500" w:lineRule="exact"/>
              <w:jc w:val="center"/>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sz w:val="24"/>
                <w:szCs w:val="24"/>
                <w:lang w:eastAsia="zh-CN"/>
              </w:rPr>
              <w:t>连城连聚物业服务有限公司电梯维保服务采购</w:t>
            </w:r>
          </w:p>
        </w:tc>
        <w:tc>
          <w:tcPr>
            <w:tcW w:w="1473" w:type="dxa"/>
            <w:vAlign w:val="center"/>
          </w:tcPr>
          <w:p>
            <w:pPr>
              <w:spacing w:line="50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详见竞争性磋商文件第三章招标内容及要求</w:t>
            </w:r>
          </w:p>
        </w:tc>
        <w:tc>
          <w:tcPr>
            <w:tcW w:w="1833" w:type="dxa"/>
            <w:vAlign w:val="center"/>
          </w:tcPr>
          <w:p>
            <w:pPr>
              <w:spacing w:line="50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4"/>
                <w:highlight w:val="none"/>
                <w:lang w:val="en-US" w:eastAsia="zh-CN"/>
              </w:rPr>
              <w:t>298200元</w:t>
            </w:r>
            <w:r>
              <w:rPr>
                <w:rFonts w:hint="eastAsia" w:asciiTheme="minorEastAsia" w:hAnsiTheme="minorEastAsia" w:eastAsiaTheme="minorEastAsia" w:cstheme="minorEastAsia"/>
                <w:color w:val="auto"/>
                <w:sz w:val="24"/>
              </w:rPr>
              <w:t xml:space="preserve"> </w:t>
            </w:r>
          </w:p>
        </w:tc>
        <w:tc>
          <w:tcPr>
            <w:tcW w:w="1197" w:type="dxa"/>
            <w:vAlign w:val="center"/>
          </w:tcPr>
          <w:p>
            <w:pPr>
              <w:spacing w:line="500" w:lineRule="exact"/>
              <w:jc w:val="cente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val="en-US" w:eastAsia="zh-CN"/>
              </w:rPr>
              <w:t>29</w:t>
            </w:r>
            <w:r>
              <w:rPr>
                <w:rFonts w:hint="eastAsia" w:asciiTheme="minorEastAsia" w:hAnsiTheme="minorEastAsia" w:eastAsiaTheme="minorEastAsia" w:cstheme="minorEastAsia"/>
                <w:color w:val="auto"/>
                <w:sz w:val="24"/>
                <w:lang w:eastAsia="zh-CN"/>
              </w:rPr>
              <w:t>00</w:t>
            </w:r>
          </w:p>
        </w:tc>
      </w:tr>
    </w:tbl>
    <w:p>
      <w:pPr>
        <w:pStyle w:val="11"/>
        <w:tabs>
          <w:tab w:val="left" w:pos="8360"/>
        </w:tabs>
        <w:spacing w:line="360" w:lineRule="auto"/>
        <w:ind w:firstLine="480" w:firstLineChars="200"/>
        <w:jc w:val="left"/>
        <w:textAlignment w:val="baseline"/>
        <w:rPr>
          <w:rFonts w:asciiTheme="minorEastAsia" w:hAnsiTheme="minorEastAsia" w:eastAsiaTheme="minorEastAsia" w:cstheme="minorEastAsia"/>
          <w:color w:val="auto"/>
          <w:sz w:val="24"/>
          <w:szCs w:val="24"/>
        </w:rPr>
      </w:pPr>
    </w:p>
    <w:p>
      <w:pPr>
        <w:pStyle w:val="11"/>
        <w:tabs>
          <w:tab w:val="left" w:pos="8360"/>
        </w:tabs>
        <w:spacing w:line="360" w:lineRule="auto"/>
        <w:ind w:firstLine="480" w:firstLineChars="200"/>
        <w:jc w:val="left"/>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w:t>
      </w:r>
    </w:p>
    <w:p>
      <w:pPr>
        <w:spacing w:line="500" w:lineRule="exact"/>
        <w:ind w:firstLine="482" w:firstLineChars="200"/>
        <w:textAlignment w:val="baseline"/>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 xml:space="preserve"> 1、供应商按合同包投标，对同一合同包内所有品目号内容投标时必须完整。评标与授标以合同包为单位。</w:t>
      </w:r>
    </w:p>
    <w:p>
      <w:pPr>
        <w:spacing w:line="500" w:lineRule="exact"/>
        <w:ind w:firstLine="482" w:firstLineChars="200"/>
        <w:textAlignment w:val="baseline"/>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2、供应商应以包括项目所涉及的有关项目的所有费用进行报价。</w:t>
      </w:r>
    </w:p>
    <w:p>
      <w:pPr>
        <w:pStyle w:val="20"/>
        <w:spacing w:after="0" w:line="500" w:lineRule="exact"/>
        <w:ind w:firstLine="241"/>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bCs/>
          <w:color w:val="auto"/>
          <w:sz w:val="24"/>
        </w:rPr>
        <w:t xml:space="preserve">  3、</w:t>
      </w:r>
      <w:r>
        <w:rPr>
          <w:rFonts w:hint="eastAsia" w:asciiTheme="minorEastAsia" w:hAnsiTheme="minorEastAsia" w:eastAsiaTheme="minorEastAsia" w:cstheme="minorEastAsia"/>
          <w:b/>
          <w:color w:val="auto"/>
          <w:sz w:val="24"/>
        </w:rPr>
        <w:t>超过项目预算金额的报价为无效报价。</w:t>
      </w:r>
    </w:p>
    <w:p>
      <w:pPr>
        <w:pStyle w:val="20"/>
        <w:spacing w:after="0" w:line="500" w:lineRule="exact"/>
        <w:ind w:firstLine="482" w:firstLineChars="200"/>
        <w:rPr>
          <w:rFonts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bCs/>
          <w:color w:val="auto"/>
          <w:sz w:val="24"/>
        </w:rPr>
        <w:t>4、成交人不得转包他人，若发现转包，采购人有权终止合同。</w:t>
      </w:r>
      <w:r>
        <w:rPr>
          <w:rFonts w:hint="eastAsia" w:asciiTheme="minorEastAsia" w:hAnsiTheme="minorEastAsia" w:eastAsiaTheme="minorEastAsia" w:cstheme="minorEastAsia"/>
          <w:color w:val="auto"/>
          <w:kern w:val="0"/>
          <w:sz w:val="24"/>
        </w:rPr>
        <w:t xml:space="preserve">  </w:t>
      </w:r>
    </w:p>
    <w:p>
      <w:pPr>
        <w:spacing w:line="500" w:lineRule="exact"/>
        <w:ind w:firstLine="482"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0"/>
          <w:sz w:val="24"/>
        </w:rPr>
        <w:t>5、竞争性磋商范围：详见采购文件第三章。</w:t>
      </w:r>
    </w:p>
    <w:p>
      <w:pPr>
        <w:spacing w:line="360" w:lineRule="auto"/>
        <w:jc w:val="center"/>
        <w:textAlignment w:val="baseline"/>
        <w:rPr>
          <w:rFonts w:asciiTheme="minorEastAsia" w:hAnsiTheme="minorEastAsia" w:eastAsiaTheme="minorEastAsia" w:cstheme="minorEastAsia"/>
          <w:b/>
          <w:bCs/>
          <w:color w:val="auto"/>
          <w:sz w:val="24"/>
          <w:szCs w:val="24"/>
        </w:rPr>
        <w:sectPr>
          <w:pgSz w:w="11907" w:h="16840"/>
          <w:pgMar w:top="1440" w:right="1800" w:bottom="1440" w:left="1800" w:header="851" w:footer="992" w:gutter="0"/>
          <w:cols w:space="720" w:num="1"/>
          <w:docGrid w:type="lines" w:linePitch="323" w:charSpace="0"/>
        </w:sectPr>
      </w:pPr>
    </w:p>
    <w:p>
      <w:pPr>
        <w:pStyle w:val="3"/>
        <w:jc w:val="center"/>
        <w:textAlignment w:val="baseline"/>
        <w:rPr>
          <w:rFonts w:asciiTheme="minorEastAsia" w:hAnsiTheme="minorEastAsia" w:eastAsiaTheme="minorEastAsia" w:cstheme="minorEastAsia"/>
          <w:color w:val="auto"/>
        </w:rPr>
      </w:pPr>
      <w:bookmarkStart w:id="3" w:name="_Toc36811828"/>
      <w:r>
        <w:rPr>
          <w:rFonts w:hint="eastAsia" w:asciiTheme="minorEastAsia" w:hAnsiTheme="minorEastAsia" w:eastAsiaTheme="minorEastAsia" w:cstheme="minorEastAsia"/>
          <w:color w:val="auto"/>
        </w:rPr>
        <w:t>第二章供应商须知</w:t>
      </w:r>
      <w:bookmarkEnd w:id="3"/>
    </w:p>
    <w:p>
      <w:pPr>
        <w:pStyle w:val="2"/>
        <w:jc w:val="center"/>
        <w:textAlignment w:val="baseline"/>
        <w:rPr>
          <w:rFonts w:asciiTheme="minorEastAsia" w:hAnsiTheme="minorEastAsia" w:eastAsiaTheme="minorEastAsia" w:cstheme="minorEastAsia"/>
          <w:color w:val="auto"/>
          <w:sz w:val="32"/>
          <w:szCs w:val="32"/>
        </w:rPr>
      </w:pPr>
      <w:bookmarkStart w:id="4" w:name="_Toc36811829"/>
      <w:r>
        <w:rPr>
          <w:rFonts w:hint="eastAsia" w:asciiTheme="minorEastAsia" w:hAnsiTheme="minorEastAsia" w:eastAsiaTheme="minorEastAsia" w:cstheme="minorEastAsia"/>
          <w:color w:val="auto"/>
        </w:rPr>
        <w:t>供应商须知前附表</w:t>
      </w:r>
      <w:bookmarkEnd w:id="4"/>
    </w:p>
    <w:p>
      <w:pPr>
        <w:spacing w:line="360" w:lineRule="auto"/>
        <w:ind w:firstLine="480" w:firstLineChars="200"/>
        <w:jc w:val="center"/>
        <w:textAlignment w:val="baseline"/>
        <w:rPr>
          <w:rFonts w:asciiTheme="minorEastAsia" w:hAnsiTheme="minorEastAsia" w:eastAsiaTheme="minorEastAsia" w:cstheme="minorEastAsia"/>
          <w:color w:val="auto"/>
          <w:sz w:val="24"/>
          <w:szCs w:val="24"/>
        </w:rPr>
      </w:pP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本须知前附表的条款号是与《供应商须知》中条款的项号相对应的，如果不一致的话，应以本须知前附表为准。</w:t>
      </w:r>
    </w:p>
    <w:tbl>
      <w:tblPr>
        <w:tblStyle w:val="22"/>
        <w:tblW w:w="928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96"/>
        <w:gridCol w:w="8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6" w:type="dxa"/>
            <w:noWrap/>
            <w:vAlign w:val="center"/>
          </w:tcPr>
          <w:p>
            <w:pPr>
              <w:spacing w:line="360" w:lineRule="auto"/>
              <w:jc w:val="center"/>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项号</w:t>
            </w:r>
          </w:p>
        </w:tc>
        <w:tc>
          <w:tcPr>
            <w:tcW w:w="696" w:type="dxa"/>
            <w:noWrap/>
            <w:vAlign w:val="center"/>
          </w:tcPr>
          <w:p>
            <w:pPr>
              <w:spacing w:line="360" w:lineRule="auto"/>
              <w:jc w:val="center"/>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条款号</w:t>
            </w:r>
          </w:p>
        </w:tc>
        <w:tc>
          <w:tcPr>
            <w:tcW w:w="8136" w:type="dxa"/>
            <w:noWrap/>
            <w:vAlign w:val="center"/>
          </w:tcPr>
          <w:p>
            <w:pPr>
              <w:spacing w:line="360" w:lineRule="auto"/>
              <w:ind w:firstLine="480" w:firstLineChars="200"/>
              <w:jc w:val="center"/>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6" w:type="dxa"/>
            <w:noWrap/>
            <w:vAlign w:val="center"/>
          </w:tcPr>
          <w:p>
            <w:pPr>
              <w:spacing w:line="360" w:lineRule="auto"/>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696" w:type="dxa"/>
            <w:noWrap/>
            <w:vAlign w:val="center"/>
          </w:tcPr>
          <w:p>
            <w:pPr>
              <w:spacing w:line="360" w:lineRule="auto"/>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8136" w:type="dxa"/>
            <w:noWrap/>
            <w:vAlign w:val="center"/>
          </w:tcPr>
          <w:p>
            <w:pPr>
              <w:spacing w:line="360" w:lineRule="auto"/>
              <w:ind w:firstLine="480" w:firstLineChars="200"/>
              <w:textAlignment w:val="baseline"/>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color w:val="auto"/>
                <w:sz w:val="24"/>
                <w:szCs w:val="24"/>
                <w:lang w:eastAsia="zh-CN"/>
              </w:rPr>
              <w:t>连城连聚物业服务有限公司电梯维保服务采购</w:t>
            </w:r>
          </w:p>
          <w:p>
            <w:pPr>
              <w:spacing w:line="360" w:lineRule="auto"/>
              <w:ind w:firstLine="480" w:firstLineChars="200"/>
              <w:textAlignment w:val="baseline"/>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采购人名称：</w:t>
            </w:r>
            <w:r>
              <w:rPr>
                <w:rFonts w:hint="eastAsia" w:asciiTheme="minorEastAsia" w:hAnsiTheme="minorEastAsia" w:eastAsiaTheme="minorEastAsia" w:cstheme="minorEastAsia"/>
                <w:color w:val="auto"/>
                <w:sz w:val="24"/>
                <w:szCs w:val="24"/>
                <w:lang w:eastAsia="zh-CN"/>
              </w:rPr>
              <w:t>连城连聚物业服务有限公司</w:t>
            </w:r>
          </w:p>
          <w:p>
            <w:pPr>
              <w:pStyle w:val="11"/>
              <w:spacing w:line="360" w:lineRule="auto"/>
              <w:ind w:firstLine="480" w:firstLineChars="200"/>
              <w:textAlignment w:val="baseline"/>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color w:val="auto"/>
                <w:sz w:val="24"/>
                <w:szCs w:val="24"/>
                <w:lang w:eastAsia="zh-CN"/>
              </w:rPr>
              <w:t>LCCQCGCS2024003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dxa"/>
            <w:noWrap/>
            <w:vAlign w:val="center"/>
          </w:tcPr>
          <w:p>
            <w:pPr>
              <w:spacing w:line="360" w:lineRule="auto"/>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696" w:type="dxa"/>
            <w:noWrap/>
            <w:vAlign w:val="center"/>
          </w:tcPr>
          <w:p>
            <w:pPr>
              <w:spacing w:line="360" w:lineRule="auto"/>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8136" w:type="dxa"/>
            <w:noWrap/>
            <w:vAlign w:val="center"/>
          </w:tcPr>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资格标准：见第二章第12.1条。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6" w:type="dxa"/>
            <w:noWrap/>
            <w:vAlign w:val="center"/>
          </w:tcPr>
          <w:p>
            <w:pPr>
              <w:spacing w:line="360" w:lineRule="auto"/>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696" w:type="dxa"/>
            <w:noWrap/>
            <w:vAlign w:val="center"/>
          </w:tcPr>
          <w:p>
            <w:pPr>
              <w:spacing w:line="360" w:lineRule="auto"/>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11.1</w:t>
            </w:r>
          </w:p>
        </w:tc>
        <w:tc>
          <w:tcPr>
            <w:tcW w:w="8136" w:type="dxa"/>
            <w:noWrap/>
            <w:vAlign w:val="center"/>
          </w:tcPr>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竞争性磋商响应有效期：递交竞争性磋商响应文件截止期结束后</w:t>
            </w:r>
            <w:r>
              <w:rPr>
                <w:rFonts w:hint="eastAsia" w:asciiTheme="minorEastAsia" w:hAnsiTheme="minorEastAsia" w:eastAsiaTheme="minorEastAsia" w:cstheme="minorEastAsia"/>
                <w:color w:val="auto"/>
                <w:sz w:val="24"/>
                <w:szCs w:val="24"/>
                <w:u w:val="single" w:color="000000"/>
              </w:rPr>
              <w:t>30个</w:t>
            </w:r>
            <w:r>
              <w:rPr>
                <w:rFonts w:hint="eastAsia" w:asciiTheme="minorEastAsia" w:hAnsiTheme="minorEastAsia" w:eastAsiaTheme="minorEastAsia" w:cstheme="minorEastAsia"/>
                <w:color w:val="auto"/>
                <w:sz w:val="24"/>
                <w:szCs w:val="24"/>
              </w:rPr>
              <w:t>日历天。</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有效期不足将导致其竞争性磋商响应文件被拒绝。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56" w:type="dxa"/>
            <w:noWrap/>
            <w:vAlign w:val="center"/>
          </w:tcPr>
          <w:p>
            <w:pPr>
              <w:spacing w:line="360" w:lineRule="auto"/>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696" w:type="dxa"/>
            <w:noWrap/>
            <w:vAlign w:val="center"/>
          </w:tcPr>
          <w:p>
            <w:pPr>
              <w:spacing w:line="360" w:lineRule="auto"/>
              <w:ind w:firstLine="480" w:firstLineChars="200"/>
              <w:textAlignment w:val="baseline"/>
              <w:rPr>
                <w:rFonts w:asciiTheme="minorEastAsia" w:hAnsiTheme="minorEastAsia" w:eastAsiaTheme="minorEastAsia" w:cstheme="minorEastAsia"/>
                <w:color w:val="auto"/>
                <w:sz w:val="24"/>
                <w:szCs w:val="24"/>
              </w:rPr>
            </w:pPr>
          </w:p>
        </w:tc>
        <w:tc>
          <w:tcPr>
            <w:tcW w:w="8136" w:type="dxa"/>
            <w:noWrap/>
            <w:vAlign w:val="center"/>
          </w:tcPr>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接受响应文件开始时间：</w:t>
            </w:r>
            <w:r>
              <w:rPr>
                <w:rFonts w:hint="eastAsia" w:asciiTheme="minorEastAsia" w:hAnsiTheme="minorEastAsia" w:eastAsiaTheme="minorEastAsia" w:cstheme="minorEastAsia"/>
                <w:color w:val="auto"/>
                <w:sz w:val="24"/>
                <w:szCs w:val="24"/>
                <w:u w:val="single" w:color="000000"/>
              </w:rPr>
              <w:t>详见采购公告或更正公告（若有），若不一致，以更正公告（若有）为准</w:t>
            </w:r>
            <w:r>
              <w:rPr>
                <w:rFonts w:hint="eastAsia" w:asciiTheme="minorEastAsia" w:hAnsiTheme="minorEastAsia" w:eastAsiaTheme="minorEastAsia" w:cstheme="minorEastAsia"/>
                <w:color w:val="auto"/>
                <w:sz w:val="24"/>
                <w:szCs w:val="24"/>
              </w:rPr>
              <w:t>（以开标地时间为准）</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响应文件递交截止时间：</w:t>
            </w:r>
            <w:r>
              <w:rPr>
                <w:rFonts w:hint="eastAsia" w:asciiTheme="minorEastAsia" w:hAnsiTheme="minorEastAsia" w:eastAsiaTheme="minorEastAsia" w:cstheme="minorEastAsia"/>
                <w:color w:val="auto"/>
                <w:sz w:val="24"/>
                <w:szCs w:val="24"/>
                <w:u w:val="single" w:color="000000"/>
              </w:rPr>
              <w:t>详见采购公告或更正公告（若有），若不一致，以更正公告（若有）为准</w:t>
            </w:r>
            <w:r>
              <w:rPr>
                <w:rFonts w:hint="eastAsia" w:asciiTheme="minorEastAsia" w:hAnsiTheme="minorEastAsia" w:eastAsiaTheme="minorEastAsia" w:cstheme="minorEastAsia"/>
                <w:color w:val="auto"/>
                <w:sz w:val="24"/>
                <w:szCs w:val="24"/>
              </w:rPr>
              <w:t>（以开标地时间为准）</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接收人：连城县国有资产产权交易服务有限公司职工。</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响应文件递交地址：龙岩市新罗区龙岩大道388号万宝广场B地块B楼交易厅。</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开标时间：</w:t>
            </w:r>
            <w:r>
              <w:rPr>
                <w:rFonts w:hint="eastAsia" w:asciiTheme="minorEastAsia" w:hAnsiTheme="minorEastAsia" w:eastAsiaTheme="minorEastAsia" w:cstheme="minorEastAsia"/>
                <w:color w:val="auto"/>
                <w:sz w:val="24"/>
                <w:szCs w:val="24"/>
                <w:u w:val="single" w:color="000000"/>
              </w:rPr>
              <w:t>详见采购公告或更正公告（若有），若不一致，以更正公告（若有）为准</w:t>
            </w:r>
            <w:r>
              <w:rPr>
                <w:rFonts w:hint="eastAsia" w:asciiTheme="minorEastAsia" w:hAnsiTheme="minorEastAsia" w:eastAsiaTheme="minorEastAsia" w:cstheme="minorEastAsia"/>
                <w:color w:val="auto"/>
                <w:sz w:val="24"/>
                <w:szCs w:val="24"/>
              </w:rPr>
              <w:t>；</w:t>
            </w:r>
          </w:p>
          <w:p>
            <w:pPr>
              <w:spacing w:line="360" w:lineRule="auto"/>
              <w:ind w:firstLine="480" w:firstLineChars="200"/>
              <w:textAlignment w:val="baseline"/>
              <w:rPr>
                <w:rFonts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开标地点：龙岩市新罗区龙岩大道388号万宝广场B地块B楼交易厅。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456" w:type="dxa"/>
            <w:noWrap/>
            <w:vAlign w:val="center"/>
          </w:tcPr>
          <w:p>
            <w:pPr>
              <w:spacing w:line="360" w:lineRule="auto"/>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696" w:type="dxa"/>
            <w:noWrap/>
            <w:vAlign w:val="center"/>
          </w:tcPr>
          <w:p>
            <w:pPr>
              <w:spacing w:line="360" w:lineRule="auto"/>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w:t>
            </w:r>
          </w:p>
        </w:tc>
        <w:tc>
          <w:tcPr>
            <w:tcW w:w="8136" w:type="dxa"/>
            <w:noWrap/>
            <w:vAlign w:val="center"/>
          </w:tcPr>
          <w:p>
            <w:pPr>
              <w:spacing w:line="360" w:lineRule="auto"/>
              <w:ind w:firstLine="480" w:firstLineChars="200"/>
              <w:textAlignment w:val="baseline"/>
              <w:rPr>
                <w:rFonts w:hint="eastAsia"/>
                <w:lang w:eastAsia="zh-CN"/>
              </w:rPr>
            </w:pPr>
            <w:r>
              <w:rPr>
                <w:rFonts w:hint="eastAsia" w:ascii="宋体" w:hAnsi="宋体"/>
                <w:b/>
                <w:bCs/>
                <w:color w:val="auto"/>
                <w:sz w:val="24"/>
              </w:rPr>
              <w:t>竞争性磋商保证金</w:t>
            </w:r>
            <w:r>
              <w:rPr>
                <w:rFonts w:hint="eastAsia" w:ascii="宋体" w:hAnsi="宋体"/>
                <w:color w:val="auto"/>
                <w:sz w:val="24"/>
              </w:rPr>
              <w:t>:</w:t>
            </w:r>
            <w:r>
              <w:rPr>
                <w:rFonts w:hint="eastAsia" w:ascii="宋体" w:hAnsi="宋体"/>
                <w:color w:val="auto"/>
                <w:sz w:val="24"/>
                <w:lang w:val="en-US" w:eastAsia="zh-CN"/>
              </w:rPr>
              <w:t>29</w:t>
            </w:r>
            <w:r>
              <w:rPr>
                <w:rFonts w:hint="eastAsia" w:ascii="宋体" w:hAnsi="宋体"/>
                <w:color w:val="auto"/>
                <w:sz w:val="24"/>
                <w:lang w:eastAsia="zh-CN"/>
              </w:rPr>
              <w:t>00</w:t>
            </w:r>
            <w:r>
              <w:rPr>
                <w:rFonts w:hint="eastAsia" w:ascii="宋体" w:hAnsi="宋体"/>
                <w:color w:val="auto"/>
                <w:sz w:val="24"/>
              </w:rPr>
              <w:t>元。从磋商供应商银行账户(若为磋商供应商分公司或总公司缴纳的，均视同有效)以电汇或转账方式，于响应文件递交截止时间前缴至以下账户（以到账为准，账号详见采购公告）。注：转账时请备注项目编号+竞争性磋商保证金。履约保证金要求详见采购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456" w:type="dxa"/>
            <w:noWrap/>
            <w:vAlign w:val="center"/>
          </w:tcPr>
          <w:p>
            <w:pPr>
              <w:spacing w:line="360" w:lineRule="auto"/>
              <w:jc w:val="center"/>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696" w:type="dxa"/>
            <w:noWrap/>
            <w:vAlign w:val="center"/>
          </w:tcPr>
          <w:p>
            <w:pPr>
              <w:spacing w:line="360" w:lineRule="auto"/>
              <w:jc w:val="center"/>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w:t>
            </w:r>
          </w:p>
        </w:tc>
        <w:tc>
          <w:tcPr>
            <w:tcW w:w="8136" w:type="dxa"/>
            <w:noWrap/>
            <w:vAlign w:val="center"/>
          </w:tcPr>
          <w:p>
            <w:pPr>
              <w:spacing w:line="360" w:lineRule="auto"/>
              <w:jc w:val="left"/>
              <w:textAlignment w:val="baseline"/>
              <w:rPr>
                <w:rFonts w:ascii="宋体" w:hAnsi="宋体"/>
                <w:color w:val="auto"/>
                <w:sz w:val="24"/>
              </w:rPr>
            </w:pPr>
            <w:r>
              <w:rPr>
                <w:rFonts w:hint="eastAsia" w:ascii="宋体" w:hAnsi="宋体"/>
                <w:color w:val="auto"/>
                <w:sz w:val="24"/>
              </w:rPr>
              <w:t>评审标准和方法：详见竞争性磋商文件。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456" w:type="dxa"/>
            <w:noWrap/>
            <w:vAlign w:val="center"/>
          </w:tcPr>
          <w:p>
            <w:pPr>
              <w:spacing w:line="360" w:lineRule="auto"/>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696" w:type="dxa"/>
            <w:noWrap/>
            <w:vAlign w:val="center"/>
          </w:tcPr>
          <w:p>
            <w:pPr>
              <w:spacing w:line="360" w:lineRule="auto"/>
              <w:ind w:firstLine="480" w:firstLineChars="200"/>
              <w:jc w:val="center"/>
              <w:textAlignment w:val="baseline"/>
              <w:rPr>
                <w:rFonts w:asciiTheme="minorEastAsia" w:hAnsiTheme="minorEastAsia" w:eastAsiaTheme="minorEastAsia" w:cstheme="minorEastAsia"/>
                <w:color w:val="auto"/>
                <w:sz w:val="24"/>
                <w:szCs w:val="24"/>
              </w:rPr>
            </w:pPr>
          </w:p>
        </w:tc>
        <w:tc>
          <w:tcPr>
            <w:tcW w:w="8136" w:type="dxa"/>
            <w:noWrap/>
            <w:vAlign w:val="center"/>
          </w:tcPr>
          <w:p>
            <w:pPr>
              <w:spacing w:line="360" w:lineRule="auto"/>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其他要求：</w:t>
            </w:r>
          </w:p>
          <w:p>
            <w:pPr>
              <w:spacing w:line="360" w:lineRule="auto"/>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1、本项目不接受联合体投标。</w:t>
            </w:r>
          </w:p>
          <w:p>
            <w:pPr>
              <w:spacing w:line="360" w:lineRule="auto"/>
              <w:textAlignment w:val="baseline"/>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2、本项目不组织现场考察或召开磋商前答疑会。</w:t>
            </w:r>
          </w:p>
          <w:p>
            <w:pPr>
              <w:spacing w:line="360" w:lineRule="auto"/>
              <w:textAlignment w:val="baseline"/>
              <w:rPr>
                <w:rFonts w:ascii="宋体" w:hAnsi="宋体"/>
                <w:color w:val="auto"/>
                <w:sz w:val="24"/>
                <w:highlight w:val="none"/>
              </w:rPr>
            </w:pPr>
            <w:r>
              <w:rPr>
                <w:rFonts w:hint="eastAsia" w:asciiTheme="minorEastAsia" w:hAnsiTheme="minorEastAsia" w:eastAsiaTheme="minorEastAsia" w:cstheme="minorEastAsia"/>
                <w:color w:val="auto"/>
                <w:sz w:val="24"/>
                <w:szCs w:val="24"/>
              </w:rPr>
              <w:t>3、</w:t>
            </w:r>
            <w:r>
              <w:rPr>
                <w:rFonts w:hint="eastAsia" w:ascii="宋体" w:hAnsi="宋体"/>
                <w:color w:val="auto"/>
                <w:sz w:val="24"/>
                <w:highlight w:val="none"/>
              </w:rPr>
              <w:t>招标代理服务费：</w:t>
            </w:r>
            <w:r>
              <w:rPr>
                <w:rFonts w:hint="eastAsia" w:ascii="宋体" w:hAnsi="宋体"/>
                <w:b/>
                <w:color w:val="auto"/>
                <w:sz w:val="24"/>
                <w:highlight w:val="none"/>
              </w:rPr>
              <w:t>本项目的招标</w:t>
            </w:r>
            <w:r>
              <w:rPr>
                <w:rFonts w:ascii="宋体" w:hAnsi="宋体"/>
                <w:b/>
                <w:color w:val="auto"/>
                <w:sz w:val="24"/>
                <w:highlight w:val="none"/>
              </w:rPr>
              <w:t>代理</w:t>
            </w:r>
            <w:r>
              <w:rPr>
                <w:rFonts w:hint="eastAsia" w:ascii="宋体" w:hAnsi="宋体"/>
                <w:b/>
                <w:color w:val="auto"/>
                <w:sz w:val="24"/>
                <w:highlight w:val="none"/>
              </w:rPr>
              <w:t>服务费按下列标准向</w:t>
            </w:r>
            <w:r>
              <w:rPr>
                <w:rFonts w:hint="eastAsia" w:ascii="宋体" w:hAnsi="宋体"/>
                <w:b/>
                <w:bCs/>
                <w:color w:val="auto"/>
                <w:sz w:val="24"/>
                <w:highlight w:val="none"/>
              </w:rPr>
              <w:t>中标供应商收取</w:t>
            </w:r>
            <w:r>
              <w:rPr>
                <w:rFonts w:hint="eastAsia" w:ascii="宋体" w:hAnsi="宋体"/>
                <w:color w:val="auto"/>
                <w:sz w:val="24"/>
                <w:highlight w:val="none"/>
              </w:rPr>
              <w:t>，中标人须在结果公告发布后</w:t>
            </w:r>
            <w:r>
              <w:rPr>
                <w:rFonts w:ascii="宋体" w:hAnsi="宋体"/>
                <w:color w:val="auto"/>
                <w:sz w:val="24"/>
                <w:highlight w:val="none"/>
              </w:rPr>
              <w:t>5</w:t>
            </w:r>
            <w:r>
              <w:rPr>
                <w:rFonts w:hint="eastAsia" w:ascii="宋体" w:hAnsi="宋体"/>
                <w:color w:val="auto"/>
                <w:sz w:val="24"/>
                <w:highlight w:val="none"/>
              </w:rPr>
              <w:t>个工作日内，将招标代理服务费缴至代理机构帐户（注：代理服务费不足5000元的按5000元收取）。</w:t>
            </w:r>
          </w:p>
          <w:tbl>
            <w:tblPr>
              <w:tblStyle w:val="22"/>
              <w:tblW w:w="676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10"/>
              <w:gridCol w:w="1383"/>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blCellSpacing w:w="0" w:type="dxa"/>
                <w:jc w:val="center"/>
              </w:trPr>
              <w:tc>
                <w:tcPr>
                  <w:tcW w:w="3810" w:type="dxa"/>
                  <w:vAlign w:val="center"/>
                </w:tcPr>
                <w:p>
                  <w:pPr>
                    <w:widowControl/>
                    <w:jc w:val="center"/>
                    <w:rPr>
                      <w:rFonts w:ascii="宋体" w:hAns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b/>
                      <w:bCs/>
                      <w:color w:val="auto"/>
                      <w:kern w:val="0"/>
                      <w:sz w:val="24"/>
                      <w:highlight w:val="none"/>
                    </w:rPr>
                    <w:t>成交</w:t>
                  </w:r>
                  <w:r>
                    <w:rPr>
                      <w:rFonts w:ascii="宋体" w:hAnsi="宋体" w:cs="宋体"/>
                      <w:b/>
                      <w:bCs/>
                      <w:color w:val="auto"/>
                      <w:kern w:val="0"/>
                      <w:sz w:val="24"/>
                      <w:highlight w:val="none"/>
                    </w:rPr>
                    <w:t>金额（万元）</w:t>
                  </w:r>
                </w:p>
              </w:tc>
              <w:tc>
                <w:tcPr>
                  <w:tcW w:w="1383" w:type="dxa"/>
                  <w:tcBorders>
                    <w:right w:val="single" w:color="auto" w:sz="12" w:space="0"/>
                  </w:tcBorders>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服务费比率</w:t>
                  </w:r>
                </w:p>
              </w:tc>
              <w:tc>
                <w:tcPr>
                  <w:tcW w:w="1575" w:type="dxa"/>
                  <w:tcBorders>
                    <w:lef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0" w:hRule="atLeast"/>
                <w:tblCellSpacing w:w="0" w:type="dxa"/>
                <w:jc w:val="center"/>
              </w:trPr>
              <w:tc>
                <w:tcPr>
                  <w:tcW w:w="3810" w:type="dxa"/>
                  <w:vAlign w:val="center"/>
                </w:tcPr>
                <w:p>
                  <w:pPr>
                    <w:widowControl/>
                    <w:jc w:val="left"/>
                    <w:rPr>
                      <w:rFonts w:ascii="宋体" w:hAnsi="宋体" w:cs="宋体"/>
                      <w:color w:val="auto"/>
                      <w:kern w:val="0"/>
                      <w:sz w:val="24"/>
                      <w:highlight w:val="none"/>
                    </w:rPr>
                  </w:pPr>
                  <w:r>
                    <w:rPr>
                      <w:rFonts w:ascii="宋体" w:hAnsi="宋体" w:cs="宋体"/>
                      <w:color w:val="auto"/>
                      <w:kern w:val="0"/>
                      <w:sz w:val="24"/>
                      <w:highlight w:val="none"/>
                    </w:rPr>
                    <w:t>100以下</w:t>
                  </w:r>
                </w:p>
              </w:tc>
              <w:tc>
                <w:tcPr>
                  <w:tcW w:w="1383" w:type="dxa"/>
                  <w:tcBorders>
                    <w:right w:val="single" w:color="auto" w:sz="12" w:space="0"/>
                  </w:tcBorders>
                  <w:vAlign w:val="center"/>
                </w:tcPr>
                <w:p>
                  <w:pPr>
                    <w:widowControl/>
                    <w:jc w:val="center"/>
                    <w:rPr>
                      <w:rFonts w:ascii="宋体" w:hAns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5</w:t>
                  </w:r>
                  <w:r>
                    <w:rPr>
                      <w:rFonts w:ascii="宋体" w:hAnsi="宋体" w:cs="宋体"/>
                      <w:color w:val="auto"/>
                      <w:kern w:val="0"/>
                      <w:sz w:val="24"/>
                      <w:highlight w:val="none"/>
                    </w:rPr>
                    <w:t>％</w:t>
                  </w:r>
                </w:p>
              </w:tc>
              <w:tc>
                <w:tcPr>
                  <w:tcW w:w="1575" w:type="dxa"/>
                  <w:vMerge w:val="restart"/>
                  <w:tcBorders>
                    <w:left w:val="single" w:color="auto" w:sz="4" w:space="0"/>
                  </w:tcBorders>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成交</w:t>
                  </w:r>
                  <w:r>
                    <w:rPr>
                      <w:rFonts w:ascii="宋体" w:hAnsi="宋体" w:cs="宋体"/>
                      <w:color w:val="auto"/>
                      <w:kern w:val="0"/>
                      <w:sz w:val="24"/>
                      <w:highlight w:val="none"/>
                    </w:rPr>
                    <w:t>服务费按差额定率累进法计算</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0" w:hRule="atLeast"/>
                <w:tblCellSpacing w:w="0" w:type="dxa"/>
                <w:jc w:val="center"/>
              </w:trPr>
              <w:tc>
                <w:tcPr>
                  <w:tcW w:w="3810" w:type="dxa"/>
                  <w:vAlign w:val="center"/>
                </w:tcPr>
                <w:p>
                  <w:pPr>
                    <w:widowControl/>
                    <w:jc w:val="left"/>
                    <w:rPr>
                      <w:rFonts w:ascii="宋体" w:hAnsi="宋体" w:cs="宋体"/>
                      <w:color w:val="auto"/>
                      <w:kern w:val="0"/>
                      <w:sz w:val="24"/>
                      <w:highlight w:val="none"/>
                    </w:rPr>
                  </w:pPr>
                  <w:r>
                    <w:rPr>
                      <w:rFonts w:hint="eastAsia" w:asciiTheme="minorEastAsia" w:hAnsiTheme="minorEastAsia" w:eastAsiaTheme="minorEastAsia" w:cstheme="minorEastAsia"/>
                      <w:color w:val="auto"/>
                      <w:sz w:val="24"/>
                      <w:highlight w:val="none"/>
                    </w:rPr>
                    <w:t>100—500</w:t>
                  </w:r>
                </w:p>
              </w:tc>
              <w:tc>
                <w:tcPr>
                  <w:tcW w:w="1383" w:type="dxa"/>
                  <w:tcBorders>
                    <w:right w:val="single" w:color="auto" w:sz="12" w:space="0"/>
                  </w:tcBorders>
                  <w:vAlign w:val="center"/>
                </w:tcPr>
                <w:p>
                  <w:pPr>
                    <w:widowControl/>
                    <w:jc w:val="center"/>
                    <w:rPr>
                      <w:rFonts w:ascii="宋体" w:hAnsi="宋体" w:cs="宋体"/>
                      <w:color w:val="auto"/>
                      <w:kern w:val="0"/>
                      <w:sz w:val="24"/>
                      <w:highlight w:val="none"/>
                    </w:rPr>
                  </w:pPr>
                  <w:r>
                    <w:rPr>
                      <w:rFonts w:hint="eastAsia" w:asciiTheme="minorEastAsia" w:hAnsiTheme="minorEastAsia" w:eastAsiaTheme="minorEastAsia" w:cstheme="minorEastAsia"/>
                      <w:color w:val="auto"/>
                      <w:sz w:val="24"/>
                      <w:highlight w:val="none"/>
                      <w:lang w:val="en-US" w:eastAsia="zh-CN"/>
                    </w:rPr>
                    <w:t>1.1</w:t>
                  </w:r>
                  <w:r>
                    <w:rPr>
                      <w:rFonts w:hint="eastAsia" w:asciiTheme="minorEastAsia" w:hAnsiTheme="minorEastAsia" w:eastAsiaTheme="minorEastAsia" w:cstheme="minorEastAsia"/>
                      <w:color w:val="auto"/>
                      <w:sz w:val="24"/>
                      <w:highlight w:val="none"/>
                    </w:rPr>
                    <w:t>％</w:t>
                  </w:r>
                </w:p>
              </w:tc>
              <w:tc>
                <w:tcPr>
                  <w:tcW w:w="1575" w:type="dxa"/>
                  <w:vMerge w:val="continue"/>
                  <w:tcBorders>
                    <w:left w:val="single" w:color="auto" w:sz="4" w:space="0"/>
                  </w:tcBorders>
                  <w:vAlign w:val="center"/>
                </w:tcPr>
                <w:p>
                  <w:pPr>
                    <w:widowControl/>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0" w:hRule="atLeast"/>
                <w:tblCellSpacing w:w="0" w:type="dxa"/>
                <w:jc w:val="center"/>
              </w:trPr>
              <w:tc>
                <w:tcPr>
                  <w:tcW w:w="3810" w:type="dxa"/>
                  <w:vAlign w:val="center"/>
                </w:tcPr>
                <w:p>
                  <w:pPr>
                    <w:widowControl/>
                    <w:jc w:val="left"/>
                    <w:rPr>
                      <w:rFonts w:ascii="宋体" w:hAnsi="宋体" w:cs="宋体"/>
                      <w:color w:val="auto"/>
                      <w:kern w:val="0"/>
                      <w:sz w:val="24"/>
                      <w:highlight w:val="none"/>
                    </w:rPr>
                  </w:pPr>
                  <w:r>
                    <w:rPr>
                      <w:rFonts w:hint="eastAsia" w:asciiTheme="minorEastAsia" w:hAnsiTheme="minorEastAsia" w:eastAsiaTheme="minorEastAsia" w:cstheme="minorEastAsia"/>
                      <w:color w:val="auto"/>
                      <w:sz w:val="24"/>
                      <w:highlight w:val="none"/>
                    </w:rPr>
                    <w:t>500—1000</w:t>
                  </w:r>
                </w:p>
              </w:tc>
              <w:tc>
                <w:tcPr>
                  <w:tcW w:w="1383" w:type="dxa"/>
                  <w:tcBorders>
                    <w:right w:val="single" w:color="auto" w:sz="12" w:space="0"/>
                  </w:tcBorders>
                  <w:vAlign w:val="center"/>
                </w:tcPr>
                <w:p>
                  <w:pPr>
                    <w:widowControl/>
                    <w:jc w:val="center"/>
                    <w:rPr>
                      <w:rFonts w:ascii="宋体" w:hAnsi="宋体" w:cs="宋体"/>
                      <w:color w:val="auto"/>
                      <w:kern w:val="0"/>
                      <w:sz w:val="24"/>
                      <w:highlight w:val="none"/>
                    </w:rPr>
                  </w:pPr>
                  <w:r>
                    <w:rPr>
                      <w:rFonts w:hint="eastAsia" w:asciiTheme="minorEastAsia" w:hAnsiTheme="minorEastAsia" w:eastAsiaTheme="minorEastAsia" w:cstheme="minorEastAsia"/>
                      <w:color w:val="auto"/>
                      <w:sz w:val="24"/>
                      <w:highlight w:val="none"/>
                      <w:lang w:val="en-US" w:eastAsia="zh-CN"/>
                    </w:rPr>
                    <w:t>0.8</w:t>
                  </w:r>
                  <w:r>
                    <w:rPr>
                      <w:rFonts w:hint="eastAsia" w:asciiTheme="minorEastAsia" w:hAnsiTheme="minorEastAsia" w:eastAsiaTheme="minorEastAsia" w:cstheme="minorEastAsia"/>
                      <w:color w:val="auto"/>
                      <w:sz w:val="24"/>
                      <w:highlight w:val="none"/>
                    </w:rPr>
                    <w:t>％</w:t>
                  </w:r>
                </w:p>
              </w:tc>
              <w:tc>
                <w:tcPr>
                  <w:tcW w:w="1575" w:type="dxa"/>
                  <w:vMerge w:val="continue"/>
                  <w:tcBorders>
                    <w:left w:val="single" w:color="auto" w:sz="4" w:space="0"/>
                  </w:tcBorders>
                  <w:vAlign w:val="center"/>
                </w:tcPr>
                <w:p>
                  <w:pPr>
                    <w:widowControl/>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0" w:hRule="atLeast"/>
                <w:tblCellSpacing w:w="0" w:type="dxa"/>
                <w:jc w:val="center"/>
              </w:trPr>
              <w:tc>
                <w:tcPr>
                  <w:tcW w:w="3810" w:type="dxa"/>
                  <w:vAlign w:val="center"/>
                </w:tcPr>
                <w:p>
                  <w:pPr>
                    <w:widowControl/>
                    <w:jc w:val="left"/>
                    <w:rPr>
                      <w:rFonts w:ascii="宋体" w:hAnsi="宋体" w:cs="宋体"/>
                      <w:color w:val="auto"/>
                      <w:kern w:val="0"/>
                      <w:sz w:val="24"/>
                      <w:highlight w:val="none"/>
                    </w:rPr>
                  </w:pPr>
                  <w:r>
                    <w:rPr>
                      <w:rFonts w:hint="eastAsia" w:asciiTheme="minorEastAsia" w:hAnsiTheme="minorEastAsia" w:eastAsiaTheme="minorEastAsia" w:cstheme="minorEastAsia"/>
                      <w:color w:val="auto"/>
                      <w:sz w:val="24"/>
                      <w:highlight w:val="none"/>
                    </w:rPr>
                    <w:t>1000—5000</w:t>
                  </w:r>
                </w:p>
              </w:tc>
              <w:tc>
                <w:tcPr>
                  <w:tcW w:w="1383" w:type="dxa"/>
                  <w:tcBorders>
                    <w:right w:val="single" w:color="auto" w:sz="12" w:space="0"/>
                  </w:tcBorders>
                  <w:vAlign w:val="center"/>
                </w:tcPr>
                <w:p>
                  <w:pPr>
                    <w:widowControl/>
                    <w:jc w:val="center"/>
                    <w:rPr>
                      <w:rFonts w:ascii="宋体" w:hAnsi="宋体" w:cs="宋体"/>
                      <w:color w:val="auto"/>
                      <w:kern w:val="0"/>
                      <w:sz w:val="24"/>
                      <w:highlight w:val="none"/>
                    </w:rPr>
                  </w:pPr>
                  <w:r>
                    <w:rPr>
                      <w:rFonts w:hint="eastAsia" w:asciiTheme="minorEastAsia" w:hAnsiTheme="minorEastAsia" w:eastAsiaTheme="minorEastAsia" w:cstheme="minorEastAsia"/>
                      <w:color w:val="auto"/>
                      <w:sz w:val="24"/>
                      <w:highlight w:val="none"/>
                    </w:rPr>
                    <w:t>0.</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w:t>
                  </w:r>
                </w:p>
              </w:tc>
              <w:tc>
                <w:tcPr>
                  <w:tcW w:w="1575" w:type="dxa"/>
                  <w:vMerge w:val="continue"/>
                  <w:tcBorders>
                    <w:left w:val="single" w:color="auto" w:sz="4" w:space="0"/>
                  </w:tcBorders>
                  <w:vAlign w:val="center"/>
                </w:tcPr>
                <w:p>
                  <w:pPr>
                    <w:widowControl/>
                    <w:jc w:val="center"/>
                    <w:rPr>
                      <w:rFonts w:ascii="宋体" w:hAnsi="宋体" w:cs="宋体"/>
                      <w:color w:val="auto"/>
                      <w:kern w:val="0"/>
                      <w:sz w:val="24"/>
                      <w:highlight w:val="none"/>
                    </w:rPr>
                  </w:pPr>
                </w:p>
              </w:tc>
            </w:tr>
          </w:tbl>
          <w:p>
            <w:pPr>
              <w:pStyle w:val="7"/>
              <w:numPr>
                <w:ilvl w:val="0"/>
                <w:numId w:val="1"/>
              </w:numPr>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采购项目交易服务费：</w:t>
            </w:r>
            <w:r>
              <w:rPr>
                <w:rFonts w:hint="eastAsia" w:asciiTheme="minorEastAsia" w:hAnsiTheme="minorEastAsia" w:eastAsiaTheme="minorEastAsia" w:cstheme="minorEastAsia"/>
                <w:b/>
                <w:bCs/>
                <w:color w:val="auto"/>
                <w:sz w:val="24"/>
                <w:szCs w:val="24"/>
                <w:highlight w:val="none"/>
              </w:rPr>
              <w:t>本项目的交易服务费</w:t>
            </w:r>
            <w:r>
              <w:rPr>
                <w:rFonts w:hint="eastAsia" w:asciiTheme="minorEastAsia" w:hAnsiTheme="minorEastAsia" w:eastAsiaTheme="minorEastAsia" w:cstheme="minorEastAsia"/>
                <w:color w:val="auto"/>
                <w:sz w:val="24"/>
                <w:szCs w:val="24"/>
                <w:highlight w:val="none"/>
              </w:rPr>
              <w:t>以中标金额为基数按《龙岩市公共资源交易中心国土、采购、国有产权项目交易服务收费标准》由</w:t>
            </w:r>
            <w:r>
              <w:rPr>
                <w:rFonts w:hint="eastAsia" w:asciiTheme="minorEastAsia" w:hAnsiTheme="minorEastAsia" w:eastAsiaTheme="minorEastAsia" w:cstheme="minorEastAsia"/>
                <w:b/>
                <w:bCs/>
                <w:color w:val="auto"/>
                <w:sz w:val="24"/>
                <w:szCs w:val="24"/>
                <w:highlight w:val="none"/>
              </w:rPr>
              <w:t>中标供应商向龙岩市公共资源交易中心缴交</w:t>
            </w:r>
            <w:r>
              <w:rPr>
                <w:rFonts w:hint="eastAsia" w:asciiTheme="minorEastAsia" w:hAnsiTheme="minorEastAsia" w:eastAsiaTheme="minorEastAsia" w:cstheme="minorEastAsia"/>
                <w:color w:val="auto"/>
                <w:sz w:val="24"/>
                <w:szCs w:val="24"/>
                <w:highlight w:val="none"/>
              </w:rPr>
              <w:t>。</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交易服务费缴交账户如下： </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开户名称：龙岩市公共资源交易中心有限公司</w:t>
            </w:r>
          </w:p>
          <w:p>
            <w:pPr>
              <w:keepNext w:val="0"/>
              <w:keepLines w:val="0"/>
              <w:widowControl/>
              <w:suppressLineNumbers w:val="0"/>
              <w:spacing w:line="360" w:lineRule="auto"/>
              <w:ind w:firstLine="480" w:firstLineChars="2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开户银行：建设银行龙岩分行</w:t>
            </w:r>
          </w:p>
          <w:p>
            <w:pPr>
              <w:pStyle w:val="9"/>
              <w:numPr>
                <w:ilvl w:val="0"/>
                <w:numId w:val="1"/>
              </w:numPr>
              <w:ind w:left="0" w:leftChars="0" w:firstLine="480" w:firstLineChars="200"/>
            </w:pPr>
            <w:r>
              <w:rPr>
                <w:rFonts w:hint="eastAsia" w:asciiTheme="minorEastAsia" w:hAnsiTheme="minorEastAsia" w:eastAsiaTheme="minorEastAsia" w:cstheme="minorEastAsia"/>
                <w:kern w:val="2"/>
                <w:sz w:val="24"/>
                <w:szCs w:val="24"/>
                <w:lang w:val="en-US" w:eastAsia="zh-CN" w:bidi="ar-SA"/>
              </w:rPr>
              <w:t>开户账号：35050169249000000155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456" w:type="dxa"/>
            <w:noWrap/>
            <w:vAlign w:val="center"/>
          </w:tcPr>
          <w:p>
            <w:pPr>
              <w:spacing w:line="360" w:lineRule="auto"/>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696" w:type="dxa"/>
            <w:noWrap/>
            <w:vAlign w:val="center"/>
          </w:tcPr>
          <w:p>
            <w:pPr>
              <w:spacing w:line="360" w:lineRule="auto"/>
              <w:ind w:firstLine="480" w:firstLineChars="200"/>
              <w:jc w:val="center"/>
              <w:textAlignment w:val="baseline"/>
              <w:rPr>
                <w:rFonts w:asciiTheme="minorEastAsia" w:hAnsiTheme="minorEastAsia" w:eastAsiaTheme="minorEastAsia" w:cstheme="minorEastAsia"/>
                <w:color w:val="auto"/>
                <w:sz w:val="24"/>
                <w:szCs w:val="24"/>
              </w:rPr>
            </w:pPr>
          </w:p>
        </w:tc>
        <w:tc>
          <w:tcPr>
            <w:tcW w:w="8136" w:type="dxa"/>
            <w:noWrap/>
            <w:vAlign w:val="center"/>
          </w:tcPr>
          <w:p>
            <w:pPr>
              <w:spacing w:line="360" w:lineRule="auto"/>
              <w:ind w:firstLine="480" w:firstLineChars="200"/>
              <w:textAlignment w:val="baseline"/>
              <w:rPr>
                <w:rFonts w:asciiTheme="minorEastAsia" w:hAnsiTheme="minorEastAsia" w:eastAsiaTheme="minorEastAsia" w:cstheme="minorEastAsia"/>
                <w:color w:val="auto"/>
                <w:sz w:val="24"/>
                <w:szCs w:val="24"/>
                <w:highlight w:val="yellow"/>
              </w:rPr>
            </w:pPr>
            <w:r>
              <w:rPr>
                <w:rFonts w:hint="eastAsia" w:asciiTheme="minorEastAsia" w:hAnsiTheme="minorEastAsia" w:eastAsiaTheme="minorEastAsia" w:cstheme="minorEastAsia"/>
                <w:b/>
                <w:bCs/>
                <w:color w:val="auto"/>
                <w:sz w:val="24"/>
                <w:szCs w:val="24"/>
              </w:rPr>
              <w:t>本项目预算价（最高控制价）为：</w:t>
            </w:r>
            <w:r>
              <w:rPr>
                <w:rFonts w:hint="eastAsia" w:asciiTheme="minorEastAsia" w:hAnsiTheme="minorEastAsia" w:eastAsiaTheme="minorEastAsia" w:cstheme="minorEastAsia"/>
                <w:b/>
                <w:bCs/>
                <w:color w:val="auto"/>
                <w:sz w:val="24"/>
                <w:szCs w:val="24"/>
                <w:lang w:eastAsia="zh-CN"/>
              </w:rPr>
              <w:t>298200元</w:t>
            </w:r>
            <w:r>
              <w:rPr>
                <w:rFonts w:hint="eastAsia" w:asciiTheme="minorEastAsia" w:hAnsiTheme="minorEastAsia" w:eastAsiaTheme="minorEastAsia" w:cstheme="minorEastAsia"/>
                <w:b/>
                <w:bCs/>
                <w:color w:val="auto"/>
                <w:sz w:val="24"/>
                <w:szCs w:val="24"/>
              </w:rPr>
              <w:t>，超过最高控制价的为无效响应。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456" w:type="dxa"/>
            <w:noWrap/>
            <w:vAlign w:val="center"/>
          </w:tcPr>
          <w:p>
            <w:pPr>
              <w:spacing w:line="360" w:lineRule="auto"/>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696" w:type="dxa"/>
            <w:noWrap/>
            <w:vAlign w:val="center"/>
          </w:tcPr>
          <w:p>
            <w:pPr>
              <w:spacing w:line="360" w:lineRule="auto"/>
              <w:ind w:firstLine="480" w:firstLineChars="200"/>
              <w:jc w:val="center"/>
              <w:textAlignment w:val="baseline"/>
              <w:rPr>
                <w:rFonts w:asciiTheme="minorEastAsia" w:hAnsiTheme="minorEastAsia" w:eastAsiaTheme="minorEastAsia" w:cstheme="minorEastAsia"/>
                <w:color w:val="auto"/>
                <w:sz w:val="24"/>
                <w:szCs w:val="24"/>
              </w:rPr>
            </w:pPr>
          </w:p>
        </w:tc>
        <w:tc>
          <w:tcPr>
            <w:tcW w:w="8136" w:type="dxa"/>
            <w:noWrap/>
            <w:vAlign w:val="center"/>
          </w:tcPr>
          <w:p>
            <w:pPr>
              <w:spacing w:line="360" w:lineRule="auto"/>
              <w:jc w:val="left"/>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项目监督部门：福建连城国有投资集团有限公司</w:t>
            </w:r>
          </w:p>
          <w:p>
            <w:pPr>
              <w:spacing w:line="360" w:lineRule="auto"/>
              <w:jc w:val="left"/>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联系电话：0597-8920779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456" w:type="dxa"/>
            <w:noWrap/>
            <w:vAlign w:val="center"/>
          </w:tcPr>
          <w:p>
            <w:pPr>
              <w:spacing w:line="360" w:lineRule="auto"/>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696" w:type="dxa"/>
            <w:noWrap/>
            <w:vAlign w:val="center"/>
          </w:tcPr>
          <w:p>
            <w:pPr>
              <w:spacing w:line="360" w:lineRule="auto"/>
              <w:ind w:firstLine="480" w:firstLineChars="200"/>
              <w:jc w:val="center"/>
              <w:textAlignment w:val="baseline"/>
              <w:rPr>
                <w:rFonts w:asciiTheme="minorEastAsia" w:hAnsiTheme="minorEastAsia" w:eastAsiaTheme="minorEastAsia" w:cstheme="minorEastAsia"/>
                <w:color w:val="auto"/>
                <w:sz w:val="24"/>
                <w:szCs w:val="24"/>
              </w:rPr>
            </w:pPr>
          </w:p>
        </w:tc>
        <w:tc>
          <w:tcPr>
            <w:tcW w:w="8136" w:type="dxa"/>
            <w:noWrap/>
            <w:vAlign w:val="center"/>
          </w:tcPr>
          <w:p>
            <w:pPr>
              <w:widowControl/>
              <w:shd w:val="clear" w:color="auto" w:fill="FFFFFF"/>
              <w:spacing w:line="360" w:lineRule="auto"/>
              <w:jc w:val="left"/>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质疑时效：</w:t>
            </w:r>
          </w:p>
          <w:p>
            <w:pPr>
              <w:widowControl/>
              <w:shd w:val="clear" w:color="auto" w:fill="FFFFFF"/>
              <w:spacing w:line="360" w:lineRule="auto"/>
              <w:jc w:val="left"/>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对采购文件的质疑：递交响应文件截止3个工作日前。</w:t>
            </w:r>
          </w:p>
          <w:p>
            <w:pPr>
              <w:widowControl/>
              <w:shd w:val="clear" w:color="auto" w:fill="FFFFFF"/>
              <w:spacing w:line="360" w:lineRule="auto"/>
              <w:jc w:val="left"/>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对采购结果的质疑：采购结果公告之日（不包括当日）起7个工作日内。</w:t>
            </w:r>
          </w:p>
          <w:p>
            <w:pPr>
              <w:widowControl/>
              <w:shd w:val="clear" w:color="auto" w:fill="FFFFFF"/>
              <w:spacing w:line="360" w:lineRule="auto"/>
              <w:jc w:val="left"/>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采购人将在收到书面质疑后作出答复，并以书面形式通知质疑供应商和其他有关供应商，但答复的内容不涉及商业秘密。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456" w:type="dxa"/>
            <w:noWrap/>
            <w:vAlign w:val="center"/>
          </w:tcPr>
          <w:p>
            <w:pPr>
              <w:spacing w:line="360" w:lineRule="auto"/>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696" w:type="dxa"/>
            <w:noWrap/>
            <w:vAlign w:val="center"/>
          </w:tcPr>
          <w:p>
            <w:pPr>
              <w:spacing w:line="360" w:lineRule="auto"/>
              <w:ind w:firstLine="480" w:firstLineChars="200"/>
              <w:jc w:val="center"/>
              <w:textAlignment w:val="baseline"/>
              <w:rPr>
                <w:rFonts w:asciiTheme="minorEastAsia" w:hAnsiTheme="minorEastAsia" w:eastAsiaTheme="minorEastAsia" w:cstheme="minorEastAsia"/>
                <w:color w:val="auto"/>
                <w:sz w:val="24"/>
                <w:szCs w:val="24"/>
              </w:rPr>
            </w:pPr>
          </w:p>
        </w:tc>
        <w:tc>
          <w:tcPr>
            <w:tcW w:w="8136" w:type="dxa"/>
            <w:noWrap/>
            <w:vAlign w:val="center"/>
          </w:tcPr>
          <w:p>
            <w:pPr>
              <w:spacing w:line="360" w:lineRule="auto"/>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无效文件的具体条款：</w:t>
            </w:r>
          </w:p>
          <w:p>
            <w:pPr>
              <w:spacing w:line="360" w:lineRule="auto"/>
              <w:ind w:firstLine="480" w:firstLineChars="200"/>
              <w:textAlignment w:val="baseline"/>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1、第二章第3.1条、22.2.3条；</w:t>
            </w:r>
          </w:p>
          <w:p>
            <w:pPr>
              <w:numPr>
                <w:ilvl w:val="0"/>
                <w:numId w:val="2"/>
              </w:numPr>
              <w:spacing w:line="360" w:lineRule="auto"/>
              <w:ind w:firstLine="480" w:firstLineChars="200"/>
              <w:textAlignment w:val="baseline"/>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采购文件第三章带</w:t>
            </w:r>
            <w:r>
              <w:rPr>
                <w:rStyle w:val="25"/>
                <w:rFonts w:hint="eastAsia" w:asciiTheme="minorEastAsia" w:hAnsiTheme="minorEastAsia" w:eastAsiaTheme="minorEastAsia" w:cstheme="minorEastAsia"/>
                <w:b/>
                <w:bCs/>
                <w:color w:val="auto"/>
                <w:szCs w:val="24"/>
              </w:rPr>
              <w:t>★条款</w:t>
            </w:r>
            <w:r>
              <w:rPr>
                <w:rFonts w:hint="eastAsia" w:asciiTheme="minorEastAsia" w:hAnsiTheme="minorEastAsia" w:eastAsiaTheme="minorEastAsia" w:cstheme="minorEastAsia"/>
                <w:b/>
                <w:bCs/>
                <w:color w:val="auto"/>
                <w:sz w:val="24"/>
                <w:szCs w:val="24"/>
              </w:rPr>
              <w:t>；</w:t>
            </w:r>
          </w:p>
          <w:p>
            <w:pPr>
              <w:numPr>
                <w:ilvl w:val="0"/>
                <w:numId w:val="2"/>
              </w:numPr>
              <w:spacing w:line="360" w:lineRule="auto"/>
              <w:ind w:firstLine="480" w:firstLineChars="200"/>
              <w:textAlignment w:val="baseline"/>
              <w:rPr>
                <w:color w:val="auto"/>
              </w:rPr>
            </w:pPr>
            <w:r>
              <w:rPr>
                <w:rFonts w:hint="eastAsia" w:asciiTheme="minorEastAsia" w:hAnsiTheme="minorEastAsia" w:eastAsiaTheme="minorEastAsia" w:cstheme="minorEastAsia"/>
                <w:b/>
                <w:bCs/>
                <w:color w:val="auto"/>
                <w:sz w:val="24"/>
                <w:szCs w:val="24"/>
              </w:rPr>
              <w:t>未按相关规定进行报价的</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456" w:type="dxa"/>
            <w:noWrap/>
            <w:vAlign w:val="center"/>
          </w:tcPr>
          <w:p>
            <w:pPr>
              <w:spacing w:line="360" w:lineRule="auto"/>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696" w:type="dxa"/>
            <w:noWrap/>
            <w:vAlign w:val="center"/>
          </w:tcPr>
          <w:p>
            <w:pPr>
              <w:spacing w:line="360" w:lineRule="auto"/>
              <w:ind w:firstLine="480" w:firstLineChars="200"/>
              <w:jc w:val="center"/>
              <w:textAlignment w:val="baseline"/>
              <w:rPr>
                <w:rFonts w:asciiTheme="minorEastAsia" w:hAnsiTheme="minorEastAsia" w:eastAsiaTheme="minorEastAsia" w:cstheme="minorEastAsia"/>
                <w:color w:val="auto"/>
                <w:sz w:val="24"/>
                <w:szCs w:val="24"/>
              </w:rPr>
            </w:pPr>
          </w:p>
        </w:tc>
        <w:tc>
          <w:tcPr>
            <w:tcW w:w="8136" w:type="dxa"/>
            <w:noWrap/>
            <w:vAlign w:val="center"/>
          </w:tcPr>
          <w:p>
            <w:pPr>
              <w:spacing w:line="360" w:lineRule="auto"/>
              <w:textAlignment w:val="baseline"/>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投标文件的份数：</w:t>
            </w:r>
          </w:p>
          <w:p>
            <w:pPr>
              <w:numPr>
                <w:ilvl w:val="0"/>
                <w:numId w:val="3"/>
              </w:numPr>
              <w:spacing w:line="360" w:lineRule="auto"/>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纸质投标文件：正本1份、副本3份。</w:t>
            </w:r>
          </w:p>
          <w:p>
            <w:pPr>
              <w:pStyle w:val="6"/>
              <w:numPr>
                <w:ilvl w:val="0"/>
                <w:numId w:val="3"/>
              </w:numPr>
            </w:pPr>
            <w:r>
              <w:rPr>
                <w:rFonts w:hint="eastAsia"/>
                <w:lang w:val="en-US" w:eastAsia="zh-CN"/>
              </w:rPr>
              <w:t>电子投标文件：</w:t>
            </w:r>
            <w:r>
              <w:rPr>
                <w:rFonts w:hint="eastAsia" w:asciiTheme="minorEastAsia" w:hAnsiTheme="minorEastAsia" w:eastAsiaTheme="minorEastAsia" w:cstheme="minorEastAsia"/>
                <w:sz w:val="24"/>
                <w:szCs w:val="24"/>
              </w:rPr>
              <w:t>详见《关于电子招标投标活动的专门规定》。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0" w:hRule="atLeast"/>
        </w:trPr>
        <w:tc>
          <w:tcPr>
            <w:tcW w:w="9288" w:type="dxa"/>
            <w:gridSpan w:val="3"/>
            <w:noWrap/>
            <w:vAlign w:val="center"/>
          </w:tcPr>
          <w:p>
            <w:pPr>
              <w:widowControl/>
              <w:spacing w:line="324" w:lineRule="auto"/>
              <w:jc w:val="left"/>
              <w:rPr>
                <w:rFonts w:hint="eastAsia" w:cs="宋体" w:asciiTheme="minorEastAsia" w:hAnsiTheme="minorEastAsia"/>
                <w:b/>
                <w:bCs/>
                <w:kern w:val="0"/>
                <w:sz w:val="24"/>
                <w:szCs w:val="24"/>
                <w:lang w:val="en-US" w:eastAsia="zh-CN"/>
              </w:rPr>
            </w:pPr>
            <w:bookmarkStart w:id="5" w:name="_Toc36811830"/>
            <w:r>
              <w:rPr>
                <w:rFonts w:hint="eastAsia" w:cs="宋体" w:asciiTheme="minorEastAsia" w:hAnsiTheme="minorEastAsia"/>
                <w:b/>
                <w:bCs/>
                <w:kern w:val="0"/>
                <w:sz w:val="24"/>
                <w:szCs w:val="24"/>
              </w:rPr>
              <w:t>关于电子招标投标活动的专门规定</w:t>
            </w:r>
            <w:r>
              <w:rPr>
                <w:rFonts w:hint="eastAsia" w:cs="宋体" w:asciiTheme="minorEastAsia" w:hAnsiTheme="minorEastAsia"/>
                <w:b/>
                <w:bCs/>
                <w:kern w:val="0"/>
                <w:sz w:val="24"/>
                <w:szCs w:val="24"/>
                <w:lang w:val="en-US" w:eastAsia="zh-CN"/>
              </w:rPr>
              <w:t>:</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（1）招标文件中的内容及规定适用本项目的电子招标投标活动。</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（2）电子招标投标活动的具体操作流程以龙岩市公共资源交易中心网上公开信息系统设定的为准。</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（3</w:t>
            </w:r>
            <w:r>
              <w:rPr>
                <w:rFonts w:cs="宋体" w:asciiTheme="minorEastAsia" w:hAnsiTheme="minorEastAsia"/>
                <w:kern w:val="0"/>
                <w:sz w:val="24"/>
                <w:szCs w:val="24"/>
              </w:rPr>
              <w:t>）</w:t>
            </w:r>
            <w:r>
              <w:rPr>
                <w:rFonts w:hint="eastAsia" w:cs="宋体" w:asciiTheme="minorEastAsia" w:hAnsiTheme="minorEastAsia"/>
                <w:kern w:val="0"/>
                <w:sz w:val="24"/>
                <w:szCs w:val="24"/>
              </w:rPr>
              <w:t>关于投标文件：</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a.投标人应按照龙岩市公共资源交易中心网上公开信息系统设定的评审节点编制电子投标文件，否则</w:t>
            </w:r>
            <w:r>
              <w:rPr>
                <w:rFonts w:hint="eastAsia" w:cs="宋体" w:asciiTheme="minorEastAsia" w:hAnsiTheme="minorEastAsia"/>
                <w:b/>
                <w:bCs/>
                <w:kern w:val="0"/>
                <w:sz w:val="24"/>
                <w:szCs w:val="24"/>
              </w:rPr>
              <w:t>评标委员会将按照不利于投标人的内容进行认定。</w:t>
            </w:r>
          </w:p>
          <w:p>
            <w:pPr>
              <w:widowControl/>
              <w:spacing w:line="324" w:lineRule="auto"/>
              <w:jc w:val="left"/>
              <w:rPr>
                <w:rFonts w:hint="default" w:eastAsia="宋体" w:cs="宋体" w:asciiTheme="minorEastAsia" w:hAnsiTheme="minorEastAsia"/>
                <w:b/>
                <w:bCs/>
                <w:kern w:val="0"/>
                <w:sz w:val="24"/>
                <w:szCs w:val="24"/>
                <w:highlight w:val="none"/>
                <w:lang w:val="en-US" w:eastAsia="zh-CN"/>
              </w:rPr>
            </w:pPr>
            <w:r>
              <w:rPr>
                <w:rFonts w:hint="eastAsia" w:cs="宋体" w:asciiTheme="minorEastAsia" w:hAnsiTheme="minorEastAsia"/>
                <w:kern w:val="0"/>
                <w:sz w:val="24"/>
                <w:szCs w:val="24"/>
              </w:rPr>
              <w:t>b.投标人应在投标截止时间前按照龙岩市公共资源交易中心网上公开信息系统设定的操作流程将电子投标文件</w:t>
            </w:r>
            <w:r>
              <w:rPr>
                <w:rFonts w:hint="eastAsia" w:cs="宋体" w:asciiTheme="minorEastAsia" w:hAnsiTheme="minorEastAsia"/>
                <w:b/>
                <w:bCs/>
                <w:kern w:val="0"/>
                <w:sz w:val="24"/>
                <w:szCs w:val="24"/>
                <w:u w:val="single"/>
              </w:rPr>
              <w:t>1</w:t>
            </w:r>
            <w:r>
              <w:rPr>
                <w:rFonts w:hint="eastAsia" w:cs="宋体" w:asciiTheme="minorEastAsia" w:hAnsiTheme="minorEastAsia"/>
                <w:kern w:val="0"/>
                <w:sz w:val="24"/>
                <w:szCs w:val="24"/>
              </w:rPr>
              <w:t>份上传至龙岩市公共资源交易中心网上公开信息系统。电子投标文件的报价函与投标客户端的报价函应保持一致，否则以电子投标文件中的报价函为准。</w:t>
            </w:r>
            <w:r>
              <w:rPr>
                <w:rFonts w:hint="eastAsia" w:cs="宋体" w:asciiTheme="minorEastAsia" w:hAnsiTheme="minorEastAsia"/>
                <w:b/>
                <w:bCs/>
                <w:kern w:val="0"/>
                <w:sz w:val="24"/>
                <w:szCs w:val="24"/>
                <w:highlight w:val="none"/>
                <w:lang w:val="en-US" w:eastAsia="zh-CN"/>
              </w:rPr>
              <w:t>如要求提交纸质投标文件的，纸质投标文件内容应与电子投标文件内容一致，</w:t>
            </w:r>
            <w:r>
              <w:rPr>
                <w:rFonts w:hint="eastAsia" w:cs="宋体" w:asciiTheme="minorEastAsia" w:hAnsiTheme="minorEastAsia"/>
                <w:b/>
                <w:bCs/>
                <w:kern w:val="0"/>
                <w:sz w:val="24"/>
                <w:szCs w:val="24"/>
                <w:highlight w:val="none"/>
              </w:rPr>
              <w:t>否则以电子投标文件为准</w:t>
            </w:r>
            <w:r>
              <w:rPr>
                <w:rFonts w:hint="eastAsia" w:cs="宋体" w:asciiTheme="minorEastAsia" w:hAnsiTheme="minorEastAsia"/>
                <w:b/>
                <w:bCs/>
                <w:kern w:val="0"/>
                <w:sz w:val="24"/>
                <w:szCs w:val="24"/>
                <w:highlight w:val="none"/>
                <w:lang w:val="en-US" w:eastAsia="zh-CN"/>
              </w:rPr>
              <w:t>。</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（4）关于证明材料或资料：</w:t>
            </w:r>
          </w:p>
          <w:p>
            <w:pPr>
              <w:spacing w:line="360" w:lineRule="auto"/>
              <w:ind w:firstLine="480" w:firstLineChars="200"/>
              <w:rPr>
                <w:rFonts w:hint="default" w:eastAsia="宋体" w:cs="宋体" w:asciiTheme="minorEastAsia" w:hAnsiTheme="minorEastAsia"/>
                <w:kern w:val="0"/>
                <w:sz w:val="24"/>
                <w:szCs w:val="24"/>
                <w:highlight w:val="none"/>
                <w:lang w:val="en-US" w:eastAsia="zh-CN"/>
              </w:rPr>
            </w:pPr>
            <w:r>
              <w:rPr>
                <w:rFonts w:hint="eastAsia" w:cs="宋体" w:asciiTheme="minorEastAsia" w:hAnsiTheme="minorEastAsia"/>
                <w:kern w:val="0"/>
                <w:sz w:val="24"/>
                <w:szCs w:val="24"/>
              </w:rPr>
              <w:t>a.招标文件要求原件的，投标人在电子投标文件中</w:t>
            </w:r>
            <w:r>
              <w:rPr>
                <w:rFonts w:hint="eastAsia" w:cs="宋体" w:asciiTheme="minorEastAsia" w:hAnsiTheme="minorEastAsia"/>
                <w:kern w:val="0"/>
                <w:sz w:val="24"/>
              </w:rPr>
              <w:t>应提供原件扫描件。</w:t>
            </w:r>
            <w:r>
              <w:rPr>
                <w:rFonts w:hint="eastAsia" w:cs="宋体" w:asciiTheme="minorEastAsia" w:hAnsiTheme="minorEastAsia"/>
                <w:kern w:val="0"/>
                <w:sz w:val="24"/>
                <w:szCs w:val="24"/>
              </w:rPr>
              <w:t>招标文件要求复印件的，投标人可提供原件或复印件扫描件；招标文件对原件、复印件未作要求的，投标人在纸质投标文件中提供原件、复印件扫描件皆可。</w:t>
            </w:r>
            <w:r>
              <w:rPr>
                <w:rFonts w:hint="eastAsia" w:cs="宋体" w:asciiTheme="minorEastAsia" w:hAnsiTheme="minorEastAsia"/>
                <w:b/>
                <w:bCs/>
                <w:kern w:val="0"/>
                <w:sz w:val="24"/>
                <w:szCs w:val="24"/>
                <w:highlight w:val="none"/>
                <w:lang w:val="en-US" w:eastAsia="zh-CN"/>
              </w:rPr>
              <w:t>如要求提供原件现场核查的，应</w:t>
            </w:r>
            <w:r>
              <w:rPr>
                <w:rFonts w:hint="eastAsia" w:ascii="宋体" w:hAnsi="宋体"/>
                <w:b/>
                <w:bCs/>
                <w:sz w:val="24"/>
                <w:highlight w:val="none"/>
              </w:rPr>
              <w:t>按</w:t>
            </w:r>
            <w:r>
              <w:rPr>
                <w:rFonts w:hint="eastAsia" w:ascii="宋体" w:hAnsi="宋体"/>
                <w:b/>
                <w:bCs/>
                <w:sz w:val="24"/>
                <w:highlight w:val="none"/>
                <w:lang w:val="en-US" w:eastAsia="zh-CN"/>
              </w:rPr>
              <w:t>投标文件</w:t>
            </w:r>
            <w:r>
              <w:rPr>
                <w:rFonts w:hint="eastAsia" w:ascii="宋体" w:hAnsi="宋体"/>
                <w:b/>
                <w:bCs/>
                <w:sz w:val="24"/>
                <w:highlight w:val="none"/>
              </w:rPr>
              <w:t>格式列出详细清单，与</w:t>
            </w:r>
            <w:r>
              <w:rPr>
                <w:rFonts w:hint="eastAsia" w:ascii="宋体" w:hAnsi="宋体"/>
                <w:b/>
                <w:bCs/>
                <w:sz w:val="24"/>
                <w:highlight w:val="none"/>
                <w:lang w:val="en-US" w:eastAsia="zh-CN"/>
              </w:rPr>
              <w:t>纸质</w:t>
            </w:r>
            <w:r>
              <w:rPr>
                <w:rFonts w:hint="eastAsia" w:ascii="宋体" w:hAnsi="宋体"/>
                <w:b/>
                <w:bCs/>
                <w:sz w:val="24"/>
                <w:highlight w:val="none"/>
              </w:rPr>
              <w:t>投标文件一并提交，原件清单和原件无须粘贴、装订、密封。</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b.若投标人提供注明“复印件无效”的证明材料或资料，其投标文件中应提供原件</w:t>
            </w:r>
            <w:r>
              <w:rPr>
                <w:rFonts w:hint="eastAsia" w:cs="宋体" w:asciiTheme="minorEastAsia" w:hAnsiTheme="minorEastAsia"/>
                <w:b/>
                <w:bCs/>
                <w:kern w:val="0"/>
                <w:sz w:val="24"/>
                <w:szCs w:val="24"/>
              </w:rPr>
              <w:t>扫描件。</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（5）关于“全称”、“投标人代表签字”及“加盖单位公章”：</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a.在电子投标文件中，涉及“全称”和“投标人代表签字”的内容可使用打字录入方式完成。</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b.在电子投标文件中，涉及“加盖单位公章”的内容应使用投标人的CA证书完成，否则</w:t>
            </w:r>
            <w:r>
              <w:rPr>
                <w:rFonts w:hint="eastAsia" w:cs="宋体" w:asciiTheme="minorEastAsia" w:hAnsiTheme="minorEastAsia"/>
                <w:b/>
                <w:bCs/>
                <w:kern w:val="0"/>
                <w:sz w:val="24"/>
                <w:szCs w:val="24"/>
              </w:rPr>
              <w:t>投标无效。</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c.在电子投标文件中，若投标人按照前款第(5)点第b项规定加盖其单位公章，则出现无全称、或投标人代表未签字等情形，</w:t>
            </w:r>
            <w:r>
              <w:rPr>
                <w:rFonts w:hint="eastAsia" w:cs="宋体" w:asciiTheme="minorEastAsia" w:hAnsiTheme="minorEastAsia"/>
                <w:b/>
                <w:bCs/>
                <w:kern w:val="0"/>
                <w:sz w:val="24"/>
                <w:szCs w:val="24"/>
              </w:rPr>
              <w:t>不视为投标无效。</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（6）关于投标截止时间过后</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a.被龙岩市公共资源交易中心网上公开信息系统判定为投标保证金未提交（即未于投标截止时间前到达招标文件载明的投标保证金账户）的投标人，</w:t>
            </w:r>
            <w:r>
              <w:rPr>
                <w:rFonts w:hint="eastAsia" w:cs="宋体" w:asciiTheme="minorEastAsia" w:hAnsiTheme="minorEastAsia"/>
                <w:b/>
                <w:bCs/>
                <w:kern w:val="0"/>
                <w:sz w:val="24"/>
                <w:szCs w:val="24"/>
              </w:rPr>
              <w:t>投标将被拒绝。</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b.有下列情形之一的，其</w:t>
            </w:r>
            <w:r>
              <w:rPr>
                <w:rFonts w:hint="eastAsia" w:cs="宋体" w:asciiTheme="minorEastAsia" w:hAnsiTheme="minorEastAsia"/>
                <w:b/>
                <w:bCs/>
                <w:kern w:val="0"/>
                <w:sz w:val="24"/>
                <w:szCs w:val="24"/>
              </w:rPr>
              <w:t>投标无效</w:t>
            </w:r>
            <w:r>
              <w:rPr>
                <w:rFonts w:hint="eastAsia" w:cs="宋体" w:asciiTheme="minorEastAsia" w:hAnsiTheme="minorEastAsia"/>
                <w:kern w:val="0"/>
                <w:sz w:val="24"/>
                <w:szCs w:val="24"/>
              </w:rPr>
              <w:t>,其保证金不予退还：</w:t>
            </w:r>
          </w:p>
          <w:p>
            <w:pPr>
              <w:pStyle w:val="6"/>
              <w:numPr>
                <w:numId w:val="0"/>
              </w:numPr>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0" w:hRule="atLeast"/>
        </w:trPr>
        <w:tc>
          <w:tcPr>
            <w:tcW w:w="9288" w:type="dxa"/>
            <w:gridSpan w:val="3"/>
            <w:noWrap/>
            <w:vAlign w:val="center"/>
          </w:tcPr>
          <w:p>
            <w:pPr>
              <w:widowControl/>
              <w:spacing w:line="324" w:lineRule="auto"/>
              <w:jc w:val="left"/>
              <w:rPr>
                <w:rFonts w:cs="宋体" w:asciiTheme="minorEastAsia" w:hAnsiTheme="minorEastAsia"/>
                <w:kern w:val="0"/>
                <w:sz w:val="24"/>
                <w:szCs w:val="24"/>
              </w:rPr>
            </w:pP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b1不同投标人的电子投标文件被龙岩市公共资源交易中心网上公开信息系统判定为具有相同内部识别码；</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b2不同投标人的投标保证金被龙岩市公共资源交易中心网上公开信息系统判定为从同一单位或个人的账户转出；</w:t>
            </w:r>
          </w:p>
          <w:p>
            <w:pPr>
              <w:widowControl/>
              <w:spacing w:line="324" w:lineRule="auto"/>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b3投标人的投标保证金被龙岩市公共资源交易中心网上公开信息系统判定为同一合同项下有其他投标人提交的投标保证金</w:t>
            </w:r>
          </w:p>
          <w:p>
            <w:pPr>
              <w:widowControl/>
              <w:spacing w:line="324"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b4不同投标人被龙岩市公共资源交易中心网上公开信息系统判定为串通投标的其他情形。</w:t>
            </w:r>
          </w:p>
          <w:p>
            <w:pPr>
              <w:widowControl/>
              <w:jc w:val="left"/>
            </w:pPr>
            <w:r>
              <w:rPr>
                <w:rFonts w:hint="eastAsia" w:ascii="宋体" w:hAnsi="宋体" w:cs="宋体"/>
                <w:color w:val="000000"/>
                <w:kern w:val="0"/>
                <w:sz w:val="24"/>
                <w:szCs w:val="24"/>
                <w:lang w:bidi="ar"/>
              </w:rPr>
              <w:t xml:space="preserve">投标文件解密失败的补救方案： </w:t>
            </w:r>
          </w:p>
          <w:p>
            <w:pPr>
              <w:widowControl/>
              <w:ind w:firstLine="480" w:firstLineChars="200"/>
              <w:jc w:val="left"/>
            </w:pPr>
            <w:r>
              <w:rPr>
                <w:rFonts w:hint="eastAsia" w:ascii="宋体" w:hAnsi="宋体" w:cs="宋体"/>
                <w:color w:val="000000"/>
                <w:kern w:val="0"/>
                <w:sz w:val="24"/>
                <w:szCs w:val="24"/>
                <w:lang w:bidi="ar"/>
              </w:rPr>
              <w:t xml:space="preserve">（1）若为投标人设备故障或网络故障，则投标人自行更换设备或解决网络问题， </w:t>
            </w:r>
          </w:p>
          <w:p>
            <w:pPr>
              <w:widowControl/>
              <w:jc w:val="left"/>
            </w:pPr>
            <w:r>
              <w:rPr>
                <w:rFonts w:hint="eastAsia" w:ascii="宋体" w:hAnsi="宋体" w:cs="宋体"/>
                <w:color w:val="000000"/>
                <w:kern w:val="0"/>
                <w:sz w:val="24"/>
                <w:szCs w:val="24"/>
                <w:lang w:bidi="ar"/>
              </w:rPr>
              <w:t xml:space="preserve">投标文件解密失败经补救，仍不成功的，视为放弃投标，开标继续进行； </w:t>
            </w:r>
          </w:p>
          <w:p>
            <w:pPr>
              <w:widowControl/>
              <w:ind w:firstLine="480" w:firstLineChars="200"/>
              <w:jc w:val="left"/>
            </w:pPr>
            <w:r>
              <w:rPr>
                <w:rFonts w:hint="eastAsia" w:ascii="宋体" w:hAnsi="宋体" w:cs="宋体"/>
                <w:color w:val="000000"/>
                <w:kern w:val="0"/>
                <w:sz w:val="24"/>
                <w:szCs w:val="24"/>
                <w:lang w:bidi="ar"/>
              </w:rPr>
              <w:t xml:space="preserve">（2）若为招标人原因导致无法正常解密，则由招标人及时提出解决方案； </w:t>
            </w:r>
          </w:p>
          <w:p>
            <w:pPr>
              <w:widowControl/>
              <w:spacing w:line="324" w:lineRule="auto"/>
              <w:ind w:firstLine="480" w:firstLineChars="200"/>
              <w:jc w:val="left"/>
              <w:rPr>
                <w:rFonts w:ascii="宋体" w:hAnsi="宋体" w:cs="宋体"/>
                <w:color w:val="000000"/>
                <w:kern w:val="0"/>
                <w:sz w:val="24"/>
                <w:szCs w:val="24"/>
                <w:lang w:bidi="ar"/>
              </w:rPr>
            </w:pPr>
            <w:r>
              <w:rPr>
                <w:rFonts w:hint="eastAsia" w:ascii="宋体" w:hAnsi="宋体" w:cs="宋体"/>
                <w:color w:val="000000"/>
                <w:kern w:val="0"/>
                <w:sz w:val="24"/>
                <w:szCs w:val="24"/>
                <w:lang w:bidi="ar"/>
              </w:rPr>
              <w:t>（3）若为交易平台原因导致无法正常解密，则由交易平台及时提出解决方案。</w:t>
            </w:r>
          </w:p>
          <w:p>
            <w:pPr>
              <w:widowControl/>
              <w:spacing w:line="324" w:lineRule="auto"/>
              <w:jc w:val="left"/>
              <w:rPr>
                <w:rFonts w:hint="eastAsia" w:cs="宋体" w:asciiTheme="minorEastAsia" w:hAnsiTheme="minorEastAsia"/>
                <w:kern w:val="0"/>
                <w:sz w:val="24"/>
                <w:szCs w:val="24"/>
              </w:rPr>
            </w:pPr>
            <w:r>
              <w:rPr>
                <w:rFonts w:hint="eastAsia" w:ascii="宋体" w:hAnsi="宋体" w:cs="宋体"/>
                <w:color w:val="000000"/>
                <w:kern w:val="0"/>
                <w:lang w:bidi="ar"/>
              </w:rPr>
              <w:t xml:space="preserve">    </w:t>
            </w:r>
            <w:r>
              <w:rPr>
                <w:rFonts w:hint="eastAsia" w:ascii="宋体" w:hAnsi="宋体" w:eastAsia="宋体" w:cs="宋体"/>
                <w:color w:val="000000"/>
                <w:kern w:val="0"/>
                <w:sz w:val="24"/>
                <w:szCs w:val="24"/>
                <w:lang w:bidi="ar"/>
              </w:rPr>
              <w:t>（4）本项目解密时间为</w:t>
            </w:r>
            <w:r>
              <w:rPr>
                <w:rFonts w:hint="eastAsia" w:ascii="宋体" w:hAnsi="宋体" w:eastAsia="宋体" w:cs="宋体"/>
                <w:b/>
                <w:bCs/>
                <w:color w:val="000000"/>
                <w:kern w:val="0"/>
                <w:sz w:val="24"/>
                <w:szCs w:val="24"/>
                <w:lang w:bidi="ar"/>
              </w:rPr>
              <w:t>30分钟</w:t>
            </w:r>
            <w:r>
              <w:rPr>
                <w:rFonts w:hint="eastAsia" w:ascii="宋体" w:hAnsi="宋体" w:eastAsia="宋体" w:cs="宋体"/>
                <w:color w:val="000000"/>
                <w:kern w:val="0"/>
                <w:sz w:val="24"/>
                <w:szCs w:val="24"/>
                <w:lang w:bidi="ar"/>
              </w:rPr>
              <w:t>。</w:t>
            </w:r>
          </w:p>
        </w:tc>
      </w:tr>
    </w:tbl>
    <w:p>
      <w:pPr>
        <w:pStyle w:val="2"/>
        <w:jc w:val="center"/>
        <w:textAlignment w:val="baseline"/>
        <w:rPr>
          <w:rFonts w:asciiTheme="minorEastAsia" w:hAnsiTheme="minorEastAsia" w:eastAsiaTheme="minorEastAsia" w:cstheme="minorEastAsia"/>
          <w:color w:val="auto"/>
        </w:rPr>
      </w:pPr>
    </w:p>
    <w:p>
      <w:pPr>
        <w:pStyle w:val="2"/>
        <w:jc w:val="center"/>
        <w:textAlignment w:val="baseline"/>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rPr>
        <w:t>一、说明</w:t>
      </w:r>
      <w:bookmarkEnd w:id="5"/>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1、适用范围</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1.1本竞争性磋商采购文件仅适用于本次竞争性磋商所叙述项目的采购。</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1.2参照《中华人民共和国政府采购法》、《政府采购竞争性磋商采购方式管理暂行办法》及有关法律法规制定本须知。</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1.3参与此次竞争性磋商采购的当事人适用本须知。</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2、定义</w:t>
      </w:r>
    </w:p>
    <w:p>
      <w:pPr>
        <w:spacing w:line="360" w:lineRule="auto"/>
        <w:ind w:left="1"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2.1“采购代理机构”系指组织本次竞争性磋商的连城县国有资产产权交易服务有限公司。</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2.2“采购人”系指项目实施机构。</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2.3“磋商供应商”、“供应商”系指接受竞争性磋商邀请向采购代理机构提交磋商响应文件的企业法人。</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2.4“服务”系指按竞争性磋商采购文件规定，供应商须承担的建设、验收及提供相应服务承诺等的义务。</w:t>
      </w:r>
    </w:p>
    <w:p>
      <w:pPr>
        <w:spacing w:line="360" w:lineRule="auto"/>
        <w:ind w:firstLine="42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rPr>
        <w:t>2.5“</w:t>
      </w:r>
      <w:r>
        <w:rPr>
          <w:rFonts w:hint="eastAsia" w:asciiTheme="minorEastAsia" w:hAnsiTheme="minorEastAsia" w:eastAsiaTheme="minorEastAsia" w:cstheme="minorEastAsia"/>
          <w:color w:val="auto"/>
          <w:sz w:val="24"/>
          <w:szCs w:val="24"/>
        </w:rPr>
        <w:t>单位负责人”指单位法定代表人或法律、法规规定代表单位行使职权的主要负责人。</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3、合格供应商和合格服务</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3.1合格的供应商</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3.1.1满足《供应商须知前附表》项号2的要求。</w:t>
      </w:r>
    </w:p>
    <w:p>
      <w:pPr>
        <w:spacing w:line="360" w:lineRule="auto"/>
        <w:ind w:firstLine="480"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凡有能力提供本磋商文件所述货物及服务的，具有资格的境内供应商均可能成为合格的磋商供应商。</w:t>
      </w:r>
    </w:p>
    <w:p>
      <w:pPr>
        <w:spacing w:line="360" w:lineRule="auto"/>
        <w:ind w:firstLine="480" w:firstLineChars="200"/>
        <w:textAlignment w:val="baseline"/>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供应商应是2023年龙岩市市场监督管理局官网公布的龙岩市已备案电梯维保单位。</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3.1.2磋商供应商应遵守中国的有关法律、法规和规章的规定。</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3.1.3单位负责人为同一人或者存在直接控股、管理关系的不同供应商，不得参加本项目同一合同项目的投标。</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3.1.4为采购项目提供整体设计、规范编制或项目管理、监理、检测等服务的供应商，不得再参加该采购项目除整体设计、规范编制和项目管理、监理、检测等服务之外的其他采购活动。</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3.2合格的货物和服务</w:t>
      </w:r>
    </w:p>
    <w:p>
      <w:pPr>
        <w:tabs>
          <w:tab w:val="left" w:pos="6509"/>
        </w:tabs>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3.2.1国产的货物及其有关服务必须符合中华人民共和国的设计和制造生产或行业标准。</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3.2.2必须是全新的货物，必须是实质性满足竞争性磋商采购文件要求的服务。</w:t>
      </w:r>
    </w:p>
    <w:p>
      <w:pPr>
        <w:spacing w:line="360" w:lineRule="auto"/>
        <w:ind w:firstLine="480" w:firstLineChars="200"/>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3.2.3供应商应保证，其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3.2.4</w:t>
      </w:r>
      <w:r>
        <w:rPr>
          <w:rFonts w:hint="eastAsia" w:ascii="宋体" w:hAnsi="宋体"/>
          <w:color w:val="auto"/>
          <w:sz w:val="24"/>
          <w:highlight w:val="none"/>
        </w:rPr>
        <w:t>投标人须提供通过“信用中国”网站（www.creditchina.gov.cn）信用信息查询无被列入失信被执行人名单、重大税收违法案件当事人名单信息记录的打印件（或截图）。</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2.4.1</w:t>
      </w:r>
      <w:r>
        <w:rPr>
          <w:rFonts w:hint="eastAsia" w:ascii="宋体" w:hAnsi="宋体"/>
          <w:color w:val="auto"/>
          <w:sz w:val="24"/>
          <w:highlight w:val="none"/>
        </w:rPr>
        <w:t>投标人须从招标文件发布之日起至投标截至时间期间通过“信用中国”网站（www.creditchina.gov.cn）查询并打印相应的信用记录（以下简称：“投标人提供的查询结果”），投标人提供的查询结果应为其通过上述网站获取的信用信息查询结果原始页面的打印件（或截图）。</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2.4.</w:t>
      </w:r>
      <w:r>
        <w:rPr>
          <w:rFonts w:hint="eastAsia" w:ascii="宋体" w:hAnsi="宋体"/>
          <w:color w:val="auto"/>
          <w:sz w:val="24"/>
          <w:highlight w:val="none"/>
        </w:rPr>
        <w:t>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投标人在参加本项目采购活动(投标截止时间)前三年内列入失信被执行人名单、重大税收违法案件当事人名单及重大违法记录（重大违法记录指投标人因违法经营受到刑事处罚或责令停产停业、吊销许可证或执照、较大数额罚款等行政处罚。参照财库〔2022〕3号文件的规定，“较大数额罚款”认定为200万元以上的罚款，法律、行政法规以及国务院有关部门明确规定相关领域“较大数额罚款”标准高于200万元的，从其规定）且相关信用惩戒期限未满的，其资格审查不合格。</w:t>
      </w:r>
    </w:p>
    <w:p>
      <w:pPr>
        <w:pStyle w:val="6"/>
        <w:rPr>
          <w:color w:val="auto"/>
        </w:rPr>
      </w:pP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4、磋商费用</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无论竞争性磋商过程中的作法和结果如何，磋商供应商应承担所有与准备和参加竞争性磋商有关的全部费用。</w:t>
      </w:r>
    </w:p>
    <w:p>
      <w:pPr>
        <w:pStyle w:val="18"/>
        <w:spacing w:before="75" w:beforeAutospacing="0" w:after="75" w:afterAutospacing="0" w:line="420" w:lineRule="atLeast"/>
        <w:ind w:firstLine="480" w:firstLineChars="200"/>
        <w:textAlignment w:val="baseline"/>
        <w:rPr>
          <w:rFonts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color w:val="auto"/>
        </w:rPr>
        <w:t>5、本项目根据项目的特点依法组建磋商小组。</w:t>
      </w:r>
    </w:p>
    <w:p>
      <w:pPr>
        <w:widowControl/>
        <w:spacing w:before="75" w:after="75" w:line="420" w:lineRule="atLeast"/>
        <w:ind w:firstLine="480" w:firstLineChars="200"/>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5.2磋商小组由三人（含）以上单数组成。</w:t>
      </w:r>
    </w:p>
    <w:p>
      <w:pPr>
        <w:widowControl/>
        <w:spacing w:before="75" w:after="75" w:line="420" w:lineRule="atLeast"/>
        <w:ind w:firstLine="480" w:firstLineChars="200"/>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5.3磋商小组负责具体磋商和评审事务，并按照下列原则依法独立履行有关职责：</w:t>
      </w:r>
    </w:p>
    <w:p>
      <w:pPr>
        <w:widowControl/>
        <w:spacing w:before="75" w:after="75" w:line="420" w:lineRule="atLeast"/>
        <w:ind w:firstLine="480"/>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5.3.1评审应保护国家利益、社会公共利益和各方当事人合法权益，提高采购效益，保证项目质量。</w:t>
      </w:r>
    </w:p>
    <w:p>
      <w:pPr>
        <w:widowControl/>
        <w:spacing w:before="75" w:after="75" w:line="420" w:lineRule="atLeast"/>
        <w:ind w:firstLine="480"/>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5.3.2评审应遵循公平、公正、科学、严谨和择优原则。</w:t>
      </w:r>
    </w:p>
    <w:p>
      <w:pPr>
        <w:widowControl/>
        <w:spacing w:before="75" w:after="75" w:line="420" w:lineRule="atLeast"/>
        <w:ind w:firstLine="480"/>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5.3.3评审的依据是磋商文件和响应文件，磋商文件中没有规定的评审标准不得作为评审依据。</w:t>
      </w:r>
    </w:p>
    <w:p>
      <w:pPr>
        <w:widowControl/>
        <w:spacing w:before="75" w:after="75" w:line="420" w:lineRule="atLeast"/>
        <w:ind w:firstLine="480"/>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5.3.4磋商小组应按照磋商文件规定推荐成交供应商</w:t>
      </w:r>
    </w:p>
    <w:p>
      <w:pPr>
        <w:widowControl/>
        <w:spacing w:before="75" w:after="75" w:line="420" w:lineRule="atLeast"/>
        <w:ind w:firstLine="480"/>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5.3.5评审应遵守下列评审纪律：</w:t>
      </w:r>
    </w:p>
    <w:p>
      <w:pPr>
        <w:widowControl/>
        <w:spacing w:before="75" w:after="75" w:line="420" w:lineRule="atLeast"/>
        <w:ind w:firstLine="480"/>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①评审情况不得私自外泄，有关信息由采购人或其委托的代理机构统一对外发布。</w:t>
      </w:r>
    </w:p>
    <w:p>
      <w:pPr>
        <w:widowControl/>
        <w:spacing w:before="75" w:after="75" w:line="420" w:lineRule="atLeast"/>
        <w:ind w:firstLine="480"/>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②对采购人或供应商提供的要求保密的资料，不得摘记翻印和外传。</w:t>
      </w:r>
    </w:p>
    <w:p>
      <w:pPr>
        <w:widowControl/>
        <w:spacing w:before="75" w:after="75" w:line="420" w:lineRule="atLeast"/>
        <w:ind w:firstLine="480"/>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③不得收受供应商或有关人员的任何礼物，不得串联鼓动其他人袒护某供应商。若与供应商存在利害关系，则应主动声明并回避。</w:t>
      </w:r>
    </w:p>
    <w:p>
      <w:pPr>
        <w:widowControl/>
        <w:spacing w:before="75" w:after="75" w:line="420" w:lineRule="atLeast"/>
        <w:ind w:firstLine="480"/>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④全体磋商小组成员应按照磋商文件规定进行评审，一切认定事项应查有实据且不得弄虚作假。</w:t>
      </w:r>
    </w:p>
    <w:p>
      <w:pPr>
        <w:widowControl/>
        <w:spacing w:before="75" w:after="75" w:line="420" w:lineRule="atLeast"/>
        <w:ind w:firstLine="480"/>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※对违反评审纪律的评委，将取消其评委资格，对评审工作造成严重损失者将予以通报批评乃至追究法律责任。</w:t>
      </w:r>
    </w:p>
    <w:p>
      <w:pPr>
        <w:pStyle w:val="18"/>
        <w:spacing w:before="75" w:beforeAutospacing="0" w:after="75" w:afterAutospacing="0" w:line="420" w:lineRule="atLeast"/>
        <w:ind w:firstLine="470" w:firstLineChars="196"/>
        <w:textAlignment w:val="baseline"/>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5.3.6若供应商有任何试图干扰具体评审事务，影响磋商小组独立履行职责的行为，其响应无效且不予退还磋商保证金。情节严重的，报相关监管部门备案。</w:t>
      </w:r>
    </w:p>
    <w:p>
      <w:pPr>
        <w:spacing w:line="360" w:lineRule="auto"/>
        <w:ind w:firstLine="480" w:firstLineChars="200"/>
        <w:textAlignment w:val="baseline"/>
        <w:rPr>
          <w:rFonts w:asciiTheme="minorEastAsia" w:hAnsiTheme="minorEastAsia" w:eastAsiaTheme="minorEastAsia" w:cstheme="minorEastAsia"/>
          <w:color w:val="auto"/>
          <w:sz w:val="24"/>
          <w:szCs w:val="24"/>
        </w:rPr>
      </w:pPr>
    </w:p>
    <w:p>
      <w:pPr>
        <w:pStyle w:val="2"/>
        <w:jc w:val="center"/>
        <w:textAlignment w:val="baseline"/>
        <w:rPr>
          <w:rFonts w:asciiTheme="minorEastAsia" w:hAnsiTheme="minorEastAsia" w:eastAsiaTheme="minorEastAsia" w:cstheme="minorEastAsia"/>
          <w:color w:val="auto"/>
          <w:sz w:val="28"/>
          <w:szCs w:val="28"/>
        </w:rPr>
      </w:pPr>
      <w:bookmarkStart w:id="6" w:name="_Toc36811831"/>
      <w:r>
        <w:rPr>
          <w:rFonts w:hint="eastAsia" w:asciiTheme="minorEastAsia" w:hAnsiTheme="minorEastAsia" w:eastAsiaTheme="minorEastAsia" w:cstheme="minorEastAsia"/>
          <w:color w:val="auto"/>
        </w:rPr>
        <w:t>二、竞争性磋商采购文件</w:t>
      </w:r>
      <w:bookmarkEnd w:id="6"/>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6、文件的组成</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6.1竞争性磋商采购文件是用以阐明所需货物及服务、竞争性磋商程序的资料，除以下内容外，采购代理机构在磋商结束之前发出的答疑纪要和其他补充修改函件，均是采购文件的组成部分，对供应商起约束作用，竞争性磋商采购文件包括下列内容：</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(1)竞争性磋商邀请</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(2)采购项目内容及要求</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(3)磋商供应商须知</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(4)合同草案</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(5)响应文件主要内容格式</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6.2除非有特殊要求，竞争性磋商采购文件不单独提供竞争性磋商货物使用地的自然环境、气候条件、公用设施等情况，磋商供应商被视为熟悉上述与履行合同有关的一切情况。</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7、竞争性磋商采购文件的澄清</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7.1磋商供应商对竞争性磋商采购文件如有疑点，可要求澄清，但应在规定时间内按竞争性磋商邀请中载明的地址以书面形式(包括信函、电报或传真，下同)送达或寄达采购代理机构。采购代理机构将视情况确定采用适当方式予以澄清或以书面形式予以答复，必要时将不标明查询来源的书面答复，分送已报名并购买竞争性磋商采购文件的供应商。</w:t>
      </w:r>
    </w:p>
    <w:p>
      <w:pPr>
        <w:spacing w:line="360" w:lineRule="auto"/>
        <w:ind w:left="84" w:leftChars="40"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7.2供应商所提供的联系电话及通信地址应使采购人和采购代理机构能方便地与供应商取得联系，若由于该方面的原因使采购人和采购代理机构发出的函件无法送达供应商时，由此造成的后果由供应商自行负责。</w:t>
      </w:r>
    </w:p>
    <w:p>
      <w:pPr>
        <w:spacing w:line="360" w:lineRule="auto"/>
        <w:ind w:left="84" w:leftChars="40"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7.3采购人和采购代理机构将视情况确定是否有必要在磋商采购会前召开答疑会。如果召开答疑会，将通知所有已邀请并领取了采购文件的潜在磋商供应商。</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8、竞争性磋商采购文件的修改</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8.1提交首次响应文件截止之日前，采购人、采购代理机构可以对已发出的磋商文件进行必要的澄清或者修改，澄清或者修改的内容作为磋商文件的组成部分。澄清或者修改的内容可能影响响应文件编制的，采购人、采购代理机构或者磋商小组应当在提交首次响应文件截止之日5日前，以在本文件指定媒体发布通知的形式通知所有潜在磋商供应商，不足5日的，应当顺延提交首次响应文件截止之日。</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8.2竞争性磋商采购文件的修改书将构成竞争性磋商采购文件的一部分，对所有已邀请并领取了竞争性磋商采购文件的供应商具有约束力。</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8.3采购文件、采购文件澄清（答疑）纪要、采购文件修改、补充通知书内容均以书面明确的内容为准。当采购文件、修改、补充通知、澄清（答疑）纪要内容相互矛盾时，以最后发出的通知（或纪要）或修改文件为准。</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8.4采购代理机构对供应商误读、误解修改书而导致的不利后果，不负任何责任。</w:t>
      </w:r>
    </w:p>
    <w:p>
      <w:pPr>
        <w:spacing w:line="360" w:lineRule="auto"/>
        <w:ind w:firstLine="480" w:firstLineChars="200"/>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8.5潜在供应商可以对该文件提出质疑。对采购文件提出质疑的，应当在须知前附表规定的时间内提出，与本次竞争性磋商采购有关的一切正式往来，如质疑、技术咨询等，应采用书面形式。</w:t>
      </w:r>
    </w:p>
    <w:p>
      <w:pPr>
        <w:spacing w:line="360" w:lineRule="auto"/>
        <w:ind w:firstLine="480" w:firstLineChars="200"/>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特别提示：采购文件如有澄清、修改，公告将在</w:t>
      </w:r>
      <w:r>
        <w:rPr>
          <w:rFonts w:hint="eastAsia" w:asciiTheme="minorEastAsia" w:hAnsiTheme="minorEastAsia" w:eastAsiaTheme="minorEastAsia" w:cstheme="minorEastAsia"/>
          <w:color w:val="auto"/>
          <w:sz w:val="24"/>
          <w:szCs w:val="24"/>
          <w:lang w:eastAsia="zh-CN"/>
        </w:rPr>
        <w:t>连城产权交易网</w:t>
      </w:r>
      <w:r>
        <w:rPr>
          <w:rFonts w:hint="eastAsia" w:asciiTheme="minorEastAsia" w:hAnsiTheme="minorEastAsia" w:eastAsiaTheme="minorEastAsia" w:cstheme="minorEastAsia"/>
          <w:color w:val="auto"/>
          <w:sz w:val="24"/>
          <w:szCs w:val="24"/>
        </w:rPr>
        <w:t>（（http://www.lcxcqjy.com/））、龙岩市公共资源交易中心（https://ggzy.longyan.gov.cn/lyztb/）</w:t>
      </w:r>
      <w:r>
        <w:rPr>
          <w:rFonts w:hint="eastAsia" w:asciiTheme="minorEastAsia" w:hAnsiTheme="minorEastAsia" w:eastAsiaTheme="minorEastAsia" w:cstheme="minorEastAsia"/>
          <w:color w:val="auto"/>
          <w:kern w:val="0"/>
          <w:sz w:val="24"/>
          <w:szCs w:val="24"/>
        </w:rPr>
        <w:t>发布，请潜在磋商供应商随时密切关注上述网站并下载相关信息，招标代理机构不再另行通知（相同内容如有多次修改，以最后一次修改为准）。潜在供应商未下载澄清、修改内容的，后果自行承担。</w:t>
      </w:r>
    </w:p>
    <w:p>
      <w:pPr>
        <w:pStyle w:val="2"/>
        <w:jc w:val="center"/>
        <w:textAlignment w:val="baseline"/>
        <w:rPr>
          <w:rFonts w:asciiTheme="minorEastAsia" w:hAnsiTheme="minorEastAsia" w:eastAsiaTheme="minorEastAsia" w:cstheme="minorEastAsia"/>
          <w:color w:val="auto"/>
          <w:sz w:val="28"/>
          <w:szCs w:val="28"/>
        </w:rPr>
      </w:pPr>
      <w:bookmarkStart w:id="7" w:name="_Toc36811832"/>
      <w:r>
        <w:rPr>
          <w:rFonts w:hint="eastAsia" w:asciiTheme="minorEastAsia" w:hAnsiTheme="minorEastAsia" w:eastAsiaTheme="minorEastAsia" w:cstheme="minorEastAsia"/>
          <w:color w:val="auto"/>
        </w:rPr>
        <w:t>三、响应文件的编写</w:t>
      </w:r>
      <w:bookmarkEnd w:id="7"/>
    </w:p>
    <w:p>
      <w:pPr>
        <w:spacing w:line="360" w:lineRule="auto"/>
        <w:ind w:firstLine="480" w:firstLineChars="200"/>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9、编写要求</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9.1供应商应仔细阅读竞争性磋商采购文件的全部内容，按竞争性磋商采购文件的要求提供磋商响应文件，并保证所提供的全部资料的真实性和可靠性，以使其文件对竞争性磋商采购文件作出实质性响应。供应商应接受采购人和采购代理机构对其中任何资料作出进一步审查的要</w:t>
      </w:r>
      <w:r>
        <w:rPr>
          <w:rFonts w:hint="eastAsia" w:asciiTheme="minorEastAsia" w:hAnsiTheme="minorEastAsia" w:eastAsiaTheme="minorEastAsia" w:cstheme="minorEastAsia"/>
          <w:color w:val="auto"/>
          <w:sz w:val="24"/>
          <w:szCs w:val="24"/>
        </w:rPr>
        <w:t>求，否则其磋商响应将有可能被拒绝。</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9.2供应商应仔细阅读并检查竞争性磋商采购文件中所有的须知、格式、条款、技术、规格和其它资料，并按照竞争性磋商采购文件的要求提交全部资料。</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9.3采购文件“主要内容格式”中的各项内容和表格为评审的重要参考内容和依据，磋商供应商应按照格式要求统一填写编制，否则，由于被误读、漏读而产生的不利后果，由供应商自行承担。</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10、磋商语言、载体</w:t>
      </w:r>
    </w:p>
    <w:p>
      <w:pPr>
        <w:spacing w:line="360" w:lineRule="auto"/>
        <w:ind w:firstLine="480" w:firstLineChars="200"/>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10.1响应文件及供应商、采购人和采购代理机构就磋商交换的文件和来往信件，应</w:t>
      </w:r>
      <w:r>
        <w:rPr>
          <w:rFonts w:hint="eastAsia" w:asciiTheme="minorEastAsia" w:hAnsiTheme="minorEastAsia" w:eastAsiaTheme="minorEastAsia" w:cstheme="minorEastAsia"/>
          <w:color w:val="auto"/>
          <w:kern w:val="0"/>
          <w:sz w:val="24"/>
          <w:szCs w:val="24"/>
        </w:rPr>
        <w:t>以中文书写。</w:t>
      </w:r>
    </w:p>
    <w:p>
      <w:pPr>
        <w:spacing w:line="360" w:lineRule="auto"/>
        <w:ind w:firstLine="480" w:firstLineChars="200"/>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采购文件中载明的资格或技术商务要求中涉及的供应商提供的证明文件原件属于非中文描述的，必须提供具有翻译资质的机构翻译的中文译本。未按要求提供中文译本的，认定为该项资格或技术商务要求不符合。翻译机构应为中国翻译协会成员单位，翻译的中文译本应由翻译人员签名并加盖翻译机构公章，同时提供翻译人员翻译资格证书。供应商应提供中文译本、翻译机构及翻译人员资格证书复印件，并加盖供应商公章。</w:t>
      </w:r>
    </w:p>
    <w:p>
      <w:pPr>
        <w:spacing w:line="360" w:lineRule="auto"/>
        <w:ind w:firstLine="480" w:firstLineChars="200"/>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11、计量单位磋商标的除在竞争性磋商采购文件的技术规格中另有规定外，应使用中华人民共和国法定计量单位。</w:t>
      </w:r>
    </w:p>
    <w:p>
      <w:pPr>
        <w:spacing w:line="360" w:lineRule="auto"/>
        <w:ind w:firstLine="480" w:firstLineChars="200"/>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12、磋商响应文件的组成及相关要求</w:t>
      </w:r>
    </w:p>
    <w:p>
      <w:pPr>
        <w:spacing w:line="360" w:lineRule="auto"/>
        <w:ind w:firstLine="480" w:firstLineChars="200"/>
        <w:textAlignment w:val="baseline"/>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磋商响应文件组成详见12.2。响应文件在递交截止时间后将不予退还。</w:t>
      </w:r>
    </w:p>
    <w:p>
      <w:pPr>
        <w:pStyle w:val="6"/>
        <w:spacing w:line="360" w:lineRule="auto"/>
        <w:ind w:firstLine="480" w:firstLineChars="200"/>
        <w:textAlignment w:val="baseline"/>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12.1资格证明材料是指供应商递交的证明其有资格参加磋商和成交后有能力履行合同的文件。包括下列各项：</w:t>
      </w:r>
    </w:p>
    <w:p>
      <w:pPr>
        <w:spacing w:line="360" w:lineRule="auto"/>
        <w:ind w:firstLine="600" w:firstLineChars="250"/>
        <w:textAlignment w:val="baseline"/>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kern w:val="0"/>
          <w:sz w:val="24"/>
          <w:szCs w:val="24"/>
          <w:highlight w:val="none"/>
        </w:rPr>
        <w:t>参加竞争性磋商的声明函 </w:t>
      </w:r>
    </w:p>
    <w:p>
      <w:pPr>
        <w:spacing w:line="360" w:lineRule="auto"/>
        <w:ind w:firstLine="600" w:firstLineChars="250"/>
        <w:textAlignment w:val="baseline"/>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2、供应商的资格声明 </w:t>
      </w:r>
    </w:p>
    <w:p>
      <w:pPr>
        <w:spacing w:line="360" w:lineRule="auto"/>
        <w:ind w:firstLine="600" w:firstLineChars="250"/>
        <w:textAlignment w:val="baseline"/>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3、</w:t>
      </w:r>
      <w:r>
        <w:rPr>
          <w:rFonts w:hint="eastAsia" w:asciiTheme="minorEastAsia" w:hAnsiTheme="minorEastAsia" w:eastAsiaTheme="minorEastAsia" w:cstheme="minorEastAsia"/>
          <w:color w:val="auto"/>
          <w:sz w:val="24"/>
          <w:szCs w:val="24"/>
          <w:highlight w:val="none"/>
        </w:rPr>
        <w:t>单位负责人授权书原件（非单位负责人参加时提供）</w:t>
      </w:r>
    </w:p>
    <w:p>
      <w:pPr>
        <w:spacing w:line="360" w:lineRule="auto"/>
        <w:ind w:firstLine="600" w:firstLineChars="250"/>
        <w:textAlignment w:val="baseline"/>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4、供应商代表有效身份证复印件</w:t>
      </w:r>
    </w:p>
    <w:p>
      <w:pPr>
        <w:spacing w:line="360" w:lineRule="auto"/>
        <w:ind w:firstLine="600" w:firstLineChars="250"/>
        <w:textAlignment w:val="baseline"/>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5、</w:t>
      </w:r>
      <w:r>
        <w:rPr>
          <w:rFonts w:hint="eastAsia" w:asciiTheme="minorEastAsia" w:hAnsiTheme="minorEastAsia" w:eastAsiaTheme="minorEastAsia" w:cstheme="minorEastAsia"/>
          <w:color w:val="auto"/>
          <w:sz w:val="24"/>
          <w:szCs w:val="24"/>
          <w:highlight w:val="none"/>
        </w:rPr>
        <w:t>营业执照复印件（或其他法人证书复印件）</w:t>
      </w:r>
    </w:p>
    <w:p>
      <w:pPr>
        <w:spacing w:line="360" w:lineRule="auto"/>
        <w:ind w:firstLine="600" w:firstLineChars="250"/>
        <w:textAlignment w:val="baseline"/>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6、已缴交磋商保证金的</w:t>
      </w:r>
      <w:r>
        <w:rPr>
          <w:rFonts w:hint="eastAsia" w:asciiTheme="minorEastAsia" w:hAnsiTheme="minorEastAsia" w:eastAsiaTheme="minorEastAsia" w:cstheme="minorEastAsia"/>
          <w:color w:val="auto"/>
          <w:sz w:val="24"/>
          <w:szCs w:val="24"/>
          <w:highlight w:val="none"/>
        </w:rPr>
        <w:t>证明材料复印件</w:t>
      </w:r>
    </w:p>
    <w:p>
      <w:pPr>
        <w:spacing w:line="360" w:lineRule="auto"/>
        <w:ind w:firstLine="600" w:firstLineChars="25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highlight w:val="none"/>
        </w:rPr>
        <w:t>注：1、磋商供应商必须同时满足上述所有的</w:t>
      </w:r>
      <w:r>
        <w:rPr>
          <w:rFonts w:hint="eastAsia" w:asciiTheme="minorEastAsia" w:hAnsiTheme="minorEastAsia" w:eastAsiaTheme="minorEastAsia" w:cstheme="minorEastAsia"/>
          <w:b/>
          <w:bCs/>
          <w:color w:val="auto"/>
          <w:sz w:val="24"/>
          <w:szCs w:val="24"/>
        </w:rPr>
        <w:t>资格要求并提供证明村料，所有提供的相关资质证明文件应属法定有效期内的，若发生变更的，应按有关规定办理完变更手续后方可参加投标，并以发证机关核准的变更为准，否则不能成为本项目的成交人。</w:t>
      </w:r>
      <w:r>
        <w:rPr>
          <w:rFonts w:hint="eastAsia" w:asciiTheme="minorEastAsia" w:hAnsiTheme="minorEastAsia" w:eastAsiaTheme="minorEastAsia" w:cstheme="minorEastAsia"/>
          <w:color w:val="auto"/>
          <w:sz w:val="24"/>
          <w:szCs w:val="24"/>
        </w:rPr>
        <w:t>所有资格证明文件复印件应是清晰的，磋商供应商对其所提供证明材料的真实性负责，否则响应无效。</w:t>
      </w:r>
    </w:p>
    <w:p>
      <w:pPr>
        <w:spacing w:line="360" w:lineRule="auto"/>
        <w:ind w:firstLine="600" w:firstLineChars="250"/>
        <w:textAlignment w:val="baseline"/>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2、资格证明材料要求的授权书原件必须编制到纸质响应文件正本中,否则响应无效。</w:t>
      </w:r>
    </w:p>
    <w:p>
      <w:pPr>
        <w:spacing w:line="360" w:lineRule="auto"/>
        <w:ind w:firstLine="480" w:firstLineChars="200"/>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sz w:val="24"/>
          <w:szCs w:val="24"/>
        </w:rPr>
        <w:t>12.2</w:t>
      </w:r>
      <w:r>
        <w:rPr>
          <w:rFonts w:hint="eastAsia" w:asciiTheme="minorEastAsia" w:hAnsiTheme="minorEastAsia" w:eastAsiaTheme="minorEastAsia" w:cstheme="minorEastAsia"/>
          <w:color w:val="auto"/>
          <w:kern w:val="0"/>
          <w:sz w:val="24"/>
          <w:szCs w:val="24"/>
        </w:rPr>
        <w:t>首次响应文件包括但不限于下列部分：</w:t>
      </w:r>
    </w:p>
    <w:p>
      <w:pPr>
        <w:widowControl/>
        <w:spacing w:before="75" w:after="75" w:line="435" w:lineRule="atLeast"/>
        <w:ind w:firstLine="480"/>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（1）响应函</w:t>
      </w:r>
    </w:p>
    <w:p>
      <w:pPr>
        <w:widowControl/>
        <w:spacing w:before="75" w:after="75" w:line="435" w:lineRule="atLeast"/>
        <w:ind w:firstLine="480"/>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（2）报价一览表</w:t>
      </w:r>
    </w:p>
    <w:p>
      <w:pPr>
        <w:widowControl/>
        <w:spacing w:before="75" w:after="75" w:line="435" w:lineRule="atLeast"/>
        <w:ind w:firstLine="480"/>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（3）资格证明材料</w:t>
      </w:r>
    </w:p>
    <w:p>
      <w:pPr>
        <w:widowControl/>
        <w:spacing w:before="75" w:after="75" w:line="435" w:lineRule="atLeast"/>
        <w:ind w:firstLine="480"/>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（4）技术和服务要求承诺函</w:t>
      </w:r>
    </w:p>
    <w:p>
      <w:pPr>
        <w:widowControl/>
        <w:spacing w:before="75" w:after="75" w:line="435" w:lineRule="atLeast"/>
        <w:ind w:firstLine="480"/>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（5）相关技术、商务、服务响应承诺及资料（若有）</w:t>
      </w:r>
    </w:p>
    <w:p>
      <w:pPr>
        <w:spacing w:line="360" w:lineRule="auto"/>
        <w:ind w:left="1" w:firstLine="537" w:firstLineChars="224"/>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上述响应书按先后顺序装订成册，并编制目录，用密封袋密封装好，封口处加盖磋商供应商公章或有单位负责人或授权代理人签字或盖章。响应书须用不褪色的蓝、黑墨水填写或打印，且按照竞争性磋商采购文件规定的格式加盖法人单位公章和单位负责人或授权代理人签字或盖章。</w:t>
      </w:r>
    </w:p>
    <w:p>
      <w:pPr>
        <w:spacing w:line="360" w:lineRule="auto"/>
        <w:ind w:firstLine="480" w:firstLineChars="200"/>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13、响应文件编制说明</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13.1组成响应文件的各项文件均应遵守本条款。</w:t>
      </w:r>
    </w:p>
    <w:p>
      <w:pPr>
        <w:spacing w:line="360" w:lineRule="auto"/>
        <w:ind w:firstLine="480" w:firstLineChars="200"/>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13.2磋商供应商应按采购文件的要求，在响应文件的适当位置注明全称并加盖公章，同时有单位负责人或磋商代表人的签字或盖章。为保护磋商供应商的利益，</w:t>
      </w:r>
      <w:r>
        <w:rPr>
          <w:rFonts w:hint="eastAsia" w:asciiTheme="minorEastAsia" w:hAnsiTheme="minorEastAsia" w:eastAsiaTheme="minorEastAsia" w:cstheme="minorEastAsia"/>
          <w:color w:val="auto"/>
          <w:kern w:val="0"/>
          <w:sz w:val="24"/>
          <w:szCs w:val="24"/>
        </w:rPr>
        <w:t>响应文件均要求编制封面、目录、页码，并装订成册。</w:t>
      </w:r>
    </w:p>
    <w:p>
      <w:pPr>
        <w:spacing w:line="360" w:lineRule="auto"/>
        <w:ind w:firstLine="480" w:firstLineChars="200"/>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13.3磋商供应商应按竞争性磋商采购文件中提供的磋商响应文件格式编制资，一式四份（</w:t>
      </w:r>
      <w:r>
        <w:rPr>
          <w:rFonts w:hint="eastAsia" w:asciiTheme="minorEastAsia" w:hAnsiTheme="minorEastAsia" w:eastAsiaTheme="minorEastAsia" w:cstheme="minorEastAsia"/>
          <w:b/>
          <w:bCs/>
          <w:color w:val="auto"/>
          <w:kern w:val="0"/>
          <w:sz w:val="24"/>
          <w:szCs w:val="24"/>
        </w:rPr>
        <w:t>正本一份、副本三份</w:t>
      </w:r>
      <w:r>
        <w:rPr>
          <w:rFonts w:hint="eastAsia" w:asciiTheme="minorEastAsia" w:hAnsiTheme="minorEastAsia" w:eastAsiaTheme="minorEastAsia" w:cstheme="minorEastAsia"/>
          <w:color w:val="auto"/>
          <w:kern w:val="0"/>
          <w:sz w:val="24"/>
          <w:szCs w:val="24"/>
        </w:rPr>
        <w:t>，在每一份磋商响应书上要明确“正本”或“副本”字样，所有响应文件须密封提交。因正本与副本不一致或未按采购文件要求编制而导致响应文件被误读或拒绝等不利后果由供应商承担。</w:t>
      </w:r>
    </w:p>
    <w:p>
      <w:pPr>
        <w:spacing w:line="360" w:lineRule="auto"/>
        <w:ind w:firstLine="480" w:firstLineChars="200"/>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15除非合同中另有规定，磋商供应商的报价均已包括了为实施和完成合同所需的建设及回购期内的一切费用。</w:t>
      </w:r>
    </w:p>
    <w:p>
      <w:pPr>
        <w:spacing w:line="360" w:lineRule="auto"/>
        <w:ind w:firstLine="480" w:firstLineChars="200"/>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16、磋商保证金</w:t>
      </w:r>
    </w:p>
    <w:p>
      <w:pPr>
        <w:spacing w:line="360" w:lineRule="auto"/>
        <w:ind w:firstLine="480" w:firstLineChars="200"/>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16.1磋商保证金为磋商响应文件的组成部分之一。</w:t>
      </w:r>
    </w:p>
    <w:p>
      <w:pPr>
        <w:spacing w:line="360" w:lineRule="auto"/>
        <w:ind w:firstLine="480" w:firstLineChars="200"/>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16.2磋商供应商应从其帐户银行转帐或电汇向采购代理机构指定的帐户提交本采购文件规定的磋商保证金。</w:t>
      </w:r>
    </w:p>
    <w:p>
      <w:pPr>
        <w:spacing w:line="360" w:lineRule="auto"/>
        <w:ind w:firstLine="480" w:firstLineChars="200"/>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16.3未按规定提交磋商保证金的磋商响应，将被视为磋商响应无效。</w:t>
      </w:r>
    </w:p>
    <w:p>
      <w:pPr>
        <w:spacing w:line="360" w:lineRule="auto"/>
        <w:ind w:firstLine="480" w:firstLineChars="200"/>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16.4磋商保证金用于保护本次竞争性磋商免受磋商供应商的行为而引起的风险。</w:t>
      </w:r>
    </w:p>
    <w:p>
      <w:pPr>
        <w:spacing w:line="360" w:lineRule="auto"/>
        <w:ind w:firstLine="480" w:firstLineChars="200"/>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16.5未成交供应商的磋商保证金，在采购结果公告发布之日五个工作日内无息一次性退还。</w:t>
      </w:r>
    </w:p>
    <w:p>
      <w:pPr>
        <w:spacing w:line="360" w:lineRule="auto"/>
        <w:ind w:firstLine="480" w:firstLineChars="200"/>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16.6发生以下情况磋商响应保证金将不予退还。</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（一）供应商在提交响应文</w:t>
      </w:r>
      <w:r>
        <w:rPr>
          <w:rFonts w:hint="eastAsia" w:asciiTheme="minorEastAsia" w:hAnsiTheme="minorEastAsia" w:eastAsiaTheme="minorEastAsia" w:cstheme="minorEastAsia"/>
          <w:color w:val="auto"/>
          <w:sz w:val="24"/>
          <w:szCs w:val="24"/>
        </w:rPr>
        <w:t>件截止时间后撤回响应文件的；</w:t>
      </w:r>
    </w:p>
    <w:p>
      <w:pPr>
        <w:spacing w:line="360" w:lineRule="auto"/>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（二）供应商在响应文件中提供虚假材料的；</w:t>
      </w:r>
    </w:p>
    <w:p>
      <w:pPr>
        <w:spacing w:line="360" w:lineRule="auto"/>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（三）除因不可抗力或磋商文件认可的情形以外，成交供应商不与采购人签订合同的；</w:t>
      </w:r>
    </w:p>
    <w:p>
      <w:pPr>
        <w:spacing w:line="360" w:lineRule="auto"/>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（四）供应商与采购人、其他供应商或者采购代理机构恶意串通的；</w:t>
      </w:r>
    </w:p>
    <w:p>
      <w:pPr>
        <w:spacing w:line="360" w:lineRule="auto"/>
        <w:ind w:firstLine="48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（五）采购文件规定的其他情形。</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上述不予退还询价保证金的情况给采购单位或招标代理机构造成损失的，还要承担赔偿责任。</w:t>
      </w:r>
    </w:p>
    <w:p>
      <w:pPr>
        <w:spacing w:line="360" w:lineRule="auto"/>
        <w:ind w:firstLine="480" w:firstLineChars="200"/>
        <w:jc w:val="center"/>
        <w:textAlignment w:val="baseline"/>
        <w:rPr>
          <w:rFonts w:asciiTheme="minorEastAsia" w:hAnsiTheme="minorEastAsia" w:eastAsiaTheme="minorEastAsia" w:cstheme="minorEastAsia"/>
          <w:b/>
          <w:bCs/>
          <w:color w:val="auto"/>
          <w:sz w:val="24"/>
          <w:szCs w:val="24"/>
        </w:rPr>
      </w:pPr>
    </w:p>
    <w:p>
      <w:pPr>
        <w:pStyle w:val="2"/>
        <w:jc w:val="center"/>
        <w:textAlignment w:val="baseline"/>
        <w:rPr>
          <w:rFonts w:asciiTheme="minorEastAsia" w:hAnsiTheme="minorEastAsia" w:eastAsiaTheme="minorEastAsia" w:cstheme="minorEastAsia"/>
          <w:color w:val="auto"/>
          <w:sz w:val="28"/>
          <w:szCs w:val="28"/>
        </w:rPr>
      </w:pPr>
      <w:bookmarkStart w:id="8" w:name="_Toc36811833"/>
      <w:r>
        <w:rPr>
          <w:rFonts w:hint="eastAsia" w:asciiTheme="minorEastAsia" w:hAnsiTheme="minorEastAsia" w:eastAsiaTheme="minorEastAsia" w:cstheme="minorEastAsia"/>
          <w:color w:val="auto"/>
        </w:rPr>
        <w:t>四、磋商响应文件的递交</w:t>
      </w:r>
      <w:bookmarkEnd w:id="8"/>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18、磋商响应文件的密封和标记</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18.1供应商应当将响应文件密封包装提交，并在外封套上标识项目名称、项目编号。</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18.2密封件封口处须加盖单位公章或授权代表（单位负责人或授权代理人）签字或盖章。</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18.3由于供应商未按照要求对其提交的响应文件进行密封、标识等，由此可能产生的后果（包括拒收、误放、遗漏或提前拆封等情形），将由供应商自行承担相应结果，采购人或采购代理机构不承担责任。</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19、递交磋商响应文件的截止时间</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19.1所有磋商响应文件都必须按采购代理机构在竞争性磋商邀请中规定的递交磋商响应文件截止时间之前由磋商供应商代表送至磋商地点。递交响应文件时，必须由单位负责人或授权代表填写签到表。</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19.2出现因竞争性磋商采购文件的修改推迟磋商响应截止日期时，则按采购代理机构修改通知规定的时间递交。</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19.3</w:t>
      </w:r>
      <w:r>
        <w:rPr>
          <w:rFonts w:hint="eastAsia" w:asciiTheme="minorEastAsia" w:hAnsiTheme="minorEastAsia" w:eastAsiaTheme="minorEastAsia" w:cstheme="minorEastAsia"/>
          <w:color w:val="auto"/>
          <w:kern w:val="0"/>
          <w:sz w:val="24"/>
          <w:szCs w:val="24"/>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r>
        <w:rPr>
          <w:rFonts w:hint="eastAsia" w:asciiTheme="minorEastAsia" w:hAnsiTheme="minorEastAsia" w:eastAsiaTheme="minorEastAsia" w:cstheme="minorEastAsia"/>
          <w:color w:val="auto"/>
          <w:sz w:val="24"/>
          <w:szCs w:val="24"/>
        </w:rPr>
        <w:t>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19.4递交磋商响应文件的截止后，由监督人员或供应商代表检查响应文件的密封情况。</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20、迟交的磋商响应文件</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20.1竞争性磋商小组将拒绝在递交磋商响应文件截止时间后收到的磋商响应文件。</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21、磋商响应文件撤销</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21.1磋商供应商在提交磋商响应文件后可对其磋商响应文件进行撤销，但采购代理机构须在递交磋商响应文件截止时间之前收到该撤销的书面通知。</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21.2磋商供应商不得在磋商有效期内撤销磋商响应文件，否则16.6的规定，其磋商响应保证金将不予退回。</w:t>
      </w:r>
    </w:p>
    <w:p>
      <w:pPr>
        <w:pStyle w:val="2"/>
        <w:jc w:val="center"/>
        <w:textAlignment w:val="baseline"/>
        <w:rPr>
          <w:rFonts w:asciiTheme="minorEastAsia" w:hAnsiTheme="minorEastAsia" w:eastAsiaTheme="minorEastAsia" w:cstheme="minorEastAsia"/>
          <w:color w:val="auto"/>
          <w:sz w:val="28"/>
          <w:szCs w:val="28"/>
        </w:rPr>
      </w:pPr>
      <w:bookmarkStart w:id="9" w:name="_Toc36811834"/>
      <w:r>
        <w:rPr>
          <w:rFonts w:hint="eastAsia" w:asciiTheme="minorEastAsia" w:hAnsiTheme="minorEastAsia" w:eastAsiaTheme="minorEastAsia" w:cstheme="minorEastAsia"/>
          <w:color w:val="auto"/>
        </w:rPr>
        <w:t>五、竞争性磋商</w:t>
      </w:r>
      <w:bookmarkEnd w:id="9"/>
    </w:p>
    <w:p>
      <w:pPr>
        <w:spacing w:line="360" w:lineRule="auto"/>
        <w:ind w:firstLine="480" w:firstLineChars="200"/>
        <w:jc w:val="left"/>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22、竞争性磋商</w:t>
      </w:r>
    </w:p>
    <w:p>
      <w:pPr>
        <w:pStyle w:val="18"/>
        <w:spacing w:before="75" w:beforeAutospacing="0" w:after="75" w:afterAutospacing="0" w:line="435" w:lineRule="atLeast"/>
        <w:ind w:firstLine="480" w:firstLineChars="200"/>
        <w:textAlignment w:val="baseline"/>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22.1评审和磋商基本准则</w:t>
      </w:r>
    </w:p>
    <w:p>
      <w:pPr>
        <w:widowControl/>
        <w:spacing w:before="75" w:after="75" w:line="435" w:lineRule="atLeast"/>
        <w:ind w:firstLine="360" w:firstLineChars="150"/>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22.1.1对所有供应商的评审和磋商，都采用相同的程序和标准。</w:t>
      </w:r>
    </w:p>
    <w:p>
      <w:pPr>
        <w:widowControl/>
        <w:spacing w:before="75" w:after="75" w:line="435" w:lineRule="atLeast"/>
        <w:ind w:firstLine="405"/>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22.1.2磋商及评审过程将严格按照磋商文件的要求和条件进行，磋商小组将根据供应商的响应文件，按磋商文件规定的磋商程序及评审的标准和方法进行评审、磋商，并推荐入围供应商。</w:t>
      </w:r>
    </w:p>
    <w:p>
      <w:pPr>
        <w:spacing w:line="360" w:lineRule="auto"/>
        <w:ind w:firstLine="480" w:firstLineChars="200"/>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磋商文件内容违反国家有关强制性规定的，磋商小组应当停止评审并向采购人或者采购代理机构说明情况。</w:t>
      </w:r>
    </w:p>
    <w:p>
      <w:pPr>
        <w:widowControl/>
        <w:spacing w:before="75" w:after="75" w:line="435" w:lineRule="atLeast"/>
        <w:ind w:firstLine="350" w:firstLineChars="146"/>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22.2磋商程序以及评审标准和方法</w:t>
      </w:r>
    </w:p>
    <w:p>
      <w:pPr>
        <w:widowControl/>
        <w:spacing w:before="75" w:after="75" w:line="435" w:lineRule="atLeast"/>
        <w:ind w:firstLine="360" w:firstLineChars="150"/>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22.2.1采购人将根据项目的特点依法组建磋商小组。磋商小组将根据磋商文件规定的程序、评审标准和方法等内容对供应商进行评审、磋商。</w:t>
      </w:r>
    </w:p>
    <w:p>
      <w:pPr>
        <w:widowControl/>
        <w:spacing w:before="75" w:after="75" w:line="435" w:lineRule="atLeast"/>
        <w:ind w:firstLine="360" w:firstLineChars="150"/>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22.2.2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widowControl/>
        <w:spacing w:before="75" w:after="75" w:line="435" w:lineRule="atLeast"/>
        <w:ind w:firstLine="480" w:firstLineChars="200"/>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22.2.3供应商有下列情况之一者，其提交的响应文件将被视为未实质性响应磋商文件要求，磋商小组将否决其响应文件，按无效处理：</w:t>
      </w:r>
    </w:p>
    <w:p>
      <w:pPr>
        <w:widowControl/>
        <w:spacing w:before="75" w:after="75" w:line="435" w:lineRule="atLeast"/>
        <w:ind w:firstLine="480"/>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(1)响应文件中提供的资格证明文件不全的；</w:t>
      </w:r>
    </w:p>
    <w:p>
      <w:pPr>
        <w:widowControl/>
        <w:spacing w:before="75" w:after="75" w:line="435" w:lineRule="atLeast"/>
        <w:ind w:firstLine="480"/>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(2)响应文件未按磋商文件规定由供应商代表签字，或未按磋商文件规定加盖供应商单位公章的；或供应商代表未获得有效授权的；</w:t>
      </w:r>
    </w:p>
    <w:p>
      <w:pPr>
        <w:widowControl/>
        <w:spacing w:before="75" w:after="75" w:line="435" w:lineRule="atLeast"/>
        <w:ind w:firstLine="480"/>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(3)供应商未按磋商文件规定提交磋商保证金的；</w:t>
      </w:r>
    </w:p>
    <w:p>
      <w:pPr>
        <w:widowControl/>
        <w:spacing w:before="75" w:after="75" w:line="435" w:lineRule="atLeast"/>
        <w:ind w:firstLine="480"/>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(4)响应文件有效期不满足磋商文件要求的；</w:t>
      </w:r>
    </w:p>
    <w:p>
      <w:pPr>
        <w:widowControl/>
        <w:spacing w:before="75" w:after="75" w:line="435" w:lineRule="atLeast"/>
        <w:ind w:firstLine="480"/>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(5)响应内容与磋商采购内容及要求有重大偏离或保留的，限制了采购人的权利或者减少成交人合同项下的义务；（由于磋商项目本身特点，不能详细列明采购标的的技术、服务要求的除外）；</w:t>
      </w:r>
    </w:p>
    <w:p>
      <w:pPr>
        <w:widowControl/>
        <w:spacing w:before="75" w:after="75" w:line="435" w:lineRule="atLeast"/>
        <w:ind w:firstLine="480"/>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(6)响应文件中附有采购人无法接受的条件的；</w:t>
      </w:r>
    </w:p>
    <w:p>
      <w:pPr>
        <w:widowControl/>
        <w:spacing w:before="75" w:after="75" w:line="435" w:lineRule="atLeast"/>
        <w:ind w:firstLine="480"/>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(7)不符合磋商文件中规定的其它实质性条款（比如：报价超过了磋商文件规定的最高限价）。</w:t>
      </w:r>
    </w:p>
    <w:p>
      <w:pPr>
        <w:widowControl/>
        <w:spacing w:before="75" w:after="75" w:line="435" w:lineRule="atLeast"/>
        <w:ind w:firstLine="405"/>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磋商小组决定供应商的响应性只根据响应文件本身的内容，而不寻求其他的外部证据。</w:t>
      </w:r>
    </w:p>
    <w:p>
      <w:pPr>
        <w:pStyle w:val="18"/>
        <w:spacing w:before="75" w:beforeAutospacing="0" w:after="75" w:afterAutospacing="0" w:line="435" w:lineRule="atLeast"/>
        <w:ind w:firstLine="480" w:firstLineChars="200"/>
        <w:textAlignment w:val="baseline"/>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22.2.4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18"/>
        <w:spacing w:before="75" w:beforeAutospacing="0" w:after="75" w:afterAutospacing="0" w:line="435" w:lineRule="atLeast"/>
        <w:ind w:firstLine="480" w:firstLineChars="200"/>
        <w:textAlignment w:val="baseline"/>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磋商供应商在进行澄清、说明、或者更正时，不得阐述与问题无关的内容，未经允许不得向磋商小组提供新的材料。</w:t>
      </w:r>
    </w:p>
    <w:p>
      <w:pPr>
        <w:pStyle w:val="18"/>
        <w:spacing w:before="75" w:beforeAutospacing="0" w:after="75" w:afterAutospacing="0" w:line="435" w:lineRule="atLeast"/>
        <w:ind w:firstLine="480" w:firstLineChars="200"/>
        <w:textAlignment w:val="baseline"/>
        <w:rPr>
          <w:rFonts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color w:val="auto"/>
        </w:rPr>
        <w:t>报价金额按照以下规定修正原则：①报价一览表内容与响应文件中相应内容不一致的，以报价一览表为准；②大写金额和小写金额不一致的，以大写金额为准；③单价金额小数点或百分比有明显错位的，以报价一览表的总价为准，并修改单价；④总价金额与按照单价汇总金额不一致的，以单价金额计算结果为准。</w:t>
      </w: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22.2.5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采购项目内容、报价、合同条款。</w:t>
      </w: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22.2.6合格供应商应当按照磋商文件的变动情况和磋商小组的要求提交补充响应文件（首次响应文件中已经提交过的如资格证明文件等资料，不用重新提供），并由供应商代表签字或加盖供应商单位公章。供应商代</w:t>
      </w:r>
      <w:r>
        <w:rPr>
          <w:rFonts w:hint="eastAsia" w:asciiTheme="minorEastAsia" w:hAnsiTheme="minorEastAsia" w:eastAsiaTheme="minorEastAsia" w:cstheme="minorEastAsia"/>
          <w:color w:val="auto"/>
          <w:sz w:val="24"/>
          <w:szCs w:val="24"/>
        </w:rPr>
        <w:t>表如果不是竞争性磋商须知中定义的“单位负责人”，则还必须提供“单位负责人授权书”。</w:t>
      </w:r>
    </w:p>
    <w:p>
      <w:pPr>
        <w:pStyle w:val="18"/>
        <w:spacing w:before="75" w:beforeAutospacing="0" w:after="75" w:afterAutospacing="0" w:line="435" w:lineRule="atLeast"/>
        <w:textAlignment w:val="baseline"/>
        <w:rPr>
          <w:rFonts w:asciiTheme="minorEastAsia" w:hAnsiTheme="minorEastAsia" w:eastAsiaTheme="minorEastAsia" w:cstheme="minorEastAsia"/>
          <w:color w:val="auto"/>
          <w:sz w:val="27"/>
          <w:szCs w:val="27"/>
        </w:rPr>
      </w:pPr>
      <w:r>
        <w:rPr>
          <w:rFonts w:hint="eastAsia" w:asciiTheme="minorEastAsia" w:hAnsiTheme="minorEastAsia" w:eastAsiaTheme="minorEastAsia" w:cstheme="minorEastAsia"/>
          <w:color w:val="auto"/>
          <w:sz w:val="29"/>
          <w:szCs w:val="29"/>
        </w:rPr>
        <w:t>　</w:t>
      </w:r>
      <w:r>
        <w:rPr>
          <w:rFonts w:hint="eastAsia" w:asciiTheme="minorEastAsia" w:hAnsiTheme="minorEastAsia" w:eastAsiaTheme="minorEastAsia" w:cstheme="minorEastAsia"/>
          <w:color w:val="auto"/>
        </w:rPr>
        <w:t>　22.2.7磋商文件能够详细列明采购标的的技术、服务要求的，磋商结束后，磋商小组应当要求所有实质性响应的合格供应商在规定时间内提交最后报价。</w:t>
      </w: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22.2.8磋商文件不能详细列明采购标的的技术、服务要求，需经磋商由供应商提供最终设计方案或解决方案的，磋商结束后，磋商小组应当按照少数服从多数的原则投票推荐1家或以上供应商的设计方案或者解决方案，并要求其在规定时间内提交最后报价。</w:t>
      </w: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22.2.9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widowControl/>
        <w:spacing w:before="75" w:after="75" w:line="435" w:lineRule="atLeast"/>
        <w:ind w:firstLine="480" w:firstLineChars="200"/>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 22.2.10磋商小组将采用综合评分法对提交最后报价的供应商的响应文件和最后报价进行综合评分，具体评审的标准和方法详见第23项。磋商小组根据综合评分情况，按照评审得分由高到低顺序推荐入围供应商，并编写评审报告。如果成交候选供应商出现并列相同的评审得分，则相应处理方式按照“评审的方法和入围原则”的相关条款规定执行。</w:t>
      </w: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22.2.11供应商提交的响应文件和资料将给予保密，但不退回（有关证件或证照的原件除外）。</w:t>
      </w:r>
    </w:p>
    <w:p>
      <w:pPr>
        <w:widowControl/>
        <w:spacing w:before="75" w:after="75" w:line="435" w:lineRule="atLeast"/>
        <w:ind w:firstLine="360" w:firstLineChars="150"/>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23、评审方法和入围原则：</w:t>
      </w:r>
    </w:p>
    <w:p>
      <w:pPr>
        <w:spacing w:line="440" w:lineRule="exact"/>
        <w:ind w:firstLine="480" w:firstLineChars="200"/>
        <w:textAlignment w:val="baseline"/>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kern w:val="0"/>
          <w:sz w:val="24"/>
          <w:szCs w:val="24"/>
        </w:rPr>
        <w:t>23.1</w:t>
      </w:r>
      <w:r>
        <w:rPr>
          <w:rFonts w:hint="eastAsia" w:asciiTheme="minorEastAsia" w:hAnsiTheme="minorEastAsia" w:eastAsiaTheme="minorEastAsia" w:cstheme="minorEastAsia"/>
          <w:b/>
          <w:bCs/>
          <w:color w:val="auto"/>
          <w:sz w:val="24"/>
          <w:szCs w:val="24"/>
        </w:rPr>
        <w:t>采用综合评分办法，确定成交侯选供应商。分值由技术商务和价格</w:t>
      </w:r>
      <w:r>
        <w:rPr>
          <w:rFonts w:hint="eastAsia" w:asciiTheme="minorEastAsia" w:hAnsiTheme="minorEastAsia" w:eastAsiaTheme="minorEastAsia" w:cstheme="minorEastAsia"/>
          <w:b/>
          <w:bCs/>
          <w:color w:val="auto"/>
          <w:sz w:val="24"/>
          <w:szCs w:val="24"/>
          <w:lang w:val="en-US" w:eastAsia="zh-CN"/>
        </w:rPr>
        <w:t>两</w:t>
      </w:r>
      <w:r>
        <w:rPr>
          <w:rFonts w:hint="eastAsia" w:asciiTheme="minorEastAsia" w:hAnsiTheme="minorEastAsia" w:eastAsiaTheme="minorEastAsia" w:cstheme="minorEastAsia"/>
          <w:b/>
          <w:bCs/>
          <w:color w:val="auto"/>
          <w:sz w:val="24"/>
          <w:szCs w:val="24"/>
        </w:rPr>
        <w:t>部分构成，采用百分制。磋商小组按评审后投标供应商综合得分由高到低排列顺序。总得分相同的，按总报价由低到高顺序排列；总得分及总报价相同的，通过随机抽取方式确定排序。磋商小组根据前述要求推荐1名成交侯选供应商。</w:t>
      </w:r>
    </w:p>
    <w:p>
      <w:pPr>
        <w:spacing w:line="440" w:lineRule="exact"/>
        <w:ind w:firstLine="480" w:firstLineChars="200"/>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23.2具体评审标准和方法</w:t>
      </w:r>
    </w:p>
    <w:p>
      <w:pPr>
        <w:numPr>
          <w:ilvl w:val="0"/>
          <w:numId w:val="4"/>
        </w:numPr>
        <w:spacing w:line="440" w:lineRule="exact"/>
        <w:ind w:firstLine="480" w:firstLineChars="200"/>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响应文件满足磋商文件全部实质性要求，且按照评审因素的量化指标综合评审总得分从高到低顺序推荐</w:t>
      </w:r>
      <w:r>
        <w:rPr>
          <w:rFonts w:hint="eastAsia" w:asciiTheme="minorEastAsia" w:hAnsiTheme="minorEastAsia" w:eastAsiaTheme="minorEastAsia" w:cstheme="minorEastAsia"/>
          <w:color w:val="auto"/>
          <w:sz w:val="24"/>
          <w:szCs w:val="24"/>
        </w:rPr>
        <w:t>1名</w:t>
      </w:r>
      <w:r>
        <w:rPr>
          <w:rFonts w:hint="eastAsia" w:asciiTheme="minorEastAsia" w:hAnsiTheme="minorEastAsia" w:eastAsiaTheme="minorEastAsia" w:cstheme="minorEastAsia"/>
          <w:color w:val="auto"/>
          <w:kern w:val="0"/>
          <w:sz w:val="24"/>
          <w:szCs w:val="24"/>
        </w:rPr>
        <w:t>成交候选人供应商，其中评审总得分最高的供应商为第一成交候选供应商。</w:t>
      </w:r>
    </w:p>
    <w:p>
      <w:pPr>
        <w:spacing w:line="440" w:lineRule="exact"/>
        <w:ind w:firstLine="480" w:firstLineChars="200"/>
        <w:textAlignment w:val="baseline"/>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kern w:val="0"/>
          <w:sz w:val="24"/>
          <w:szCs w:val="24"/>
        </w:rPr>
        <w:t>注：各项分值计算时保留至小数点后两位，第三位四舍五入。</w:t>
      </w:r>
    </w:p>
    <w:p>
      <w:pPr>
        <w:numPr>
          <w:ilvl w:val="0"/>
          <w:numId w:val="4"/>
        </w:numPr>
        <w:spacing w:before="100" w:beforeAutospacing="1" w:after="100" w:afterAutospacing="1" w:line="420" w:lineRule="atLeast"/>
        <w:ind w:firstLine="480" w:firstLineChars="200"/>
        <w:jc w:val="left"/>
        <w:textAlignment w:val="baseline"/>
        <w:rPr>
          <w:rFonts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技术</w:t>
      </w:r>
      <w:r>
        <w:rPr>
          <w:rFonts w:hint="eastAsia" w:asciiTheme="minorEastAsia" w:hAnsiTheme="minorEastAsia" w:eastAsiaTheme="minorEastAsia" w:cstheme="minorEastAsia"/>
          <w:b/>
          <w:bCs/>
          <w:color w:val="auto"/>
          <w:kern w:val="0"/>
          <w:sz w:val="24"/>
          <w:szCs w:val="24"/>
          <w:lang w:val="en-US" w:eastAsia="zh-CN"/>
        </w:rPr>
        <w:t>商务</w:t>
      </w:r>
      <w:r>
        <w:rPr>
          <w:rFonts w:hint="eastAsia" w:asciiTheme="minorEastAsia" w:hAnsiTheme="minorEastAsia" w:eastAsiaTheme="minorEastAsia" w:cstheme="minorEastAsia"/>
          <w:b/>
          <w:bCs/>
          <w:color w:val="auto"/>
          <w:kern w:val="0"/>
          <w:sz w:val="24"/>
          <w:szCs w:val="24"/>
        </w:rPr>
        <w:t>部分评分</w:t>
      </w:r>
      <w:r>
        <w:rPr>
          <w:rFonts w:hint="eastAsia" w:asciiTheme="minorEastAsia" w:hAnsiTheme="minorEastAsia" w:eastAsiaTheme="minorEastAsia" w:cstheme="minorEastAsia"/>
          <w:b/>
          <w:bCs/>
          <w:color w:val="auto"/>
          <w:kern w:val="0"/>
          <w:sz w:val="24"/>
          <w:szCs w:val="24"/>
          <w:lang w:val="en-US" w:eastAsia="zh-CN"/>
        </w:rPr>
        <w:t>A</w:t>
      </w:r>
      <w:r>
        <w:rPr>
          <w:rFonts w:hint="eastAsia" w:asciiTheme="minorEastAsia" w:hAnsiTheme="minorEastAsia" w:eastAsiaTheme="minorEastAsia" w:cstheme="minorEastAsia"/>
          <w:b/>
          <w:bCs/>
          <w:color w:val="auto"/>
          <w:kern w:val="0"/>
          <w:sz w:val="24"/>
          <w:szCs w:val="24"/>
        </w:rPr>
        <w:t>           满分</w:t>
      </w:r>
      <w:r>
        <w:rPr>
          <w:rFonts w:hint="eastAsia" w:asciiTheme="minorEastAsia" w:hAnsiTheme="minorEastAsia" w:eastAsiaTheme="minorEastAsia" w:cstheme="minorEastAsia"/>
          <w:b/>
          <w:bCs/>
          <w:color w:val="auto"/>
          <w:kern w:val="0"/>
          <w:sz w:val="24"/>
          <w:szCs w:val="24"/>
          <w:lang w:val="en-US" w:eastAsia="zh-CN"/>
        </w:rPr>
        <w:t>30</w:t>
      </w:r>
      <w:r>
        <w:rPr>
          <w:rFonts w:hint="eastAsia" w:asciiTheme="minorEastAsia" w:hAnsiTheme="minorEastAsia" w:eastAsiaTheme="minorEastAsia" w:cstheme="minorEastAsia"/>
          <w:b/>
          <w:bCs/>
          <w:color w:val="auto"/>
          <w:kern w:val="0"/>
          <w:sz w:val="24"/>
          <w:szCs w:val="24"/>
        </w:rPr>
        <w:t>分</w:t>
      </w:r>
    </w:p>
    <w:tbl>
      <w:tblPr>
        <w:tblStyle w:val="22"/>
        <w:tblW w:w="4998"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968"/>
        <w:gridCol w:w="968"/>
        <w:gridCol w:w="728"/>
        <w:gridCol w:w="565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blHeader/>
        </w:trPr>
        <w:tc>
          <w:tcPr>
            <w:tcW w:w="629" w:type="pct"/>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hint="eastAsia" w:asciiTheme="minorEastAsia" w:hAnsiTheme="minorEastAsia" w:eastAsiaTheme="minorEastAsia" w:cstheme="minorEastAsia"/>
                <w:color w:val="auto"/>
                <w:kern w:val="0"/>
                <w:sz w:val="24"/>
                <w:lang w:val="en-US" w:eastAsia="zh-CN"/>
              </w:rPr>
            </w:pPr>
            <w:r>
              <w:rPr>
                <w:rFonts w:hint="eastAsia" w:asciiTheme="minorEastAsia" w:hAnsiTheme="minorEastAsia" w:eastAsiaTheme="minorEastAsia" w:cstheme="minorEastAsia"/>
                <w:color w:val="auto"/>
                <w:kern w:val="0"/>
                <w:sz w:val="24"/>
                <w:lang w:val="en-US" w:eastAsia="zh-CN"/>
              </w:rPr>
              <w:t>序号</w:t>
            </w:r>
          </w:p>
        </w:tc>
        <w:tc>
          <w:tcPr>
            <w:tcW w:w="629" w:type="pct"/>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评标项目</w:t>
            </w:r>
          </w:p>
        </w:tc>
        <w:tc>
          <w:tcPr>
            <w:tcW w:w="484" w:type="pct"/>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评标分值</w:t>
            </w:r>
          </w:p>
        </w:tc>
        <w:tc>
          <w:tcPr>
            <w:tcW w:w="3257" w:type="pct"/>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629" w:type="pct"/>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29" w:type="pct"/>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cstheme="minorEastAsia"/>
                <w:color w:val="auto"/>
                <w:kern w:val="0"/>
                <w:sz w:val="24"/>
              </w:rPr>
            </w:pPr>
            <w:r>
              <w:rPr>
                <w:rFonts w:hint="eastAsia" w:ascii="宋体" w:hAnsi="宋体" w:eastAsia="宋体" w:cs="宋体"/>
                <w:color w:val="auto"/>
                <w:sz w:val="24"/>
                <w:szCs w:val="24"/>
                <w:highlight w:val="none"/>
              </w:rPr>
              <w:t>许可</w:t>
            </w:r>
            <w:r>
              <w:rPr>
                <w:rFonts w:hint="eastAsia" w:ascii="宋体" w:hAnsi="宋体" w:eastAsia="宋体" w:cs="宋体"/>
                <w:color w:val="auto"/>
                <w:sz w:val="24"/>
                <w:szCs w:val="24"/>
                <w:highlight w:val="none"/>
                <w:lang w:eastAsia="zh-CN"/>
              </w:rPr>
              <w:t>证</w:t>
            </w:r>
            <w:r>
              <w:rPr>
                <w:rFonts w:hint="eastAsia" w:ascii="宋体" w:hAnsi="宋体" w:eastAsia="宋体" w:cs="宋体"/>
                <w:color w:val="auto"/>
                <w:sz w:val="24"/>
                <w:szCs w:val="24"/>
                <w:highlight w:val="none"/>
              </w:rPr>
              <w:t>级别</w:t>
            </w:r>
          </w:p>
        </w:tc>
        <w:tc>
          <w:tcPr>
            <w:tcW w:w="484" w:type="pct"/>
            <w:tcBorders>
              <w:top w:val="outset" w:color="auto" w:sz="6" w:space="0"/>
              <w:left w:val="outset" w:color="auto" w:sz="6" w:space="0"/>
              <w:bottom w:val="outset" w:color="auto" w:sz="6" w:space="0"/>
              <w:right w:val="outset" w:color="auto" w:sz="6" w:space="0"/>
            </w:tcBorders>
            <w:vAlign w:val="center"/>
          </w:tcPr>
          <w:p>
            <w:pPr>
              <w:jc w:val="center"/>
              <w:rPr>
                <w:rFonts w:hint="default" w:asciiTheme="minorEastAsia" w:hAnsiTheme="minorEastAsia" w:eastAsiaTheme="minorEastAsia" w:cstheme="minorEastAsia"/>
                <w:color w:val="auto"/>
                <w:kern w:val="0"/>
                <w:sz w:val="24"/>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3257" w:type="pct"/>
            <w:tcBorders>
              <w:top w:val="outset" w:color="auto" w:sz="6" w:space="0"/>
              <w:left w:val="outset" w:color="auto" w:sz="6" w:space="0"/>
              <w:bottom w:val="outset" w:color="auto" w:sz="6" w:space="0"/>
              <w:right w:val="outset" w:color="auto" w:sz="6" w:space="0"/>
            </w:tcBorders>
            <w:vAlign w:val="top"/>
          </w:tcPr>
          <w:p>
            <w:pPr>
              <w:spacing w:line="360" w:lineRule="auto"/>
              <w:rPr>
                <w:rFonts w:asciiTheme="minorEastAsia" w:hAnsiTheme="minorEastAsia" w:eastAsiaTheme="minorEastAsia" w:cstheme="minorEastAsia"/>
                <w:color w:val="auto"/>
                <w:kern w:val="0"/>
                <w:sz w:val="24"/>
              </w:rPr>
            </w:pPr>
            <w:r>
              <w:rPr>
                <w:rFonts w:hint="eastAsia" w:ascii="宋体" w:hAnsi="宋体" w:eastAsia="宋体" w:cs="宋体"/>
                <w:color w:val="auto"/>
                <w:kern w:val="2"/>
                <w:sz w:val="24"/>
                <w:szCs w:val="24"/>
                <w:highlight w:val="none"/>
                <w:lang w:val="en-US" w:eastAsia="zh-CN" w:bidi="ar-SA"/>
              </w:rPr>
              <w:t>具备的特种设备安装改造维修许可证: A级（含A1和A2级）的得3分，B级的得2分，其他情况不得分。</w:t>
            </w:r>
            <w:r>
              <w:rPr>
                <w:rFonts w:hint="eastAsia" w:ascii="宋体" w:hAnsi="宋体" w:eastAsia="宋体" w:cs="宋体"/>
                <w:b/>
                <w:bCs/>
                <w:color w:val="auto"/>
                <w:sz w:val="24"/>
                <w:szCs w:val="24"/>
                <w:highlight w:val="none"/>
              </w:rPr>
              <w:t>须提供</w:t>
            </w:r>
            <w:r>
              <w:rPr>
                <w:rFonts w:hint="eastAsia" w:ascii="宋体" w:hAnsi="宋体" w:eastAsia="宋体" w:cs="宋体"/>
                <w:b/>
                <w:bCs/>
                <w:color w:val="auto"/>
                <w:sz w:val="24"/>
                <w:szCs w:val="24"/>
                <w:highlight w:val="none"/>
                <w:lang w:eastAsia="zh-CN"/>
              </w:rPr>
              <w:t>特种设备安装改造维修许可证</w:t>
            </w:r>
            <w:r>
              <w:rPr>
                <w:rFonts w:hint="eastAsia" w:ascii="宋体" w:hAnsi="宋体" w:eastAsia="宋体" w:cs="宋体"/>
                <w:b/>
                <w:bCs/>
                <w:color w:val="auto"/>
                <w:sz w:val="24"/>
                <w:szCs w:val="24"/>
                <w:highlight w:val="none"/>
              </w:rPr>
              <w:t>复印件</w:t>
            </w:r>
            <w:r>
              <w:rPr>
                <w:rFonts w:hint="eastAsia" w:ascii="宋体" w:hAnsi="宋体" w:eastAsia="宋体" w:cs="宋体"/>
                <w:b/>
                <w:bCs/>
                <w:color w:val="auto"/>
                <w:sz w:val="24"/>
                <w:szCs w:val="24"/>
                <w:highlight w:val="none"/>
                <w:lang w:eastAsia="zh-CN"/>
              </w:rPr>
              <w:t>加盖投标人公章</w:t>
            </w:r>
            <w:r>
              <w:rPr>
                <w:rFonts w:hint="eastAsia" w:ascii="宋体" w:hAnsi="宋体" w:eastAsia="宋体" w:cs="宋体"/>
                <w:b/>
                <w:bCs/>
                <w:color w:val="auto"/>
                <w:sz w:val="24"/>
                <w:szCs w:val="24"/>
                <w:highlight w: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629" w:type="pct"/>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hint="eastAsia" w:asciiTheme="minorEastAsia" w:hAnsiTheme="minorEastAsia" w:eastAsiaTheme="minorEastAsia" w:cstheme="minorEastAsia"/>
                <w:color w:val="auto"/>
                <w:kern w:val="0"/>
                <w:sz w:val="24"/>
                <w:lang w:val="en-US" w:eastAsia="zh-CN"/>
              </w:rPr>
            </w:pPr>
            <w:r>
              <w:rPr>
                <w:rFonts w:hint="eastAsia" w:asciiTheme="minorEastAsia" w:hAnsiTheme="minorEastAsia" w:eastAsiaTheme="minorEastAsia" w:cstheme="minorEastAsia"/>
                <w:color w:val="auto"/>
                <w:kern w:val="0"/>
                <w:sz w:val="24"/>
                <w:lang w:val="en-US" w:eastAsia="zh-CN"/>
              </w:rPr>
              <w:t>2</w:t>
            </w:r>
          </w:p>
        </w:tc>
        <w:tc>
          <w:tcPr>
            <w:tcW w:w="629" w:type="pct"/>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cstheme="minorEastAsia"/>
                <w:color w:val="auto"/>
                <w:kern w:val="0"/>
                <w:sz w:val="24"/>
              </w:rPr>
            </w:pPr>
            <w:r>
              <w:rPr>
                <w:rFonts w:hint="eastAsia" w:ascii="宋体" w:hAnsi="宋体" w:eastAsia="宋体" w:cs="宋体"/>
                <w:color w:val="auto"/>
                <w:sz w:val="24"/>
                <w:szCs w:val="24"/>
                <w:highlight w:val="none"/>
                <w:lang w:eastAsia="zh-CN"/>
              </w:rPr>
              <w:t>服务机构</w:t>
            </w:r>
          </w:p>
        </w:tc>
        <w:tc>
          <w:tcPr>
            <w:tcW w:w="484" w:type="pct"/>
            <w:tcBorders>
              <w:top w:val="outset" w:color="auto" w:sz="6" w:space="0"/>
              <w:left w:val="outset" w:color="auto" w:sz="6" w:space="0"/>
              <w:bottom w:val="outset" w:color="auto" w:sz="6" w:space="0"/>
              <w:right w:val="outset" w:color="auto" w:sz="6" w:space="0"/>
            </w:tcBorders>
            <w:vAlign w:val="center"/>
          </w:tcPr>
          <w:p>
            <w:pPr>
              <w:jc w:val="center"/>
              <w:rPr>
                <w:rFonts w:asciiTheme="minorEastAsia" w:hAnsiTheme="minorEastAsia" w:eastAsiaTheme="minorEastAsia" w:cstheme="minorEastAsia"/>
                <w:color w:val="auto"/>
                <w:kern w:val="0"/>
                <w:sz w:val="24"/>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3257" w:type="pct"/>
            <w:tcBorders>
              <w:top w:val="outset" w:color="auto" w:sz="6" w:space="0"/>
              <w:left w:val="outset" w:color="auto" w:sz="6" w:space="0"/>
              <w:bottom w:val="outset" w:color="auto" w:sz="6" w:space="0"/>
              <w:right w:val="outset" w:color="auto" w:sz="6" w:space="0"/>
            </w:tcBorders>
            <w:vAlign w:val="top"/>
          </w:tcPr>
          <w:p>
            <w:pPr>
              <w:spacing w:line="360" w:lineRule="auto"/>
              <w:rPr>
                <w:rFonts w:asciiTheme="minorEastAsia" w:hAnsiTheme="minorEastAsia" w:eastAsiaTheme="minorEastAsia" w:cstheme="minorEastAsia"/>
                <w:color w:val="auto"/>
                <w:kern w:val="0"/>
                <w:sz w:val="24"/>
              </w:rPr>
            </w:pPr>
            <w:r>
              <w:rPr>
                <w:rFonts w:hint="eastAsia" w:ascii="宋体" w:hAnsi="宋体" w:eastAsia="宋体" w:cs="宋体"/>
                <w:color w:val="auto"/>
                <w:sz w:val="24"/>
                <w:szCs w:val="24"/>
                <w:highlight w:val="none"/>
              </w:rPr>
              <w:t>龙岩市</w:t>
            </w:r>
            <w:r>
              <w:rPr>
                <w:rFonts w:hint="eastAsia" w:ascii="宋体" w:hAnsi="宋体" w:eastAsia="宋体" w:cs="宋体"/>
                <w:color w:val="auto"/>
                <w:sz w:val="24"/>
                <w:szCs w:val="24"/>
                <w:highlight w:val="none"/>
                <w:lang w:eastAsia="zh-CN"/>
              </w:rPr>
              <w:t>市场监管</w:t>
            </w:r>
            <w:r>
              <w:rPr>
                <w:rFonts w:hint="eastAsia" w:ascii="宋体" w:hAnsi="宋体" w:eastAsia="宋体" w:cs="宋体"/>
                <w:color w:val="auto"/>
                <w:sz w:val="24"/>
                <w:szCs w:val="24"/>
                <w:highlight w:val="none"/>
              </w:rPr>
              <w:t>局</w:t>
            </w:r>
            <w:r>
              <w:rPr>
                <w:rFonts w:hint="eastAsia" w:ascii="宋体" w:hAnsi="宋体" w:eastAsia="宋体" w:cs="宋体"/>
                <w:color w:val="auto"/>
                <w:sz w:val="24"/>
                <w:szCs w:val="24"/>
                <w:highlight w:val="none"/>
                <w:lang w:val="en-US" w:eastAsia="zh-CN"/>
              </w:rPr>
              <w:t>官网</w:t>
            </w:r>
            <w:r>
              <w:rPr>
                <w:rFonts w:hint="eastAsia" w:ascii="宋体" w:hAnsi="宋体" w:eastAsia="宋体" w:cs="宋体"/>
                <w:color w:val="auto"/>
                <w:sz w:val="24"/>
                <w:szCs w:val="24"/>
                <w:highlight w:val="none"/>
              </w:rPr>
              <w:t>（http://scjgj.longyan.gov.cn/ztzl/tzsb/cxgs/）</w:t>
            </w:r>
            <w:r>
              <w:rPr>
                <w:rFonts w:hint="eastAsia" w:ascii="宋体" w:hAnsi="宋体" w:cs="宋体"/>
                <w:color w:val="auto"/>
                <w:sz w:val="24"/>
                <w:szCs w:val="24"/>
                <w:highlight w:val="none"/>
                <w:lang w:val="en-US" w:eastAsia="zh-CN"/>
              </w:rPr>
              <w:t>2023年</w:t>
            </w:r>
            <w:r>
              <w:rPr>
                <w:rFonts w:hint="eastAsia" w:ascii="宋体" w:hAnsi="宋体" w:eastAsia="宋体" w:cs="宋体"/>
                <w:color w:val="auto"/>
                <w:sz w:val="24"/>
                <w:szCs w:val="24"/>
                <w:highlight w:val="none"/>
              </w:rPr>
              <w:t>发布的</w:t>
            </w:r>
            <w:r>
              <w:rPr>
                <w:rFonts w:hint="eastAsia" w:ascii="宋体" w:hAnsi="宋体" w:eastAsia="宋体" w:cs="宋体"/>
                <w:color w:val="auto"/>
                <w:sz w:val="24"/>
                <w:szCs w:val="24"/>
                <w:highlight w:val="none"/>
                <w:lang w:val="en-US" w:eastAsia="zh-CN"/>
              </w:rPr>
              <w:t>本地维保</w:t>
            </w:r>
            <w:r>
              <w:rPr>
                <w:rFonts w:hint="eastAsia" w:ascii="宋体" w:hAnsi="宋体" w:eastAsia="宋体" w:cs="宋体"/>
                <w:color w:val="auto"/>
                <w:sz w:val="24"/>
                <w:szCs w:val="24"/>
                <w:highlight w:val="none"/>
              </w:rPr>
              <w:t>服务机构获得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外地驻点机构</w:t>
            </w:r>
            <w:r>
              <w:rPr>
                <w:rFonts w:hint="eastAsia" w:ascii="宋体" w:hAnsi="宋体" w:eastAsia="宋体" w:cs="宋体"/>
                <w:color w:val="auto"/>
                <w:sz w:val="24"/>
                <w:szCs w:val="24"/>
                <w:highlight w:val="none"/>
                <w:lang w:val="en-US" w:eastAsia="zh-CN"/>
              </w:rPr>
              <w:t>得2分，</w:t>
            </w:r>
            <w:r>
              <w:rPr>
                <w:rFonts w:hint="eastAsia" w:ascii="宋体" w:hAnsi="宋体" w:eastAsia="宋体" w:cs="宋体"/>
                <w:color w:val="auto"/>
                <w:sz w:val="24"/>
                <w:szCs w:val="24"/>
                <w:highlight w:val="none"/>
              </w:rPr>
              <w:t>其他情况不得分。</w:t>
            </w:r>
            <w:r>
              <w:rPr>
                <w:rFonts w:hint="eastAsia" w:ascii="宋体" w:hAnsi="宋体" w:eastAsia="宋体" w:cs="宋体"/>
                <w:b/>
                <w:bCs/>
                <w:color w:val="auto"/>
                <w:sz w:val="24"/>
                <w:szCs w:val="24"/>
                <w:highlight w:val="none"/>
              </w:rPr>
              <w:t>须提供</w:t>
            </w:r>
            <w:r>
              <w:rPr>
                <w:rFonts w:hint="eastAsia" w:ascii="宋体" w:hAnsi="宋体" w:eastAsia="宋体" w:cs="宋体"/>
                <w:b/>
                <w:bCs/>
                <w:color w:val="auto"/>
                <w:sz w:val="24"/>
                <w:szCs w:val="24"/>
                <w:highlight w:val="none"/>
                <w:lang w:val="en-US" w:eastAsia="zh-CN"/>
              </w:rPr>
              <w:t>该网站</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龙岩市已备案电梯维保单位名单</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截图</w:t>
            </w:r>
            <w:r>
              <w:rPr>
                <w:rFonts w:hint="eastAsia" w:ascii="宋体" w:hAnsi="宋体" w:eastAsia="宋体" w:cs="宋体"/>
                <w:b/>
                <w:bCs/>
                <w:color w:val="auto"/>
                <w:sz w:val="24"/>
                <w:szCs w:val="24"/>
                <w:highlight w:val="none"/>
              </w:rPr>
              <w:t>打印件并加盖投标人公章。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629" w:type="pct"/>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hint="default" w:asciiTheme="minorEastAsia" w:hAnsiTheme="minorEastAsia" w:eastAsiaTheme="minorEastAsia" w:cstheme="minorEastAsia"/>
                <w:color w:val="auto"/>
                <w:kern w:val="0"/>
                <w:sz w:val="24"/>
                <w:lang w:val="en-US" w:eastAsia="zh-CN"/>
              </w:rPr>
            </w:pPr>
            <w:r>
              <w:rPr>
                <w:rFonts w:hint="eastAsia" w:asciiTheme="minorEastAsia" w:hAnsiTheme="minorEastAsia" w:eastAsiaTheme="minorEastAsia" w:cstheme="minorEastAsia"/>
                <w:color w:val="auto"/>
                <w:kern w:val="0"/>
                <w:sz w:val="24"/>
                <w:lang w:val="en-US" w:eastAsia="zh-CN"/>
              </w:rPr>
              <w:t>3</w:t>
            </w:r>
          </w:p>
        </w:tc>
        <w:tc>
          <w:tcPr>
            <w:tcW w:w="629" w:type="pct"/>
            <w:tcBorders>
              <w:top w:val="outset" w:color="auto" w:sz="6" w:space="0"/>
              <w:left w:val="outset" w:color="auto" w:sz="6" w:space="0"/>
              <w:bottom w:val="outset" w:color="auto" w:sz="6" w:space="0"/>
              <w:right w:val="outset" w:color="auto" w:sz="6" w:space="0"/>
            </w:tcBorders>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投标人实力1</w:t>
            </w:r>
          </w:p>
        </w:tc>
        <w:tc>
          <w:tcPr>
            <w:tcW w:w="484" w:type="pct"/>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3257" w:type="pct"/>
            <w:tcBorders>
              <w:top w:val="outset" w:color="auto" w:sz="6" w:space="0"/>
              <w:left w:val="outset" w:color="auto" w:sz="6" w:space="0"/>
              <w:bottom w:val="outset" w:color="auto" w:sz="6" w:space="0"/>
              <w:right w:val="outset" w:color="auto" w:sz="6" w:space="0"/>
            </w:tcBorders>
            <w:vAlign w:val="center"/>
          </w:tcPr>
          <w:p>
            <w:pPr>
              <w:pStyle w:val="29"/>
              <w:keepNext w:val="0"/>
              <w:keepLines w:val="0"/>
              <w:pageBreakBefore w:val="0"/>
              <w:widowControl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本项目</w:t>
            </w:r>
            <w:r>
              <w:rPr>
                <w:rFonts w:hint="eastAsia" w:ascii="宋体" w:hAnsi="宋体" w:eastAsia="宋体" w:cs="宋体"/>
                <w:color w:val="auto"/>
                <w:sz w:val="24"/>
                <w:szCs w:val="24"/>
                <w:highlight w:val="none"/>
                <w:lang w:val="en-US" w:eastAsia="zh-CN"/>
              </w:rPr>
              <w:t>拟派的质检</w:t>
            </w:r>
            <w:r>
              <w:rPr>
                <w:rFonts w:hint="eastAsia" w:ascii="宋体" w:hAnsi="宋体" w:eastAsia="宋体" w:cs="宋体"/>
                <w:color w:val="auto"/>
                <w:sz w:val="24"/>
                <w:szCs w:val="24"/>
                <w:highlight w:val="none"/>
                <w:lang w:eastAsia="zh-CN"/>
              </w:rPr>
              <w:t>负责人持有</w:t>
            </w:r>
            <w:r>
              <w:rPr>
                <w:rFonts w:hint="eastAsia" w:ascii="微软雅黑" w:hAnsi="微软雅黑" w:eastAsia="微软雅黑" w:cs="微软雅黑"/>
                <w:color w:val="auto"/>
                <w:sz w:val="24"/>
                <w:szCs w:val="24"/>
                <w:highlight w:val="none"/>
                <w:lang w:eastAsia="zh-CN"/>
              </w:rPr>
              <w:t>①</w:t>
            </w:r>
            <w:r>
              <w:rPr>
                <w:rFonts w:hint="eastAsia" w:ascii="宋体" w:hAnsi="宋体" w:eastAsia="宋体" w:cs="宋体"/>
                <w:color w:val="auto"/>
                <w:sz w:val="24"/>
                <w:szCs w:val="24"/>
                <w:highlight w:val="none"/>
                <w:lang w:eastAsia="zh-CN"/>
              </w:rPr>
              <w:t>电梯维修证、</w:t>
            </w:r>
            <w:r>
              <w:rPr>
                <w:rFonts w:hint="eastAsia" w:ascii="微软雅黑" w:hAnsi="微软雅黑" w:eastAsia="微软雅黑" w:cs="微软雅黑"/>
                <w:color w:val="auto"/>
                <w:sz w:val="24"/>
                <w:szCs w:val="24"/>
                <w:highlight w:val="none"/>
                <w:lang w:eastAsia="zh-CN"/>
              </w:rPr>
              <w:t>②</w:t>
            </w:r>
            <w:r>
              <w:rPr>
                <w:rFonts w:hint="eastAsia" w:ascii="宋体" w:hAnsi="宋体" w:eastAsia="宋体" w:cs="宋体"/>
                <w:color w:val="auto"/>
                <w:sz w:val="24"/>
                <w:szCs w:val="24"/>
                <w:highlight w:val="none"/>
                <w:lang w:eastAsia="zh-CN"/>
              </w:rPr>
              <w:t>人力资源和社会保障局</w:t>
            </w:r>
            <w:r>
              <w:rPr>
                <w:rFonts w:hint="eastAsia" w:ascii="宋体" w:hAnsi="宋体" w:eastAsia="宋体" w:cs="宋体"/>
                <w:color w:val="auto"/>
                <w:sz w:val="24"/>
                <w:szCs w:val="24"/>
                <w:highlight w:val="none"/>
              </w:rPr>
              <w:t>颁发的电梯安装维修工（三级/高级）</w:t>
            </w:r>
            <w:r>
              <w:rPr>
                <w:rFonts w:hint="eastAsia" w:ascii="宋体" w:hAnsi="宋体" w:eastAsia="宋体" w:cs="宋体"/>
                <w:color w:val="auto"/>
                <w:sz w:val="24"/>
                <w:szCs w:val="24"/>
                <w:highlight w:val="none"/>
                <w:lang w:eastAsia="zh-CN"/>
              </w:rPr>
              <w:t>或以上证书、</w:t>
            </w:r>
            <w:r>
              <w:rPr>
                <w:rFonts w:hint="eastAsia" w:ascii="微软雅黑" w:hAnsi="微软雅黑" w:eastAsia="微软雅黑" w:cs="微软雅黑"/>
                <w:color w:val="auto"/>
                <w:sz w:val="24"/>
                <w:szCs w:val="24"/>
                <w:highlight w:val="none"/>
                <w:lang w:eastAsia="zh-CN"/>
              </w:rPr>
              <w:t>③</w:t>
            </w:r>
            <w:r>
              <w:rPr>
                <w:rFonts w:hint="eastAsia" w:ascii="宋体" w:hAnsi="宋体" w:eastAsia="宋体" w:cs="宋体"/>
                <w:color w:val="auto"/>
                <w:sz w:val="24"/>
                <w:szCs w:val="24"/>
                <w:highlight w:val="none"/>
                <w:lang w:eastAsia="zh-CN"/>
              </w:rPr>
              <w:t>人力资源和社会保障局</w:t>
            </w:r>
            <w:r>
              <w:rPr>
                <w:rFonts w:hint="eastAsia" w:ascii="宋体" w:hAnsi="宋体" w:eastAsia="宋体" w:cs="宋体"/>
                <w:color w:val="auto"/>
                <w:sz w:val="24"/>
                <w:szCs w:val="24"/>
                <w:highlight w:val="none"/>
              </w:rPr>
              <w:t>颁发的</w:t>
            </w:r>
            <w:r>
              <w:rPr>
                <w:rFonts w:hint="eastAsia" w:ascii="宋体" w:hAnsi="宋体" w:eastAsia="宋体" w:cs="宋体"/>
                <w:color w:val="auto"/>
                <w:sz w:val="24"/>
                <w:szCs w:val="24"/>
                <w:highlight w:val="none"/>
                <w:lang w:eastAsia="zh-CN"/>
              </w:rPr>
              <w:t>焊工证书、</w:t>
            </w:r>
            <w:r>
              <w:rPr>
                <w:rFonts w:hint="eastAsia" w:ascii="微软雅黑" w:hAnsi="微软雅黑" w:eastAsia="微软雅黑" w:cs="微软雅黑"/>
                <w:color w:val="auto"/>
                <w:sz w:val="24"/>
                <w:szCs w:val="24"/>
                <w:highlight w:val="none"/>
                <w:lang w:eastAsia="zh-CN"/>
              </w:rPr>
              <w:t>④</w:t>
            </w:r>
            <w:r>
              <w:rPr>
                <w:rFonts w:hint="eastAsia" w:ascii="宋体" w:hAnsi="宋体" w:eastAsia="宋体" w:cs="宋体"/>
                <w:color w:val="auto"/>
                <w:sz w:val="24"/>
                <w:szCs w:val="24"/>
                <w:highlight w:val="none"/>
                <w:lang w:eastAsia="zh-CN"/>
              </w:rPr>
              <w:t>维修电工三级证书、</w:t>
            </w:r>
            <w:r>
              <w:rPr>
                <w:rFonts w:hint="eastAsia" w:ascii="微软雅黑" w:hAnsi="微软雅黑" w:eastAsia="微软雅黑" w:cs="微软雅黑"/>
                <w:color w:val="auto"/>
                <w:sz w:val="24"/>
                <w:szCs w:val="24"/>
                <w:highlight w:val="none"/>
                <w:lang w:eastAsia="zh-CN"/>
              </w:rPr>
              <w:t>⑤</w:t>
            </w:r>
            <w:r>
              <w:rPr>
                <w:rFonts w:hint="eastAsia" w:ascii="宋体" w:hAnsi="宋体" w:eastAsia="宋体" w:cs="宋体"/>
                <w:color w:val="auto"/>
                <w:sz w:val="24"/>
                <w:szCs w:val="24"/>
                <w:highlight w:val="none"/>
                <w:lang w:eastAsia="zh-CN"/>
              </w:rPr>
              <w:t>省级劳安特种设备职业培训中心颁发的电梯质检员及安全员培训合格证书</w:t>
            </w:r>
            <w:r>
              <w:rPr>
                <w:rFonts w:hint="eastAsia" w:ascii="宋体" w:hAnsi="宋体" w:eastAsia="宋体" w:cs="宋体"/>
                <w:color w:val="auto"/>
                <w:sz w:val="24"/>
                <w:szCs w:val="24"/>
                <w:highlight w:val="none"/>
                <w:lang w:val="en-US" w:eastAsia="zh-CN"/>
              </w:rPr>
              <w:t>的得5分，缺一项扣1分</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须</w:t>
            </w:r>
            <w:r>
              <w:rPr>
                <w:rFonts w:hint="eastAsia" w:ascii="宋体" w:hAnsi="宋体" w:eastAsia="宋体" w:cs="宋体"/>
                <w:b/>
                <w:bCs/>
                <w:color w:val="auto"/>
                <w:kern w:val="0"/>
                <w:sz w:val="24"/>
                <w:szCs w:val="24"/>
                <w:highlight w:val="none"/>
                <w:lang w:val="en-US" w:eastAsia="zh-CN"/>
              </w:rPr>
              <w:t>提供</w:t>
            </w:r>
            <w:r>
              <w:rPr>
                <w:rFonts w:hint="eastAsia" w:ascii="宋体" w:hAnsi="宋体" w:eastAsia="宋体" w:cs="宋体"/>
                <w:b/>
                <w:bCs/>
                <w:color w:val="auto"/>
                <w:sz w:val="24"/>
                <w:szCs w:val="24"/>
                <w:highlight w:val="none"/>
                <w:lang w:val="en-US" w:eastAsia="zh-CN"/>
              </w:rPr>
              <w:t>该</w:t>
            </w:r>
            <w:r>
              <w:rPr>
                <w:rFonts w:hint="eastAsia" w:ascii="宋体" w:hAnsi="宋体" w:eastAsia="宋体" w:cs="宋体"/>
                <w:b/>
                <w:bCs/>
                <w:color w:val="auto"/>
                <w:sz w:val="24"/>
                <w:szCs w:val="24"/>
                <w:highlight w:val="none"/>
                <w:lang w:eastAsia="zh-CN"/>
              </w:rPr>
              <w:t>负责人</w:t>
            </w:r>
            <w:r>
              <w:rPr>
                <w:rFonts w:hint="eastAsia" w:ascii="宋体" w:hAnsi="宋体" w:eastAsia="宋体" w:cs="宋体"/>
                <w:b/>
                <w:bCs/>
                <w:color w:val="auto"/>
                <w:sz w:val="24"/>
                <w:szCs w:val="24"/>
                <w:highlight w:val="none"/>
                <w:lang w:val="en-US" w:eastAsia="zh-CN"/>
              </w:rPr>
              <w:t>身份证复印件、以上</w:t>
            </w:r>
            <w:r>
              <w:rPr>
                <w:rFonts w:hint="eastAsia" w:ascii="宋体" w:hAnsi="宋体" w:eastAsia="宋体" w:cs="宋体"/>
                <w:b/>
                <w:bCs/>
                <w:color w:val="auto"/>
                <w:kern w:val="0"/>
                <w:sz w:val="24"/>
                <w:szCs w:val="24"/>
                <w:highlight w:val="none"/>
                <w:lang w:val="en-US" w:eastAsia="zh-CN"/>
              </w:rPr>
              <w:t>证书复印件，及</w:t>
            </w:r>
            <w:r>
              <w:rPr>
                <w:rFonts w:hint="eastAsia" w:ascii="宋体" w:hAnsi="宋体" w:eastAsia="宋体" w:cs="宋体"/>
                <w:b/>
                <w:bCs/>
                <w:color w:val="auto"/>
                <w:sz w:val="24"/>
                <w:szCs w:val="24"/>
                <w:highlight w:val="none"/>
                <w:lang w:val="en-US" w:eastAsia="zh-CN"/>
              </w:rPr>
              <w:t>投标人为该人员缴纳的不低于6个月的社保凭证</w:t>
            </w:r>
            <w:r>
              <w:rPr>
                <w:rFonts w:hint="eastAsia" w:ascii="宋体" w:hAnsi="宋体" w:eastAsia="宋体" w:cs="宋体"/>
                <w:b/>
                <w:bCs/>
                <w:color w:val="auto"/>
                <w:kern w:val="0"/>
                <w:sz w:val="24"/>
                <w:szCs w:val="24"/>
                <w:highlight w:val="none"/>
                <w:lang w:val="en-US" w:eastAsia="zh-CN"/>
              </w:rPr>
              <w:t>并加盖公投人公章，</w:t>
            </w:r>
            <w:r>
              <w:rPr>
                <w:rFonts w:hint="eastAsia" w:cs="Times New Roman"/>
                <w:b/>
                <w:bCs/>
                <w:color w:val="auto"/>
                <w:sz w:val="24"/>
              </w:rPr>
              <w:t>证明材料提供不全的不得分</w:t>
            </w:r>
            <w:r>
              <w:rPr>
                <w:rFonts w:hint="eastAsia" w:ascii="宋体" w:hAnsi="宋体" w:eastAsia="宋体" w:cs="宋体"/>
                <w:b/>
                <w:bCs/>
                <w:color w:val="auto"/>
                <w:kern w:val="0"/>
                <w:sz w:val="24"/>
                <w:szCs w:val="24"/>
                <w:highlight w:val="none"/>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629" w:type="pct"/>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hint="default" w:asciiTheme="minorEastAsia" w:hAnsiTheme="minorEastAsia" w:eastAsiaTheme="minorEastAsia" w:cstheme="minorEastAsia"/>
                <w:color w:val="auto"/>
                <w:kern w:val="0"/>
                <w:sz w:val="24"/>
                <w:lang w:val="en-US" w:eastAsia="zh-CN"/>
              </w:rPr>
            </w:pPr>
            <w:r>
              <w:rPr>
                <w:rFonts w:hint="eastAsia" w:asciiTheme="minorEastAsia" w:hAnsiTheme="minorEastAsia" w:eastAsiaTheme="minorEastAsia" w:cstheme="minorEastAsia"/>
                <w:color w:val="auto"/>
                <w:kern w:val="0"/>
                <w:sz w:val="24"/>
                <w:lang w:val="en-US" w:eastAsia="zh-CN"/>
              </w:rPr>
              <w:t>4</w:t>
            </w:r>
          </w:p>
        </w:tc>
        <w:tc>
          <w:tcPr>
            <w:tcW w:w="629" w:type="pct"/>
            <w:tcBorders>
              <w:top w:val="outset" w:color="auto" w:sz="6" w:space="0"/>
              <w:left w:val="outset" w:color="auto" w:sz="6" w:space="0"/>
              <w:bottom w:val="outset" w:color="auto" w:sz="6" w:space="0"/>
              <w:right w:val="outset" w:color="auto" w:sz="6" w:space="0"/>
            </w:tcBorders>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投标人实力2</w:t>
            </w:r>
          </w:p>
        </w:tc>
        <w:tc>
          <w:tcPr>
            <w:tcW w:w="484" w:type="pct"/>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3257" w:type="pct"/>
            <w:tcBorders>
              <w:top w:val="outset" w:color="auto" w:sz="6" w:space="0"/>
              <w:left w:val="outset" w:color="auto" w:sz="6" w:space="0"/>
              <w:bottom w:val="outset" w:color="auto" w:sz="6" w:space="0"/>
              <w:right w:val="outset" w:color="auto" w:sz="6" w:space="0"/>
            </w:tcBorders>
            <w:vAlign w:val="center"/>
          </w:tcPr>
          <w:p>
            <w:pPr>
              <w:pStyle w:val="29"/>
              <w:keepNext w:val="0"/>
              <w:keepLines w:val="0"/>
              <w:pageBreakBefore w:val="0"/>
              <w:widowControl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本项目</w:t>
            </w:r>
            <w:r>
              <w:rPr>
                <w:rFonts w:hint="eastAsia" w:ascii="宋体" w:hAnsi="宋体" w:eastAsia="宋体" w:cs="宋体"/>
                <w:color w:val="auto"/>
                <w:sz w:val="24"/>
                <w:szCs w:val="24"/>
                <w:highlight w:val="none"/>
                <w:lang w:val="en-US" w:eastAsia="zh-CN"/>
              </w:rPr>
              <w:t>拟派的电气</w:t>
            </w:r>
            <w:r>
              <w:rPr>
                <w:rFonts w:hint="eastAsia" w:ascii="宋体" w:hAnsi="宋体" w:eastAsia="宋体" w:cs="宋体"/>
                <w:color w:val="auto"/>
                <w:sz w:val="24"/>
                <w:szCs w:val="24"/>
                <w:highlight w:val="none"/>
                <w:lang w:eastAsia="zh-CN"/>
              </w:rPr>
              <w:t>负责人持有：</w:t>
            </w:r>
            <w:r>
              <w:rPr>
                <w:rFonts w:hint="eastAsia" w:ascii="微软雅黑" w:hAnsi="微软雅黑" w:eastAsia="微软雅黑" w:cs="微软雅黑"/>
                <w:color w:val="auto"/>
                <w:sz w:val="24"/>
                <w:szCs w:val="24"/>
                <w:highlight w:val="none"/>
                <w:lang w:eastAsia="zh-CN"/>
              </w:rPr>
              <w:t>①</w:t>
            </w:r>
            <w:r>
              <w:rPr>
                <w:rFonts w:hint="eastAsia" w:ascii="宋体" w:hAnsi="宋体" w:eastAsia="宋体" w:cs="宋体"/>
                <w:color w:val="auto"/>
                <w:sz w:val="24"/>
                <w:szCs w:val="24"/>
                <w:highlight w:val="none"/>
                <w:lang w:eastAsia="zh-CN"/>
              </w:rPr>
              <w:t>省级人力资源和社会保障厅颁发的</w:t>
            </w:r>
            <w:r>
              <w:rPr>
                <w:rFonts w:hint="eastAsia" w:ascii="宋体" w:hAnsi="宋体" w:eastAsia="宋体" w:cs="宋体"/>
                <w:color w:val="auto"/>
                <w:sz w:val="24"/>
                <w:szCs w:val="24"/>
                <w:highlight w:val="none"/>
                <w:lang w:val="en-US" w:eastAsia="zh-CN"/>
              </w:rPr>
              <w:t>建筑机电设备安装工程施工高级</w:t>
            </w:r>
            <w:r>
              <w:rPr>
                <w:rFonts w:hint="eastAsia" w:ascii="宋体" w:hAnsi="宋体" w:eastAsia="宋体" w:cs="宋体"/>
                <w:color w:val="auto"/>
                <w:sz w:val="24"/>
                <w:szCs w:val="24"/>
                <w:highlight w:val="none"/>
                <w:lang w:eastAsia="zh-CN"/>
              </w:rPr>
              <w:t>工程师职称、</w:t>
            </w:r>
            <w:r>
              <w:rPr>
                <w:rFonts w:hint="eastAsia" w:ascii="微软雅黑" w:hAnsi="微软雅黑" w:eastAsia="微软雅黑" w:cs="微软雅黑"/>
                <w:color w:val="auto"/>
                <w:sz w:val="24"/>
                <w:szCs w:val="24"/>
                <w:highlight w:val="none"/>
                <w:lang w:eastAsia="zh-CN"/>
              </w:rPr>
              <w:t>②</w:t>
            </w:r>
            <w:r>
              <w:rPr>
                <w:rFonts w:hint="eastAsia" w:ascii="宋体" w:hAnsi="宋体" w:eastAsia="宋体" w:cs="宋体"/>
                <w:color w:val="auto"/>
                <w:sz w:val="24"/>
                <w:szCs w:val="24"/>
                <w:highlight w:val="none"/>
                <w:lang w:eastAsia="zh-CN"/>
              </w:rPr>
              <w:t>电梯维修证、人力资源和社会保障局</w:t>
            </w:r>
            <w:r>
              <w:rPr>
                <w:rFonts w:hint="eastAsia" w:ascii="宋体" w:hAnsi="宋体" w:eastAsia="宋体" w:cs="宋体"/>
                <w:color w:val="auto"/>
                <w:sz w:val="24"/>
                <w:szCs w:val="24"/>
                <w:highlight w:val="none"/>
              </w:rPr>
              <w:t>颁发的维修</w:t>
            </w:r>
            <w:r>
              <w:rPr>
                <w:rFonts w:hint="eastAsia" w:ascii="宋体" w:hAnsi="宋体" w:eastAsia="宋体" w:cs="宋体"/>
                <w:color w:val="auto"/>
                <w:sz w:val="24"/>
                <w:szCs w:val="24"/>
                <w:highlight w:val="none"/>
                <w:lang w:eastAsia="zh-CN"/>
              </w:rPr>
              <w:t>电</w:t>
            </w:r>
            <w:r>
              <w:rPr>
                <w:rFonts w:hint="eastAsia" w:ascii="宋体" w:hAnsi="宋体" w:eastAsia="宋体" w:cs="宋体"/>
                <w:color w:val="auto"/>
                <w:sz w:val="24"/>
                <w:szCs w:val="24"/>
                <w:highlight w:val="none"/>
              </w:rPr>
              <w:t>工（三级/高级）</w:t>
            </w:r>
            <w:r>
              <w:rPr>
                <w:rFonts w:hint="eastAsia" w:ascii="宋体" w:hAnsi="宋体" w:eastAsia="宋体" w:cs="宋体"/>
                <w:color w:val="auto"/>
                <w:sz w:val="24"/>
                <w:szCs w:val="24"/>
                <w:highlight w:val="none"/>
                <w:lang w:eastAsia="zh-CN"/>
              </w:rPr>
              <w:t>或以上证书</w:t>
            </w:r>
            <w:r>
              <w:rPr>
                <w:rFonts w:hint="eastAsia" w:ascii="宋体" w:hAnsi="宋体" w:eastAsia="宋体" w:cs="宋体"/>
                <w:color w:val="auto"/>
                <w:sz w:val="24"/>
                <w:szCs w:val="24"/>
                <w:highlight w:val="none"/>
                <w:lang w:val="en-US" w:eastAsia="zh-CN"/>
              </w:rPr>
              <w:t>的得5分，缺一项扣2.5分</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须</w:t>
            </w:r>
            <w:r>
              <w:rPr>
                <w:rFonts w:hint="eastAsia" w:ascii="宋体" w:hAnsi="宋体" w:eastAsia="宋体" w:cs="宋体"/>
                <w:b/>
                <w:bCs/>
                <w:color w:val="auto"/>
                <w:kern w:val="0"/>
                <w:sz w:val="24"/>
                <w:szCs w:val="24"/>
                <w:highlight w:val="none"/>
                <w:lang w:val="en-US" w:eastAsia="zh-CN"/>
              </w:rPr>
              <w:t>提供</w:t>
            </w:r>
            <w:r>
              <w:rPr>
                <w:rFonts w:hint="eastAsia" w:ascii="宋体" w:hAnsi="宋体" w:eastAsia="宋体" w:cs="宋体"/>
                <w:b/>
                <w:bCs/>
                <w:color w:val="auto"/>
                <w:sz w:val="24"/>
                <w:szCs w:val="24"/>
                <w:highlight w:val="none"/>
                <w:lang w:val="en-US" w:eastAsia="zh-CN"/>
              </w:rPr>
              <w:t>该</w:t>
            </w:r>
            <w:r>
              <w:rPr>
                <w:rFonts w:hint="eastAsia" w:ascii="宋体" w:hAnsi="宋体" w:eastAsia="宋体" w:cs="宋体"/>
                <w:b/>
                <w:bCs/>
                <w:color w:val="auto"/>
                <w:sz w:val="24"/>
                <w:szCs w:val="24"/>
                <w:highlight w:val="none"/>
                <w:lang w:eastAsia="zh-CN"/>
              </w:rPr>
              <w:t>负责人</w:t>
            </w:r>
            <w:r>
              <w:rPr>
                <w:rFonts w:hint="eastAsia" w:ascii="宋体" w:hAnsi="宋体" w:eastAsia="宋体" w:cs="宋体"/>
                <w:b/>
                <w:bCs/>
                <w:color w:val="auto"/>
                <w:sz w:val="24"/>
                <w:szCs w:val="24"/>
                <w:highlight w:val="none"/>
                <w:lang w:val="en-US" w:eastAsia="zh-CN"/>
              </w:rPr>
              <w:t>身份证复印件、以上</w:t>
            </w:r>
            <w:r>
              <w:rPr>
                <w:rFonts w:hint="eastAsia" w:ascii="宋体" w:hAnsi="宋体" w:eastAsia="宋体" w:cs="宋体"/>
                <w:b/>
                <w:bCs/>
                <w:color w:val="auto"/>
                <w:kern w:val="0"/>
                <w:sz w:val="24"/>
                <w:szCs w:val="24"/>
                <w:highlight w:val="none"/>
                <w:lang w:val="en-US" w:eastAsia="zh-CN"/>
              </w:rPr>
              <w:t>证书复印件，及</w:t>
            </w:r>
            <w:r>
              <w:rPr>
                <w:rFonts w:hint="eastAsia" w:ascii="宋体" w:hAnsi="宋体" w:eastAsia="宋体" w:cs="宋体"/>
                <w:b/>
                <w:bCs/>
                <w:color w:val="auto"/>
                <w:sz w:val="24"/>
                <w:szCs w:val="24"/>
                <w:highlight w:val="none"/>
                <w:lang w:val="en-US" w:eastAsia="zh-CN"/>
              </w:rPr>
              <w:t>投标人为该人员缴纳的不低于6个月的社保凭证</w:t>
            </w:r>
            <w:r>
              <w:rPr>
                <w:rFonts w:hint="eastAsia" w:ascii="宋体" w:hAnsi="宋体" w:eastAsia="宋体" w:cs="宋体"/>
                <w:b/>
                <w:bCs/>
                <w:color w:val="auto"/>
                <w:kern w:val="0"/>
                <w:sz w:val="24"/>
                <w:szCs w:val="24"/>
                <w:highlight w:val="none"/>
                <w:lang w:val="en-US" w:eastAsia="zh-CN"/>
              </w:rPr>
              <w:t>并加盖公投人公章，</w:t>
            </w:r>
            <w:r>
              <w:rPr>
                <w:rFonts w:hint="eastAsia" w:cs="Times New Roman"/>
                <w:b/>
                <w:bCs/>
                <w:color w:val="auto"/>
                <w:sz w:val="24"/>
              </w:rPr>
              <w:t>证明材料提供不全的不得分</w:t>
            </w:r>
            <w:r>
              <w:rPr>
                <w:rFonts w:hint="eastAsia" w:ascii="宋体" w:hAnsi="宋体" w:eastAsia="宋体" w:cs="宋体"/>
                <w:b/>
                <w:bCs/>
                <w:color w:val="auto"/>
                <w:kern w:val="0"/>
                <w:sz w:val="24"/>
                <w:szCs w:val="24"/>
                <w:highlight w:val="none"/>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629" w:type="pct"/>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hint="default" w:asciiTheme="minorEastAsia" w:hAnsiTheme="minorEastAsia" w:eastAsiaTheme="minorEastAsia" w:cstheme="minorEastAsia"/>
                <w:color w:val="auto"/>
                <w:kern w:val="0"/>
                <w:sz w:val="24"/>
                <w:lang w:val="en-US" w:eastAsia="zh-CN"/>
              </w:rPr>
            </w:pPr>
            <w:r>
              <w:rPr>
                <w:rFonts w:hint="eastAsia" w:asciiTheme="minorEastAsia" w:hAnsiTheme="minorEastAsia" w:eastAsiaTheme="minorEastAsia" w:cstheme="minorEastAsia"/>
                <w:color w:val="auto"/>
                <w:kern w:val="0"/>
                <w:sz w:val="24"/>
                <w:lang w:val="en-US" w:eastAsia="zh-CN"/>
              </w:rPr>
              <w:t>5</w:t>
            </w:r>
          </w:p>
        </w:tc>
        <w:tc>
          <w:tcPr>
            <w:tcW w:w="629" w:type="pct"/>
            <w:tcBorders>
              <w:top w:val="outset" w:color="auto" w:sz="6" w:space="0"/>
              <w:left w:val="outset" w:color="auto" w:sz="6" w:space="0"/>
              <w:bottom w:val="outset" w:color="auto" w:sz="6" w:space="0"/>
              <w:right w:val="outset" w:color="auto" w:sz="6" w:space="0"/>
            </w:tcBorders>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投标人实力3</w:t>
            </w:r>
          </w:p>
        </w:tc>
        <w:tc>
          <w:tcPr>
            <w:tcW w:w="484" w:type="pct"/>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3257" w:type="pct"/>
            <w:tcBorders>
              <w:top w:val="outset" w:color="auto" w:sz="6" w:space="0"/>
              <w:left w:val="outset" w:color="auto" w:sz="6" w:space="0"/>
              <w:bottom w:val="outset" w:color="auto" w:sz="6" w:space="0"/>
              <w:right w:val="outset" w:color="auto" w:sz="6" w:space="0"/>
            </w:tcBorders>
            <w:vAlign w:val="center"/>
          </w:tcPr>
          <w:p>
            <w:pPr>
              <w:pStyle w:val="29"/>
              <w:keepNext w:val="0"/>
              <w:keepLines w:val="0"/>
              <w:pageBreakBefore w:val="0"/>
              <w:widowControl w:val="0"/>
              <w:kinsoku/>
              <w:wordWrap/>
              <w:overflowPunct/>
              <w:topLinePunct w:val="0"/>
              <w:autoSpaceDE/>
              <w:autoSpaceDN/>
              <w:bidi w:val="0"/>
              <w:spacing w:line="500" w:lineRule="exact"/>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本项目</w:t>
            </w:r>
            <w:r>
              <w:rPr>
                <w:rFonts w:hint="eastAsia" w:ascii="宋体" w:hAnsi="宋体" w:eastAsia="宋体" w:cs="宋体"/>
                <w:color w:val="auto"/>
                <w:sz w:val="24"/>
                <w:szCs w:val="24"/>
                <w:highlight w:val="none"/>
                <w:lang w:val="en-US" w:eastAsia="zh-CN"/>
              </w:rPr>
              <w:t>拟派</w:t>
            </w:r>
            <w:r>
              <w:rPr>
                <w:rFonts w:hint="eastAsia" w:ascii="宋体" w:hAnsi="宋体" w:eastAsia="宋体" w:cs="宋体"/>
                <w:color w:val="auto"/>
                <w:sz w:val="24"/>
                <w:szCs w:val="24"/>
                <w:highlight w:val="none"/>
                <w:lang w:eastAsia="zh-CN"/>
              </w:rPr>
              <w:t>的机械负责人持有：</w:t>
            </w:r>
            <w:r>
              <w:rPr>
                <w:rFonts w:hint="eastAsia" w:ascii="微软雅黑" w:hAnsi="微软雅黑" w:eastAsia="微软雅黑" w:cs="微软雅黑"/>
                <w:color w:val="auto"/>
                <w:sz w:val="24"/>
                <w:szCs w:val="24"/>
                <w:highlight w:val="none"/>
                <w:lang w:eastAsia="zh-CN"/>
              </w:rPr>
              <w:t>①</w:t>
            </w:r>
            <w:r>
              <w:rPr>
                <w:rFonts w:hint="eastAsia" w:ascii="宋体" w:hAnsi="宋体" w:eastAsia="宋体" w:cs="宋体"/>
                <w:color w:val="auto"/>
                <w:sz w:val="24"/>
                <w:szCs w:val="24"/>
                <w:highlight w:val="none"/>
                <w:lang w:eastAsia="zh-CN"/>
              </w:rPr>
              <w:t>人力资源和社会保障局颁发的机械工程师职称、</w:t>
            </w:r>
            <w:r>
              <w:rPr>
                <w:rFonts w:hint="eastAsia" w:ascii="微软雅黑" w:hAnsi="微软雅黑" w:eastAsia="微软雅黑" w:cs="微软雅黑"/>
                <w:color w:val="auto"/>
                <w:sz w:val="24"/>
                <w:szCs w:val="24"/>
                <w:highlight w:val="none"/>
                <w:lang w:eastAsia="zh-CN"/>
              </w:rPr>
              <w:t>②</w:t>
            </w:r>
            <w:r>
              <w:rPr>
                <w:rFonts w:hint="eastAsia" w:ascii="宋体" w:hAnsi="宋体" w:eastAsia="宋体" w:cs="宋体"/>
                <w:color w:val="auto"/>
                <w:sz w:val="24"/>
                <w:szCs w:val="24"/>
                <w:highlight w:val="none"/>
                <w:lang w:eastAsia="zh-CN"/>
              </w:rPr>
              <w:t>电梯维修证、</w:t>
            </w:r>
            <w:r>
              <w:rPr>
                <w:rFonts w:hint="eastAsia" w:ascii="微软雅黑" w:hAnsi="微软雅黑" w:eastAsia="微软雅黑" w:cs="微软雅黑"/>
                <w:color w:val="auto"/>
                <w:sz w:val="24"/>
                <w:szCs w:val="24"/>
                <w:highlight w:val="none"/>
                <w:lang w:eastAsia="zh-CN"/>
              </w:rPr>
              <w:t>③</w:t>
            </w:r>
            <w:r>
              <w:rPr>
                <w:rFonts w:hint="eastAsia" w:ascii="宋体" w:hAnsi="宋体" w:eastAsia="宋体" w:cs="宋体"/>
                <w:color w:val="auto"/>
                <w:sz w:val="24"/>
                <w:szCs w:val="24"/>
                <w:highlight w:val="none"/>
                <w:lang w:eastAsia="zh-CN"/>
              </w:rPr>
              <w:t>人力资源和社会保障局</w:t>
            </w:r>
            <w:r>
              <w:rPr>
                <w:rFonts w:hint="eastAsia" w:ascii="宋体" w:hAnsi="宋体" w:eastAsia="宋体" w:cs="宋体"/>
                <w:color w:val="auto"/>
                <w:sz w:val="24"/>
                <w:szCs w:val="24"/>
                <w:highlight w:val="none"/>
              </w:rPr>
              <w:t>颁发的电梯安装维修工（三级/高级）</w:t>
            </w:r>
            <w:r>
              <w:rPr>
                <w:rFonts w:hint="eastAsia" w:ascii="宋体" w:hAnsi="宋体" w:eastAsia="宋体" w:cs="宋体"/>
                <w:color w:val="auto"/>
                <w:sz w:val="24"/>
                <w:szCs w:val="24"/>
                <w:highlight w:val="none"/>
                <w:lang w:eastAsia="zh-CN"/>
              </w:rPr>
              <w:t>或以上证书、</w:t>
            </w:r>
            <w:r>
              <w:rPr>
                <w:rFonts w:hint="eastAsia" w:ascii="微软雅黑" w:hAnsi="微软雅黑" w:eastAsia="微软雅黑" w:cs="微软雅黑"/>
                <w:color w:val="auto"/>
                <w:sz w:val="24"/>
                <w:szCs w:val="24"/>
                <w:highlight w:val="none"/>
                <w:lang w:eastAsia="zh-CN"/>
              </w:rPr>
              <w:t>④</w:t>
            </w:r>
            <w:r>
              <w:rPr>
                <w:rFonts w:hint="eastAsia" w:ascii="宋体" w:hAnsi="宋体" w:eastAsia="宋体" w:cs="宋体"/>
                <w:color w:val="auto"/>
                <w:sz w:val="24"/>
                <w:szCs w:val="24"/>
                <w:highlight w:val="none"/>
                <w:lang w:eastAsia="zh-CN"/>
              </w:rPr>
              <w:t>人力资源和社会保障局</w:t>
            </w:r>
            <w:r>
              <w:rPr>
                <w:rFonts w:hint="eastAsia" w:ascii="宋体" w:hAnsi="宋体" w:eastAsia="宋体" w:cs="宋体"/>
                <w:color w:val="auto"/>
                <w:sz w:val="24"/>
                <w:szCs w:val="24"/>
                <w:highlight w:val="none"/>
              </w:rPr>
              <w:t>颁发的</w:t>
            </w:r>
            <w:r>
              <w:rPr>
                <w:rFonts w:hint="eastAsia" w:ascii="宋体" w:hAnsi="宋体" w:eastAsia="宋体" w:cs="宋体"/>
                <w:color w:val="auto"/>
                <w:sz w:val="24"/>
                <w:szCs w:val="24"/>
                <w:highlight w:val="none"/>
                <w:lang w:eastAsia="zh-CN"/>
              </w:rPr>
              <w:t>焊工证书、</w:t>
            </w:r>
            <w:r>
              <w:rPr>
                <w:rFonts w:hint="eastAsia" w:ascii="微软雅黑" w:hAnsi="微软雅黑" w:eastAsia="微软雅黑" w:cs="微软雅黑"/>
                <w:color w:val="auto"/>
                <w:sz w:val="24"/>
                <w:szCs w:val="24"/>
                <w:highlight w:val="none"/>
                <w:lang w:eastAsia="zh-CN"/>
              </w:rPr>
              <w:t>⑤</w:t>
            </w:r>
            <w:r>
              <w:rPr>
                <w:rFonts w:hint="eastAsia" w:ascii="宋体" w:hAnsi="宋体" w:eastAsia="宋体" w:cs="宋体"/>
                <w:color w:val="auto"/>
                <w:sz w:val="24"/>
                <w:szCs w:val="24"/>
                <w:highlight w:val="none"/>
                <w:lang w:eastAsia="zh-CN"/>
              </w:rPr>
              <w:t>省级劳安特种设备职业培训中心颁发的电梯安装维修质检员培训合格证书</w:t>
            </w:r>
            <w:r>
              <w:rPr>
                <w:rFonts w:hint="eastAsia" w:ascii="宋体" w:hAnsi="宋体" w:eastAsia="宋体" w:cs="宋体"/>
                <w:color w:val="auto"/>
                <w:sz w:val="24"/>
                <w:szCs w:val="24"/>
                <w:highlight w:val="none"/>
                <w:lang w:val="en-US" w:eastAsia="zh-CN"/>
              </w:rPr>
              <w:t>的得5分；缺一扣1分；</w:t>
            </w:r>
            <w:r>
              <w:rPr>
                <w:rFonts w:hint="eastAsia" w:ascii="宋体" w:hAnsi="宋体" w:eastAsia="宋体" w:cs="宋体"/>
                <w:b/>
                <w:bCs/>
                <w:color w:val="auto"/>
                <w:sz w:val="24"/>
                <w:szCs w:val="24"/>
                <w:highlight w:val="none"/>
                <w:lang w:val="en-US" w:eastAsia="zh-CN"/>
              </w:rPr>
              <w:t>须</w:t>
            </w:r>
            <w:r>
              <w:rPr>
                <w:rFonts w:hint="eastAsia" w:ascii="宋体" w:hAnsi="宋体" w:eastAsia="宋体" w:cs="宋体"/>
                <w:b/>
                <w:bCs/>
                <w:color w:val="auto"/>
                <w:kern w:val="0"/>
                <w:sz w:val="24"/>
                <w:szCs w:val="24"/>
                <w:highlight w:val="none"/>
                <w:lang w:val="en-US" w:eastAsia="zh-CN"/>
              </w:rPr>
              <w:t>提供</w:t>
            </w:r>
            <w:r>
              <w:rPr>
                <w:rFonts w:hint="eastAsia" w:ascii="宋体" w:hAnsi="宋体" w:eastAsia="宋体" w:cs="宋体"/>
                <w:b/>
                <w:bCs/>
                <w:color w:val="auto"/>
                <w:sz w:val="24"/>
                <w:szCs w:val="24"/>
                <w:highlight w:val="none"/>
                <w:lang w:val="en-US" w:eastAsia="zh-CN"/>
              </w:rPr>
              <w:t>该</w:t>
            </w:r>
            <w:r>
              <w:rPr>
                <w:rFonts w:hint="eastAsia" w:ascii="宋体" w:hAnsi="宋体" w:eastAsia="宋体" w:cs="宋体"/>
                <w:b/>
                <w:bCs/>
                <w:color w:val="auto"/>
                <w:sz w:val="24"/>
                <w:szCs w:val="24"/>
                <w:highlight w:val="none"/>
                <w:lang w:eastAsia="zh-CN"/>
              </w:rPr>
              <w:t>负责人</w:t>
            </w:r>
            <w:r>
              <w:rPr>
                <w:rFonts w:hint="eastAsia" w:ascii="宋体" w:hAnsi="宋体" w:eastAsia="宋体" w:cs="宋体"/>
                <w:b/>
                <w:bCs/>
                <w:color w:val="auto"/>
                <w:sz w:val="24"/>
                <w:szCs w:val="24"/>
                <w:highlight w:val="none"/>
                <w:lang w:val="en-US" w:eastAsia="zh-CN"/>
              </w:rPr>
              <w:t>身份证复印件、以上</w:t>
            </w:r>
            <w:r>
              <w:rPr>
                <w:rFonts w:hint="eastAsia" w:ascii="宋体" w:hAnsi="宋体" w:eastAsia="宋体" w:cs="宋体"/>
                <w:b/>
                <w:bCs/>
                <w:color w:val="auto"/>
                <w:kern w:val="0"/>
                <w:sz w:val="24"/>
                <w:szCs w:val="24"/>
                <w:highlight w:val="none"/>
                <w:lang w:val="en-US" w:eastAsia="zh-CN"/>
              </w:rPr>
              <w:t>证书复印件，及</w:t>
            </w:r>
            <w:r>
              <w:rPr>
                <w:rFonts w:hint="eastAsia" w:ascii="宋体" w:hAnsi="宋体" w:eastAsia="宋体" w:cs="宋体"/>
                <w:b/>
                <w:bCs/>
                <w:color w:val="auto"/>
                <w:sz w:val="24"/>
                <w:szCs w:val="24"/>
                <w:highlight w:val="none"/>
                <w:lang w:val="en-US" w:eastAsia="zh-CN"/>
              </w:rPr>
              <w:t>投标人为该人员缴纳的不低于6个月的社保凭证</w:t>
            </w:r>
            <w:r>
              <w:rPr>
                <w:rFonts w:hint="eastAsia" w:ascii="宋体" w:hAnsi="宋体" w:eastAsia="宋体" w:cs="宋体"/>
                <w:b/>
                <w:bCs/>
                <w:color w:val="auto"/>
                <w:kern w:val="0"/>
                <w:sz w:val="24"/>
                <w:szCs w:val="24"/>
                <w:highlight w:val="none"/>
                <w:lang w:val="en-US" w:eastAsia="zh-CN"/>
              </w:rPr>
              <w:t>并加盖公投人公章，</w:t>
            </w:r>
            <w:r>
              <w:rPr>
                <w:rFonts w:hint="eastAsia" w:cs="Times New Roman"/>
                <w:b/>
                <w:bCs/>
                <w:color w:val="auto"/>
                <w:sz w:val="24"/>
              </w:rPr>
              <w:t>证明材料提供不全的不得分</w:t>
            </w:r>
            <w:r>
              <w:rPr>
                <w:rFonts w:hint="eastAsia" w:ascii="宋体" w:hAnsi="宋体" w:eastAsia="宋体" w:cs="宋体"/>
                <w:b/>
                <w:bCs/>
                <w:color w:val="auto"/>
                <w:kern w:val="0"/>
                <w:sz w:val="24"/>
                <w:szCs w:val="24"/>
                <w:highlight w:val="none"/>
                <w:lang w:val="en-US"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629" w:type="pct"/>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hint="default" w:asciiTheme="minorEastAsia" w:hAnsiTheme="minorEastAsia" w:eastAsiaTheme="minorEastAsia" w:cstheme="minorEastAsia"/>
                <w:color w:val="auto"/>
                <w:kern w:val="0"/>
                <w:sz w:val="24"/>
                <w:lang w:val="en-US" w:eastAsia="zh-CN"/>
              </w:rPr>
            </w:pPr>
            <w:r>
              <w:rPr>
                <w:rFonts w:hint="eastAsia" w:asciiTheme="minorEastAsia" w:hAnsiTheme="minorEastAsia" w:eastAsiaTheme="minorEastAsia" w:cstheme="minorEastAsia"/>
                <w:color w:val="auto"/>
                <w:kern w:val="0"/>
                <w:sz w:val="24"/>
                <w:lang w:val="en-US" w:eastAsia="zh-CN"/>
              </w:rPr>
              <w:t>6</w:t>
            </w:r>
          </w:p>
        </w:tc>
        <w:tc>
          <w:tcPr>
            <w:tcW w:w="629" w:type="pct"/>
            <w:tcBorders>
              <w:top w:val="outset" w:color="auto" w:sz="6" w:space="0"/>
              <w:left w:val="outset" w:color="auto" w:sz="6" w:space="0"/>
              <w:bottom w:val="outset" w:color="auto" w:sz="6" w:space="0"/>
              <w:right w:val="outset" w:color="auto" w:sz="6" w:space="0"/>
            </w:tcBorders>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投标人业绩</w:t>
            </w:r>
          </w:p>
        </w:tc>
        <w:tc>
          <w:tcPr>
            <w:tcW w:w="484" w:type="pct"/>
            <w:tcBorders>
              <w:top w:val="outset" w:color="auto" w:sz="6" w:space="0"/>
              <w:left w:val="outset" w:color="auto" w:sz="6" w:space="0"/>
              <w:bottom w:val="outset" w:color="auto" w:sz="6" w:space="0"/>
              <w:right w:val="outset" w:color="auto" w:sz="6" w:space="0"/>
            </w:tcBorders>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3257" w:type="pct"/>
            <w:tcBorders>
              <w:top w:val="outset" w:color="auto" w:sz="6" w:space="0"/>
              <w:left w:val="outset" w:color="auto" w:sz="6" w:space="0"/>
              <w:bottom w:val="outset" w:color="auto" w:sz="6" w:space="0"/>
              <w:right w:val="outset" w:color="auto" w:sz="6" w:space="0"/>
            </w:tcBorders>
            <w:vAlign w:val="top"/>
          </w:tcPr>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kern w:val="0"/>
                <w:sz w:val="24"/>
                <w:szCs w:val="24"/>
                <w:lang w:val="en-US" w:eastAsia="zh-CN" w:bidi="ar-SA"/>
              </w:rPr>
              <w:t>由评委专家根据投标人提供的自2021年4月1日-本公告发出之日内业绩情况打分。投标人</w:t>
            </w:r>
            <w:r>
              <w:rPr>
                <w:rFonts w:hint="eastAsia" w:ascii="宋体" w:hAnsi="宋体" w:eastAsia="宋体" w:cs="宋体"/>
                <w:color w:val="auto"/>
                <w:sz w:val="24"/>
                <w:szCs w:val="24"/>
                <w:highlight w:val="none"/>
                <w:lang w:val="en-US" w:eastAsia="zh-CN"/>
              </w:rPr>
              <w:t>维保电梯总数量53-120台的得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分；维保电梯总数量121-160台的得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分；维保总电梯数量161-200台的得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r>
              <w:rPr>
                <w:rFonts w:hint="eastAsia" w:ascii="宋体" w:hAnsi="宋体" w:eastAsia="宋体" w:cs="宋体"/>
                <w:b/>
                <w:bCs/>
                <w:color w:val="auto"/>
                <w:kern w:val="0"/>
                <w:sz w:val="24"/>
                <w:szCs w:val="24"/>
                <w:lang w:val="en-US" w:eastAsia="zh-CN" w:bidi="ar-SA"/>
              </w:rPr>
              <w:t>须提供维保合同复印件及维保清单并加盖投标人公章，否则不得分。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629" w:type="pct"/>
            <w:tcBorders>
              <w:top w:val="outset" w:color="auto" w:sz="6" w:space="0"/>
              <w:left w:val="outset" w:color="auto" w:sz="6" w:space="0"/>
              <w:bottom w:val="outset" w:color="auto" w:sz="6" w:space="0"/>
              <w:right w:val="outset" w:color="auto" w:sz="6" w:space="0"/>
            </w:tcBorders>
            <w:vAlign w:val="center"/>
          </w:tcPr>
          <w:p>
            <w:pPr>
              <w:widowControl/>
              <w:spacing w:line="460" w:lineRule="exact"/>
              <w:jc w:val="center"/>
              <w:rPr>
                <w:rFonts w:hint="default" w:asciiTheme="minorEastAsia" w:hAnsiTheme="minorEastAsia" w:eastAsiaTheme="minorEastAsia" w:cstheme="minorEastAsia"/>
                <w:color w:val="auto"/>
                <w:kern w:val="0"/>
                <w:sz w:val="24"/>
                <w:lang w:val="en-US" w:eastAsia="zh-CN"/>
              </w:rPr>
            </w:pPr>
            <w:r>
              <w:rPr>
                <w:rFonts w:hint="eastAsia" w:asciiTheme="minorEastAsia" w:hAnsiTheme="minorEastAsia" w:eastAsiaTheme="minorEastAsia" w:cstheme="minorEastAsia"/>
                <w:color w:val="auto"/>
                <w:kern w:val="0"/>
                <w:sz w:val="24"/>
                <w:lang w:val="en-US" w:eastAsia="zh-CN"/>
              </w:rPr>
              <w:t>7</w:t>
            </w:r>
          </w:p>
        </w:tc>
        <w:tc>
          <w:tcPr>
            <w:tcW w:w="629" w:type="pct"/>
            <w:tcBorders>
              <w:top w:val="outset" w:color="auto" w:sz="6" w:space="0"/>
              <w:left w:val="outset" w:color="auto" w:sz="6" w:space="0"/>
              <w:bottom w:val="outset" w:color="auto" w:sz="6" w:space="0"/>
              <w:right w:val="outset" w:color="auto" w:sz="6" w:space="0"/>
            </w:tcBorders>
            <w:vAlign w:val="center"/>
          </w:tcPr>
          <w:p>
            <w:pPr>
              <w:jc w:val="both"/>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售后服务信用等级评定</w:t>
            </w:r>
          </w:p>
        </w:tc>
        <w:tc>
          <w:tcPr>
            <w:tcW w:w="484" w:type="pct"/>
            <w:tcBorders>
              <w:top w:val="outset" w:color="auto" w:sz="6" w:space="0"/>
              <w:left w:val="outset" w:color="auto" w:sz="6" w:space="0"/>
              <w:bottom w:val="outset" w:color="auto" w:sz="6" w:space="0"/>
              <w:right w:val="outset" w:color="auto" w:sz="6" w:space="0"/>
            </w:tcBorders>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3257" w:type="pct"/>
            <w:tcBorders>
              <w:top w:val="outset" w:color="auto" w:sz="6" w:space="0"/>
              <w:left w:val="outset" w:color="auto" w:sz="6" w:space="0"/>
              <w:bottom w:val="outset" w:color="auto" w:sz="6" w:space="0"/>
              <w:right w:val="outset" w:color="auto" w:sz="6" w:space="0"/>
            </w:tcBorders>
            <w:vAlign w:val="top"/>
          </w:tcPr>
          <w:p>
            <w:pPr>
              <w:spacing w:line="360" w:lineRule="auto"/>
              <w:rPr>
                <w:rFonts w:hint="default" w:ascii="宋体" w:hAnsi="宋体" w:cs="宋体" w:eastAsiaTheme="minorEastAsia"/>
                <w:b w:val="0"/>
                <w:bCs w:val="0"/>
                <w:color w:val="auto"/>
                <w:kern w:val="0"/>
                <w:sz w:val="24"/>
                <w:szCs w:val="24"/>
                <w:lang w:val="en-US" w:eastAsia="zh-CN" w:bidi="ar-SA"/>
              </w:rPr>
            </w:pPr>
            <w:r>
              <w:rPr>
                <w:rFonts w:hint="eastAsia" w:asciiTheme="minorEastAsia" w:hAnsiTheme="minorEastAsia" w:eastAsiaTheme="minorEastAsia" w:cstheme="minorEastAsia"/>
                <w:color w:val="auto"/>
                <w:sz w:val="24"/>
                <w:szCs w:val="24"/>
                <w:highlight w:val="none"/>
                <w:lang w:val="en-US" w:eastAsia="zh-CN"/>
              </w:rPr>
              <w:t>有市级以上（含市级）</w:t>
            </w:r>
            <w:r>
              <w:rPr>
                <w:rFonts w:hint="eastAsia" w:asciiTheme="minorEastAsia" w:hAnsiTheme="minorEastAsia" w:eastAsiaTheme="minorEastAsia" w:cstheme="minorEastAsia"/>
                <w:color w:val="auto"/>
                <w:sz w:val="24"/>
                <w:szCs w:val="24"/>
                <w:highlight w:val="none"/>
                <w:lang w:eastAsia="zh-CN"/>
              </w:rPr>
              <w:t>市场监管</w:t>
            </w:r>
            <w:r>
              <w:rPr>
                <w:rFonts w:hint="eastAsia" w:asciiTheme="minorEastAsia" w:hAnsiTheme="minorEastAsia" w:eastAsiaTheme="minorEastAsia" w:cstheme="minorEastAsia"/>
                <w:color w:val="auto"/>
                <w:sz w:val="24"/>
                <w:szCs w:val="24"/>
                <w:highlight w:val="none"/>
              </w:rPr>
              <w:t>局</w:t>
            </w:r>
            <w:r>
              <w:rPr>
                <w:rFonts w:hint="eastAsia" w:asciiTheme="minorEastAsia" w:hAnsiTheme="minorEastAsia" w:eastAsiaTheme="minorEastAsia" w:cstheme="minorEastAsia"/>
                <w:color w:val="auto"/>
                <w:sz w:val="24"/>
                <w:szCs w:val="24"/>
                <w:highlight w:val="none"/>
                <w:lang w:val="en-US" w:eastAsia="zh-CN"/>
              </w:rPr>
              <w:t>发布2023年度电梯维保质量信用等级评价情况的通报中，取得A级评价单位的得3分，取得B级评价单位的得2分,无质量信用等级评价单位的</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val="en-US" w:eastAsia="zh-CN"/>
              </w:rPr>
              <w:t>提供评定结果并加盖投标人公章。</w:t>
            </w:r>
          </w:p>
        </w:tc>
      </w:tr>
    </w:tbl>
    <w:p>
      <w:pPr>
        <w:spacing w:before="100" w:beforeAutospacing="1" w:after="100" w:afterAutospacing="1" w:line="420" w:lineRule="atLeast"/>
        <w:ind w:firstLine="480"/>
        <w:jc w:val="left"/>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w:t>
      </w:r>
      <w:r>
        <w:rPr>
          <w:rFonts w:hint="eastAsia" w:asciiTheme="minorEastAsia" w:hAnsiTheme="minorEastAsia" w:eastAsiaTheme="minorEastAsia" w:cstheme="minorEastAsia"/>
          <w:b/>
          <w:bCs/>
          <w:color w:val="auto"/>
          <w:kern w:val="0"/>
          <w:sz w:val="24"/>
          <w:lang w:val="en-US" w:eastAsia="zh-CN"/>
        </w:rPr>
        <w:t>3</w:t>
      </w:r>
      <w:r>
        <w:rPr>
          <w:rFonts w:hint="eastAsia" w:asciiTheme="minorEastAsia" w:hAnsiTheme="minorEastAsia" w:eastAsiaTheme="minorEastAsia" w:cstheme="minorEastAsia"/>
          <w:b/>
          <w:bCs/>
          <w:color w:val="auto"/>
          <w:kern w:val="0"/>
          <w:sz w:val="24"/>
        </w:rPr>
        <w:t>）各供应商的价格得分</w:t>
      </w:r>
      <w:r>
        <w:rPr>
          <w:rFonts w:hint="eastAsia" w:asciiTheme="minorEastAsia" w:hAnsiTheme="minorEastAsia" w:eastAsiaTheme="minorEastAsia" w:cstheme="minorEastAsia"/>
          <w:b/>
          <w:bCs/>
          <w:color w:val="auto"/>
          <w:kern w:val="0"/>
          <w:sz w:val="24"/>
          <w:lang w:val="en-US" w:eastAsia="zh-CN"/>
        </w:rPr>
        <w:t>B</w:t>
      </w:r>
      <w:r>
        <w:rPr>
          <w:rFonts w:hint="eastAsia" w:asciiTheme="minorEastAsia" w:hAnsiTheme="minorEastAsia" w:eastAsiaTheme="minorEastAsia" w:cstheme="minorEastAsia"/>
          <w:b/>
          <w:bCs/>
          <w:color w:val="auto"/>
          <w:kern w:val="0"/>
          <w:sz w:val="24"/>
        </w:rPr>
        <w:t>按以下方式得出（满分</w:t>
      </w:r>
      <w:r>
        <w:rPr>
          <w:rFonts w:hint="eastAsia" w:asciiTheme="minorEastAsia" w:hAnsiTheme="minorEastAsia" w:eastAsiaTheme="minorEastAsia" w:cstheme="minorEastAsia"/>
          <w:b/>
          <w:bCs/>
          <w:color w:val="auto"/>
          <w:kern w:val="0"/>
          <w:sz w:val="24"/>
          <w:lang w:val="en-US" w:eastAsia="zh-CN"/>
        </w:rPr>
        <w:t>7</w:t>
      </w:r>
      <w:r>
        <w:rPr>
          <w:rFonts w:hint="eastAsia" w:asciiTheme="minorEastAsia" w:hAnsiTheme="minorEastAsia" w:eastAsiaTheme="minorEastAsia" w:cstheme="minorEastAsia"/>
          <w:b/>
          <w:bCs/>
          <w:color w:val="auto"/>
          <w:kern w:val="0"/>
          <w:sz w:val="24"/>
        </w:rPr>
        <w:t>0分）</w:t>
      </w:r>
    </w:p>
    <w:p>
      <w:pPr>
        <w:widowControl/>
        <w:shd w:val="clear" w:color="auto" w:fill="FFFFFF"/>
        <w:spacing w:before="75" w:after="75" w:line="345" w:lineRule="atLeast"/>
        <w:ind w:firstLine="600" w:firstLineChars="250"/>
        <w:textAlignment w:val="baseline"/>
        <w:rPr>
          <w:rFonts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kern w:val="0"/>
          <w:sz w:val="24"/>
          <w:szCs w:val="24"/>
        </w:rPr>
        <w:t>a.价格分采用低价优先法计算，即满足磋商文件要求且最后报价最低的供应商的价格为磋商基准价，其价格分为满分。其他供应商的价格分统一按照下列公式计算：磋商报价得分=（磋商基准价／最后磋商报价）×价格权值×100。</w:t>
      </w:r>
    </w:p>
    <w:p>
      <w:pPr>
        <w:spacing w:before="100" w:beforeAutospacing="1" w:after="100" w:afterAutospacing="1" w:line="420" w:lineRule="atLeast"/>
        <w:ind w:firstLine="480"/>
        <w:jc w:val="left"/>
        <w:rPr>
          <w:rFonts w:hint="eastAsia" w:asciiTheme="minorEastAsia" w:hAnsiTheme="minorEastAsia" w:eastAsiaTheme="minorEastAsia" w:cstheme="minorEastAsia"/>
          <w:b/>
          <w:bCs/>
          <w:color w:val="auto"/>
          <w:kern w:val="0"/>
          <w:sz w:val="24"/>
          <w:lang w:eastAsia="zh-CN"/>
        </w:rPr>
      </w:pPr>
      <w:r>
        <w:rPr>
          <w:rFonts w:hint="eastAsia" w:asciiTheme="minorEastAsia" w:hAnsiTheme="minorEastAsia" w:eastAsiaTheme="minorEastAsia" w:cstheme="minorEastAsia"/>
          <w:b/>
          <w:bCs/>
          <w:color w:val="auto"/>
          <w:kern w:val="0"/>
          <w:sz w:val="24"/>
        </w:rPr>
        <w:t>（</w:t>
      </w:r>
      <w:r>
        <w:rPr>
          <w:rFonts w:hint="eastAsia" w:asciiTheme="minorEastAsia" w:hAnsiTheme="minorEastAsia" w:eastAsiaTheme="minorEastAsia" w:cstheme="minorEastAsia"/>
          <w:b/>
          <w:bCs/>
          <w:color w:val="auto"/>
          <w:kern w:val="0"/>
          <w:sz w:val="24"/>
          <w:lang w:val="en-US" w:eastAsia="zh-CN"/>
        </w:rPr>
        <w:t>4</w:t>
      </w:r>
      <w:r>
        <w:rPr>
          <w:rFonts w:hint="eastAsia" w:asciiTheme="minorEastAsia" w:hAnsiTheme="minorEastAsia" w:eastAsiaTheme="minorEastAsia" w:cstheme="minorEastAsia"/>
          <w:b/>
          <w:bCs/>
          <w:color w:val="auto"/>
          <w:kern w:val="0"/>
          <w:sz w:val="24"/>
        </w:rPr>
        <w:t>）综合评分得分：P＝技术商务部分评分A</w:t>
      </w:r>
      <w:r>
        <w:rPr>
          <w:rFonts w:hint="eastAsia" w:asciiTheme="minorEastAsia" w:hAnsiTheme="minorEastAsia" w:eastAsiaTheme="minorEastAsia" w:cstheme="minorEastAsia"/>
          <w:b/>
          <w:bCs/>
          <w:color w:val="auto"/>
          <w:kern w:val="0"/>
          <w:sz w:val="24"/>
          <w:lang w:val="en-US" w:eastAsia="zh-CN"/>
        </w:rPr>
        <w:t>+</w:t>
      </w:r>
      <w:r>
        <w:rPr>
          <w:rFonts w:hint="eastAsia" w:asciiTheme="minorEastAsia" w:hAnsiTheme="minorEastAsia" w:eastAsiaTheme="minorEastAsia" w:cstheme="minorEastAsia"/>
          <w:b/>
          <w:bCs/>
          <w:color w:val="auto"/>
          <w:kern w:val="0"/>
          <w:sz w:val="24"/>
        </w:rPr>
        <w:t>报价部分评分</w:t>
      </w:r>
      <w:r>
        <w:rPr>
          <w:rFonts w:hint="eastAsia" w:asciiTheme="minorEastAsia" w:hAnsiTheme="minorEastAsia" w:eastAsiaTheme="minorEastAsia" w:cstheme="minorEastAsia"/>
          <w:b/>
          <w:bCs/>
          <w:color w:val="auto"/>
          <w:kern w:val="0"/>
          <w:sz w:val="24"/>
          <w:lang w:val="en-US" w:eastAsia="zh-CN"/>
        </w:rPr>
        <w:t>B</w:t>
      </w:r>
    </w:p>
    <w:p>
      <w:pPr>
        <w:spacing w:line="360" w:lineRule="auto"/>
        <w:ind w:firstLine="480" w:firstLineChars="200"/>
        <w:textAlignment w:val="baseline"/>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kern w:val="0"/>
          <w:sz w:val="24"/>
          <w:szCs w:val="24"/>
        </w:rPr>
        <w:t>24、采购人、采购代理机构发现磋商小组未按照磋商文件规定的评审标准进行评审的，应当组织重新评审。</w:t>
      </w:r>
    </w:p>
    <w:p>
      <w:pPr>
        <w:spacing w:line="360" w:lineRule="auto"/>
        <w:ind w:firstLine="480" w:firstLineChars="200"/>
        <w:jc w:val="left"/>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25、保密和披露</w:t>
      </w:r>
    </w:p>
    <w:p>
      <w:pPr>
        <w:spacing w:line="360" w:lineRule="auto"/>
        <w:ind w:firstLine="480" w:firstLineChars="200"/>
        <w:jc w:val="left"/>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25.1凡是属于审查、澄清、评价和比较的有关资料，均不向磋商供应商或其他与磋商无关的人员透露。</w:t>
      </w:r>
    </w:p>
    <w:p>
      <w:pPr>
        <w:spacing w:line="360" w:lineRule="auto"/>
        <w:ind w:firstLine="480" w:firstLineChars="200"/>
        <w:jc w:val="left"/>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25.2供应商提供的所有资料和评审过程有关资料，均不得向其他人员和单位透露，除采购监督管理部门、采购单位和依法可查阅的单位外。</w:t>
      </w:r>
    </w:p>
    <w:p>
      <w:pPr>
        <w:spacing w:line="360" w:lineRule="auto"/>
        <w:ind w:firstLine="480" w:firstLineChars="200"/>
        <w:jc w:val="left"/>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25.3采购人和采购代理机构有权在合同签订后，无须事先征求成交供应商同意而披露关于已订立合同的资料，成交供应商的名称及地址、成交货物的有关信息以及合同条款等。</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26、磋商小组终止磋商</w:t>
      </w: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26.1出现下列情况之一时，磋商小组应当终止磋商。如磋商小组终止磋商，应将理由通知所有磋商供应商：</w:t>
      </w:r>
    </w:p>
    <w:p>
      <w:pPr>
        <w:spacing w:line="360" w:lineRule="auto"/>
        <w:ind w:firstLine="240" w:firstLineChars="1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（1）因情况变化，不再符合规定的竞争性磋商采购方式适用情形的；</w:t>
      </w:r>
    </w:p>
    <w:p>
      <w:pPr>
        <w:spacing w:line="360" w:lineRule="auto"/>
        <w:ind w:firstLine="240" w:firstLineChars="1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（2）出现影响采购公正的违法、违规行为的；</w:t>
      </w:r>
    </w:p>
    <w:p>
      <w:pPr>
        <w:spacing w:line="360" w:lineRule="auto"/>
        <w:ind w:firstLine="240" w:firstLineChars="1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（3）在采购过程中符合磋商要求的供应商或者报价符合要求的供应商不足3家的。</w:t>
      </w:r>
    </w:p>
    <w:p>
      <w:pPr>
        <w:spacing w:line="360" w:lineRule="auto"/>
        <w:ind w:firstLine="480" w:firstLineChars="200"/>
        <w:jc w:val="left"/>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26.2磋商终止后，除因重大变故，采购任务取消外，采购人或采购代理机构将择期或另择方式进行该项目货物和服务的采购。</w:t>
      </w:r>
    </w:p>
    <w:p>
      <w:pPr>
        <w:pStyle w:val="2"/>
        <w:jc w:val="center"/>
        <w:textAlignment w:val="baseline"/>
        <w:rPr>
          <w:rFonts w:asciiTheme="minorEastAsia" w:hAnsiTheme="minorEastAsia" w:eastAsiaTheme="minorEastAsia" w:cstheme="minorEastAsia"/>
          <w:color w:val="auto"/>
        </w:rPr>
      </w:pPr>
      <w:bookmarkStart w:id="10" w:name="_Toc36811835"/>
      <w:r>
        <w:rPr>
          <w:rFonts w:hint="eastAsia" w:asciiTheme="minorEastAsia" w:hAnsiTheme="minorEastAsia" w:eastAsiaTheme="minorEastAsia" w:cstheme="minorEastAsia"/>
          <w:color w:val="auto"/>
        </w:rPr>
        <w:t>六、确定成交供应商磋商与签订合同</w:t>
      </w:r>
      <w:bookmarkEnd w:id="10"/>
    </w:p>
    <w:p>
      <w:pPr>
        <w:widowControl/>
        <w:spacing w:before="100" w:beforeAutospacing="1" w:after="100" w:afterAutospacing="1" w:line="360" w:lineRule="auto"/>
        <w:ind w:firstLine="480" w:firstLineChars="200"/>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27、确认成交供应商</w:t>
      </w:r>
    </w:p>
    <w:p>
      <w:pPr>
        <w:widowControl/>
        <w:spacing w:before="100" w:beforeAutospacing="1" w:after="100" w:afterAutospacing="1" w:line="360" w:lineRule="auto"/>
        <w:ind w:firstLine="480" w:firstLineChars="200"/>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27.1采购代理机构在评审结束后2个工作日内将评审报告送采购人确认。</w:t>
      </w:r>
    </w:p>
    <w:p>
      <w:pPr>
        <w:widowControl/>
        <w:spacing w:before="100" w:beforeAutospacing="1" w:after="100" w:afterAutospacing="1" w:line="360" w:lineRule="auto"/>
        <w:ind w:firstLine="480" w:firstLineChars="200"/>
        <w:jc w:val="left"/>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27.2采购人在收到评审报告后5个工作日内，从评审报告提出的成交候选人中，按照综合评分得分排序由高到低的原则确认成交人，也可以书面授权磋商小组直接确定成交人。采购人逾期未确定成交人且不提出异议的，视为确定评审报告提出的排序第一的供应商为成交人。</w:t>
      </w:r>
    </w:p>
    <w:p>
      <w:pPr>
        <w:pStyle w:val="18"/>
        <w:spacing w:before="323" w:after="323" w:line="360" w:lineRule="auto"/>
        <w:ind w:firstLine="465"/>
        <w:textAlignment w:val="baseline"/>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28、成交通知书和合同签订</w:t>
      </w:r>
    </w:p>
    <w:p>
      <w:pPr>
        <w:pStyle w:val="18"/>
        <w:spacing w:before="323" w:after="323" w:line="360" w:lineRule="auto"/>
        <w:ind w:firstLine="465"/>
        <w:textAlignment w:val="baseline"/>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28.1成交通知书</w:t>
      </w:r>
    </w:p>
    <w:p>
      <w:pPr>
        <w:pStyle w:val="18"/>
        <w:spacing w:before="323" w:after="323" w:line="360" w:lineRule="auto"/>
        <w:ind w:firstLine="465"/>
        <w:textAlignment w:val="baseline"/>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采购人或者采购代理机构在成交人确定后2个工作日内，在采购公告发布的网站上进行采购结果公告，同时向成交人发出成交通知书。在采购结果公告后，成交供应商须及时至代理机构处领取成交通知书。</w:t>
      </w:r>
    </w:p>
    <w:p>
      <w:pPr>
        <w:pStyle w:val="18"/>
        <w:spacing w:before="323" w:after="323" w:line="360" w:lineRule="auto"/>
        <w:ind w:firstLine="465"/>
        <w:textAlignment w:val="baseline"/>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w:t>
      </w:r>
    </w:p>
    <w:p>
      <w:pPr>
        <w:pStyle w:val="18"/>
        <w:spacing w:before="323" w:after="323" w:line="360" w:lineRule="auto"/>
        <w:ind w:firstLine="465"/>
        <w:textAlignment w:val="baseline"/>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28.2合同签订</w:t>
      </w:r>
    </w:p>
    <w:p>
      <w:pPr>
        <w:widowControl/>
        <w:spacing w:before="75" w:after="75" w:line="360" w:lineRule="auto"/>
        <w:ind w:firstLine="480" w:firstLineChars="200"/>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采购人与成交人应当在成交通知书发出之日</w:t>
      </w:r>
      <w:r>
        <w:rPr>
          <w:rFonts w:hint="eastAsia" w:asciiTheme="minorEastAsia" w:hAnsiTheme="minorEastAsia" w:eastAsiaTheme="minorEastAsia" w:cstheme="minorEastAsia"/>
          <w:color w:val="auto"/>
          <w:sz w:val="24"/>
          <w:szCs w:val="24"/>
        </w:rPr>
        <w:t>（即采购结果公告之日）</w:t>
      </w:r>
      <w:r>
        <w:rPr>
          <w:rFonts w:hint="eastAsia" w:asciiTheme="minorEastAsia" w:hAnsiTheme="minorEastAsia" w:eastAsiaTheme="minorEastAsia" w:cstheme="minorEastAsia"/>
          <w:color w:val="auto"/>
          <w:kern w:val="0"/>
          <w:sz w:val="24"/>
          <w:szCs w:val="24"/>
        </w:rPr>
        <w:t>起30日内</w:t>
      </w:r>
      <w:r>
        <w:rPr>
          <w:rFonts w:hint="eastAsia" w:asciiTheme="minorEastAsia" w:hAnsiTheme="minorEastAsia" w:eastAsiaTheme="minorEastAsia" w:cstheme="minorEastAsia"/>
          <w:color w:val="auto"/>
          <w:sz w:val="24"/>
          <w:szCs w:val="24"/>
        </w:rPr>
        <w:t>（具体时间与采购单位商定）</w:t>
      </w:r>
      <w:r>
        <w:rPr>
          <w:rFonts w:hint="eastAsia" w:asciiTheme="minorEastAsia" w:hAnsiTheme="minorEastAsia" w:eastAsiaTheme="minorEastAsia" w:cstheme="minorEastAsia"/>
          <w:color w:val="auto"/>
          <w:kern w:val="0"/>
          <w:sz w:val="24"/>
          <w:szCs w:val="24"/>
        </w:rPr>
        <w:t>，按照采购文件确定的合同文本以及采购标的、规格型号、采购金额、采购数量、技术和服务要求等事项签订采购合同。根据项目的特点和需要，采购人如果对签订合同的时间期限、地点有特别要求的，可以在成交通知书中进一步明确，成交人应当按照成交通知书的规定和要求，及时与采购人签订合同。</w:t>
      </w:r>
    </w:p>
    <w:p>
      <w:pPr>
        <w:widowControl/>
        <w:spacing w:before="75" w:after="75" w:line="360" w:lineRule="auto"/>
        <w:ind w:firstLine="480" w:firstLineChars="200"/>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 竞争性磋商文件、成交人的响应文件及其有关澄清承诺文件等，均为签订政府采购合同的依据和组成部分。</w:t>
      </w:r>
    </w:p>
    <w:p>
      <w:pPr>
        <w:widowControl/>
        <w:spacing w:line="360" w:lineRule="auto"/>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 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pStyle w:val="18"/>
        <w:spacing w:before="0" w:beforeAutospacing="0" w:after="0" w:afterAutospacing="0" w:line="360" w:lineRule="auto"/>
        <w:ind w:firstLine="480"/>
        <w:textAlignment w:val="baseline"/>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成交供应商拒绝签订采购合同的，采购人可以按照磋商确定的排序确定其他供应商作为成交供应商并签订采购合同，也可以重新开展采购活动。拒绝签订采购合同的成交人不得参加对该项目重新开展的采购活动。</w:t>
      </w:r>
    </w:p>
    <w:p>
      <w:pPr>
        <w:pStyle w:val="2"/>
        <w:ind w:left="360"/>
        <w:jc w:val="center"/>
        <w:textAlignment w:val="baseline"/>
        <w:rPr>
          <w:rFonts w:asciiTheme="minorEastAsia" w:hAnsiTheme="minorEastAsia" w:eastAsiaTheme="minorEastAsia" w:cstheme="minorEastAsia"/>
          <w:color w:val="auto"/>
        </w:rPr>
      </w:pPr>
      <w:bookmarkStart w:id="11" w:name="_Toc36811836"/>
      <w:r>
        <w:rPr>
          <w:rFonts w:hint="eastAsia" w:asciiTheme="minorEastAsia" w:hAnsiTheme="minorEastAsia" w:eastAsiaTheme="minorEastAsia" w:cstheme="minorEastAsia"/>
          <w:color w:val="auto"/>
        </w:rPr>
        <w:t>七、询问、质疑</w:t>
      </w:r>
      <w:bookmarkEnd w:id="11"/>
    </w:p>
    <w:p>
      <w:pPr>
        <w:widowControl/>
        <w:spacing w:line="435" w:lineRule="atLeast"/>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29、询问</w:t>
      </w:r>
    </w:p>
    <w:p>
      <w:pPr>
        <w:widowControl/>
        <w:spacing w:before="75" w:after="75" w:line="435" w:lineRule="atLeast"/>
        <w:ind w:firstLine="360" w:firstLineChars="150"/>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29.1潜在供应商或供应商对本次采购活动的有关事项若有疑问，可向采购人或采购代理机构提出询问，采购人或采购代理机构将按有关规定进行答复。</w:t>
      </w:r>
      <w:r>
        <w:rPr>
          <w:rFonts w:hint="eastAsia" w:asciiTheme="minorEastAsia" w:hAnsiTheme="minorEastAsia" w:eastAsiaTheme="minorEastAsia" w:cstheme="minorEastAsia"/>
          <w:color w:val="auto"/>
          <w:sz w:val="24"/>
          <w:szCs w:val="24"/>
        </w:rPr>
        <w:t>询问及答复可以采取信函或电子邮件或传真等书面方式，也可以采取电话、面谈等口头方式，但答复的内容不涉及商业秘密。</w:t>
      </w: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30、质疑</w:t>
      </w:r>
    </w:p>
    <w:p>
      <w:pPr>
        <w:widowControl/>
        <w:spacing w:before="75" w:after="75" w:line="435" w:lineRule="atLeast"/>
        <w:ind w:firstLine="360" w:firstLineChars="150"/>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30.1质疑应在竞争性磋商文件须知前附表规定的时效内提出（</w:t>
      </w:r>
      <w:r>
        <w:rPr>
          <w:rFonts w:hint="eastAsia" w:asciiTheme="minorEastAsia" w:hAnsiTheme="minorEastAsia" w:eastAsiaTheme="minorEastAsia" w:cstheme="minorEastAsia"/>
          <w:color w:val="auto"/>
          <w:sz w:val="24"/>
          <w:szCs w:val="24"/>
        </w:rPr>
        <w:t>逾期则不予受理，视同接受招标过程和采购结果</w:t>
      </w:r>
      <w:r>
        <w:rPr>
          <w:rFonts w:hint="eastAsia" w:asciiTheme="minorEastAsia" w:hAnsiTheme="minorEastAsia" w:eastAsiaTheme="minorEastAsia" w:cstheme="minorEastAsia"/>
          <w:color w:val="auto"/>
          <w:kern w:val="0"/>
          <w:sz w:val="24"/>
          <w:szCs w:val="24"/>
        </w:rPr>
        <w:t>），并符合下列条件：</w:t>
      </w:r>
    </w:p>
    <w:p>
      <w:pPr>
        <w:widowControl/>
        <w:spacing w:before="75" w:after="75" w:line="435" w:lineRule="atLeast"/>
        <w:ind w:firstLine="360" w:firstLineChars="150"/>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30.1.1对磋商文件提出质疑的，</w:t>
      </w:r>
      <w:r>
        <w:rPr>
          <w:rFonts w:hint="eastAsia" w:asciiTheme="minorEastAsia" w:hAnsiTheme="minorEastAsia" w:eastAsiaTheme="minorEastAsia" w:cstheme="minorEastAsia"/>
          <w:color w:val="auto"/>
          <w:sz w:val="24"/>
          <w:szCs w:val="24"/>
        </w:rPr>
        <w:t>质疑人应为潜在供应商，且两者的身份、名称等均应保持一致，并提供已在龙岩市公共资源交易中心平台已对本项目进行报名的回执码（我要投标-新增报名-打印回执码）。对采购过程、结果提出质疑的，质疑人应为供应商，且两者的身份、名称等均应保持一致。</w:t>
      </w:r>
      <w:r>
        <w:rPr>
          <w:rFonts w:hint="eastAsia" w:asciiTheme="minorEastAsia" w:hAnsiTheme="minorEastAsia" w:eastAsiaTheme="minorEastAsia" w:cstheme="minorEastAsia"/>
          <w:color w:val="auto"/>
          <w:kern w:val="0"/>
          <w:sz w:val="24"/>
          <w:szCs w:val="24"/>
        </w:rPr>
        <w:t>提出质疑的供应商应当是直接参与所质疑项目采购活动的供应商。</w:t>
      </w:r>
    </w:p>
    <w:p>
      <w:pPr>
        <w:widowControl/>
        <w:spacing w:before="75" w:after="75" w:line="435" w:lineRule="atLeast"/>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 30.1.2</w:t>
      </w:r>
      <w:r>
        <w:rPr>
          <w:rFonts w:hint="eastAsia" w:asciiTheme="minorEastAsia" w:hAnsiTheme="minorEastAsia" w:eastAsiaTheme="minorEastAsia" w:cstheme="minorEastAsia"/>
          <w:color w:val="auto"/>
          <w:sz w:val="24"/>
          <w:szCs w:val="24"/>
        </w:rPr>
        <w:t>质疑人应按挂号邮件或快递方式或送达方式向采购人或连城县国有资产产权交易服务有限公司提供原件</w:t>
      </w:r>
      <w:r>
        <w:rPr>
          <w:rFonts w:hint="eastAsia" w:asciiTheme="minorEastAsia" w:hAnsiTheme="minorEastAsia" w:eastAsiaTheme="minorEastAsia" w:cstheme="minorEastAsia"/>
          <w:color w:val="auto"/>
          <w:kern w:val="0"/>
          <w:sz w:val="24"/>
          <w:szCs w:val="24"/>
        </w:rPr>
        <w:t>。</w:t>
      </w:r>
    </w:p>
    <w:p>
      <w:pPr>
        <w:widowControl/>
        <w:spacing w:before="75" w:after="75" w:line="435" w:lineRule="atLeast"/>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 30.1.3质疑函应包括下列主要内容：</w:t>
      </w:r>
    </w:p>
    <w:p>
      <w:pPr>
        <w:widowControl/>
        <w:spacing w:before="75" w:after="75" w:line="435" w:lineRule="atLeast"/>
        <w:ind w:firstLine="360" w:firstLineChars="150"/>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 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widowControl/>
        <w:spacing w:before="75" w:after="75" w:line="435" w:lineRule="atLeast"/>
        <w:ind w:firstLine="360" w:firstLineChars="150"/>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 ②所质疑项目的基本信息，至少包括：项目编号、项目名称等；</w:t>
      </w:r>
    </w:p>
    <w:p>
      <w:pPr>
        <w:widowControl/>
        <w:spacing w:before="75" w:after="75" w:line="435" w:lineRule="atLeast"/>
        <w:ind w:left="359" w:leftChars="171"/>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③所质疑的具体事项（以下简称：“质疑事项”）；</w:t>
      </w:r>
    </w:p>
    <w:p>
      <w:pPr>
        <w:widowControl/>
        <w:spacing w:before="75" w:after="75" w:line="435" w:lineRule="atLeast"/>
        <w:ind w:left="359" w:leftChars="171"/>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 ④质疑人自身权益受到损害的事实依据和证明材料，至少包括：</w:t>
      </w:r>
    </w:p>
    <w:p>
      <w:pPr>
        <w:widowControl/>
        <w:spacing w:before="75" w:after="75" w:line="435" w:lineRule="atLeast"/>
        <w:ind w:firstLine="480"/>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a1所质疑的具体事项事实存在的证明材料；</w:t>
      </w:r>
    </w:p>
    <w:p>
      <w:pPr>
        <w:widowControl/>
        <w:spacing w:before="75" w:after="75" w:line="435" w:lineRule="atLeast"/>
        <w:ind w:firstLine="480"/>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a2所质疑的具体事项事实导致质疑人自身权益受到损害的证明材料，如：采购文件、采购过程或成交结果违法违规，损害自已合法权益等证明材料；</w:t>
      </w: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widowControl/>
        <w:spacing w:before="75" w:after="75" w:line="435" w:lineRule="atLeast"/>
        <w:ind w:firstLine="480" w:firstLineChars="200"/>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⑤针对质疑事项提出的明确请求和法律依据，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widowControl/>
        <w:spacing w:before="75" w:after="75" w:line="435" w:lineRule="atLeast"/>
        <w:ind w:firstLine="480" w:firstLineChars="200"/>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 ⑥提出质疑的日期以及质疑人代表联系方式，至少包括：姓名、手机、电子信箱、邮寄地址等。</w:t>
      </w:r>
    </w:p>
    <w:p>
      <w:pPr>
        <w:widowControl/>
        <w:spacing w:before="75" w:after="75" w:line="435" w:lineRule="atLeast"/>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 30.2对不符合前文规定的质疑，采购人或采购代理机构将按照下列规定进行处理：</w:t>
      </w: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30.2.1超过质疑时效提交的或者</w:t>
      </w:r>
      <w:r>
        <w:rPr>
          <w:rFonts w:hint="eastAsia" w:asciiTheme="minorEastAsia" w:hAnsiTheme="minorEastAsia" w:eastAsiaTheme="minorEastAsia" w:cstheme="minorEastAsia"/>
          <w:color w:val="auto"/>
          <w:sz w:val="24"/>
          <w:szCs w:val="24"/>
        </w:rPr>
        <w:t>不符合其中第30.1.1或30.1.2条规定的，书面告知质疑人不予受理及其理由。</w:t>
      </w:r>
    </w:p>
    <w:p>
      <w:pPr>
        <w:widowControl/>
        <w:spacing w:before="75" w:after="75" w:line="435" w:lineRule="atLeast"/>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 30.2.2</w:t>
      </w:r>
      <w:r>
        <w:rPr>
          <w:rFonts w:hint="eastAsia" w:asciiTheme="minorEastAsia" w:hAnsiTheme="minorEastAsia" w:eastAsiaTheme="minorEastAsia" w:cstheme="minorEastAsia"/>
          <w:color w:val="auto"/>
          <w:sz w:val="24"/>
          <w:szCs w:val="24"/>
        </w:rPr>
        <w:t>不符合其中第30.1.3条规定的，书面告知质疑人修改、补充后在规定时限内重新提交质疑函。</w:t>
      </w:r>
    </w:p>
    <w:p>
      <w:pPr>
        <w:widowControl/>
        <w:spacing w:before="75" w:after="75" w:line="435" w:lineRule="atLeast"/>
        <w:ind w:firstLine="480"/>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30.2.3质疑人修改、补充质疑函超过质疑时效提交的按30.2.1款处理。供应商提交质疑函时，要认真上述关于质疑的相关规定，以免内容或资料不齐，需要修改补充而延误时间。</w:t>
      </w:r>
    </w:p>
    <w:p>
      <w:pPr>
        <w:widowControl/>
        <w:spacing w:before="75" w:after="75" w:line="435" w:lineRule="atLeast"/>
        <w:ind w:firstLine="240" w:firstLineChars="100"/>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30.3对符合上述规定的质疑，采购人或采购代理机构将按照有关规定进行答复。</w:t>
      </w:r>
    </w:p>
    <w:p>
      <w:pPr>
        <w:textAlignment w:val="baseline"/>
        <w:rPr>
          <w:rFonts w:asciiTheme="minorEastAsia" w:hAnsiTheme="minorEastAsia" w:eastAsiaTheme="minorEastAsia" w:cstheme="minorEastAsia"/>
          <w:color w:val="auto"/>
          <w:kern w:val="0"/>
          <w:sz w:val="24"/>
          <w:szCs w:val="24"/>
        </w:rPr>
      </w:pPr>
    </w:p>
    <w:p>
      <w:pPr>
        <w:pStyle w:val="3"/>
        <w:textAlignment w:val="baseline"/>
        <w:rPr>
          <w:rFonts w:asciiTheme="minorEastAsia" w:hAnsiTheme="minorEastAsia" w:eastAsiaTheme="minorEastAsia" w:cstheme="minorEastAsia"/>
          <w:color w:val="auto"/>
        </w:rPr>
        <w:sectPr>
          <w:headerReference r:id="rId6" w:type="default"/>
          <w:pgSz w:w="11907" w:h="16840"/>
          <w:pgMar w:top="1440" w:right="1800" w:bottom="1440" w:left="1800" w:header="851" w:footer="992" w:gutter="0"/>
          <w:cols w:space="720" w:num="1"/>
          <w:docGrid w:type="linesAndChars" w:linePitch="323" w:charSpace="-2"/>
        </w:sectPr>
      </w:pPr>
      <w:bookmarkStart w:id="12" w:name="_Toc36811841"/>
    </w:p>
    <w:p>
      <w:pPr>
        <w:pStyle w:val="3"/>
        <w:numPr>
          <w:ilvl w:val="0"/>
          <w:numId w:val="5"/>
        </w:numPr>
        <w:jc w:val="center"/>
        <w:textAlignment w:val="baseline"/>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采购内容及要求</w:t>
      </w:r>
    </w:p>
    <w:p>
      <w:pPr>
        <w:numPr>
          <w:ilvl w:val="0"/>
          <w:numId w:val="0"/>
        </w:numPr>
        <w:rPr>
          <w:color w:val="auto"/>
          <w:sz w:val="24"/>
          <w:szCs w:val="24"/>
        </w:rPr>
      </w:pPr>
      <w:r>
        <w:rPr>
          <w:rFonts w:hint="eastAsia" w:asciiTheme="minorEastAsia" w:hAnsiTheme="minorEastAsia" w:eastAsiaTheme="minorEastAsia" w:cstheme="minorEastAsia"/>
          <w:b/>
          <w:bCs/>
          <w:color w:val="auto"/>
          <w:sz w:val="24"/>
          <w:szCs w:val="24"/>
        </w:rPr>
        <w:t>一、项目概况（采购标的）</w:t>
      </w:r>
    </w:p>
    <w:p>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u w:val="none"/>
          <w:lang w:eastAsia="zh-CN"/>
        </w:rPr>
        <w:t>连城连聚物业服务有限公司电梯维保服务采购</w:t>
      </w:r>
      <w:r>
        <w:rPr>
          <w:rFonts w:hint="eastAsia" w:asciiTheme="minorEastAsia" w:hAnsiTheme="minorEastAsia" w:eastAsiaTheme="minorEastAsia" w:cstheme="minorEastAsia"/>
          <w:color w:val="auto"/>
          <w:sz w:val="24"/>
          <w:szCs w:val="24"/>
          <w:highlight w:val="none"/>
        </w:rPr>
        <w:t>。</w:t>
      </w:r>
    </w:p>
    <w:p>
      <w:pPr>
        <w:pStyle w:val="30"/>
        <w:spacing w:line="360" w:lineRule="auto"/>
        <w:ind w:firstLine="482" w:firstLineChars="200"/>
        <w:rPr>
          <w:rFonts w:hint="eastAsia" w:asciiTheme="minorEastAsia" w:hAnsiTheme="minorEastAsia" w:eastAsiaTheme="minorEastAsia" w:cstheme="minorEastAsia"/>
          <w:color w:val="auto"/>
          <w:kern w:val="0"/>
          <w:sz w:val="24"/>
          <w:szCs w:val="24"/>
          <w:highlight w:val="none"/>
          <w:shd w:val="clear" w:fill="FFFFFF"/>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2.服务周期：</w:t>
      </w:r>
      <w:r>
        <w:rPr>
          <w:rFonts w:hint="eastAsia" w:asciiTheme="minorEastAsia" w:hAnsiTheme="minorEastAsia" w:eastAsiaTheme="minorEastAsia" w:cstheme="minorEastAsia"/>
          <w:color w:val="auto"/>
          <w:kern w:val="0"/>
          <w:sz w:val="24"/>
          <w:szCs w:val="24"/>
          <w:highlight w:val="none"/>
          <w:shd w:val="clear" w:fill="FFFFFF"/>
          <w:lang w:val="en-US" w:eastAsia="zh-CN" w:bidi="ar-SA"/>
        </w:rPr>
        <w:t>本次采购合同期限为自合同签订起12个月；</w:t>
      </w:r>
    </w:p>
    <w:p>
      <w:pPr>
        <w:pStyle w:val="30"/>
        <w:spacing w:line="360" w:lineRule="auto"/>
        <w:ind w:firstLine="482" w:firstLineChars="200"/>
        <w:rPr>
          <w:rFonts w:hint="eastAsia" w:asciiTheme="minorEastAsia" w:hAnsiTheme="minorEastAsia" w:eastAsiaTheme="minorEastAsia" w:cstheme="minorEastAsia"/>
          <w:color w:val="auto"/>
          <w:kern w:val="0"/>
          <w:sz w:val="24"/>
          <w:szCs w:val="24"/>
          <w:highlight w:val="none"/>
          <w:shd w:val="clear" w:fill="FFFFFF"/>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3.服务范围：</w:t>
      </w:r>
      <w:r>
        <w:rPr>
          <w:rFonts w:hint="eastAsia" w:asciiTheme="minorEastAsia" w:hAnsiTheme="minorEastAsia" w:eastAsiaTheme="minorEastAsia" w:cstheme="minorEastAsia"/>
          <w:color w:val="auto"/>
          <w:kern w:val="0"/>
          <w:sz w:val="24"/>
          <w:szCs w:val="24"/>
          <w:highlight w:val="none"/>
          <w:shd w:val="clear" w:fill="FFFFFF"/>
          <w:lang w:val="en-US" w:eastAsia="zh-CN" w:bidi="ar-SA"/>
        </w:rPr>
        <w:t>连聚物业公司百花金城、莲冠花园、鹧鸪花园、南前花园电梯维保服务（约53台），具体数量以合同及采购人通知为准，合同期内涉及新增或减少电梯数量的，维保服务服务费用按照实际维保数量×中标单价结算。</w:t>
      </w:r>
    </w:p>
    <w:p>
      <w:pPr>
        <w:pStyle w:val="30"/>
        <w:spacing w:line="360" w:lineRule="auto"/>
        <w:ind w:firstLine="482" w:firstLineChars="200"/>
        <w:rPr>
          <w:rFonts w:hint="eastAsia" w:asciiTheme="minorEastAsia" w:hAnsiTheme="minorEastAsia" w:eastAsiaTheme="minorEastAsia" w:cstheme="minorEastAsia"/>
          <w:color w:val="auto"/>
          <w:kern w:val="0"/>
          <w:sz w:val="24"/>
          <w:szCs w:val="24"/>
          <w:highlight w:val="none"/>
          <w:shd w:val="clear" w:fill="FFFFFF"/>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4.最高限价：</w:t>
      </w:r>
      <w:r>
        <w:rPr>
          <w:rFonts w:hint="eastAsia" w:asciiTheme="minorEastAsia" w:hAnsiTheme="minorEastAsia" w:eastAsiaTheme="minorEastAsia" w:cstheme="minorEastAsia"/>
          <w:color w:val="auto"/>
          <w:kern w:val="0"/>
          <w:sz w:val="24"/>
          <w:szCs w:val="24"/>
          <w:highlight w:val="none"/>
          <w:shd w:val="clear" w:fill="FFFFFF"/>
          <w:lang w:val="en-US" w:eastAsia="zh-CN" w:bidi="ar-SA"/>
        </w:rPr>
        <w:t>本项目招标控制价为</w:t>
      </w:r>
      <w:r>
        <w:rPr>
          <w:rFonts w:hint="eastAsia" w:asciiTheme="minorEastAsia" w:hAnsiTheme="minorEastAsia" w:eastAsiaTheme="minorEastAsia" w:cstheme="minorEastAsia"/>
          <w:color w:val="auto"/>
          <w:sz w:val="24"/>
          <w:szCs w:val="24"/>
          <w:highlight w:val="none"/>
          <w:lang w:val="en-US" w:eastAsia="zh-CN"/>
        </w:rPr>
        <w:t>298200元，其中</w:t>
      </w:r>
      <w:r>
        <w:rPr>
          <w:rFonts w:hint="eastAsia" w:asciiTheme="minorEastAsia" w:hAnsiTheme="minorEastAsia" w:eastAsiaTheme="minorEastAsia" w:cstheme="minorEastAsia"/>
          <w:color w:val="auto"/>
          <w:kern w:val="0"/>
          <w:sz w:val="24"/>
          <w:szCs w:val="24"/>
          <w:highlight w:val="none"/>
          <w:shd w:val="clear" w:fill="FFFFFF"/>
          <w:lang w:val="en-US" w:eastAsia="zh-CN" w:bidi="ar-SA"/>
        </w:rPr>
        <w:t>：百花金城全包650元/台/月（含税）；莲冠花园、鹧鸪花园、南前花园半包350元/台/月，以上价格包含但不限于电梯零部件、劳务费、工作服、社医保、意外险、税费、用品用具等所有费用等。</w:t>
      </w:r>
    </w:p>
    <w:p>
      <w:pPr>
        <w:pageBreakBefore w:val="0"/>
        <w:kinsoku/>
        <w:overflowPunct/>
        <w:topLinePunct w:val="0"/>
        <w:autoSpaceDE/>
        <w:autoSpaceDN/>
        <w:bidi w:val="0"/>
        <w:adjustRightInd/>
        <w:snapToGrid/>
        <w:spacing w:beforeAutospacing="0" w:afterAutospacing="0"/>
        <w:ind w:left="0" w:right="0" w:firstLine="482" w:firstLineChars="200"/>
        <w:jc w:val="left"/>
        <w:outlineLvl w:val="9"/>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5.物业电梯维保服务范围明细：</w:t>
      </w:r>
    </w:p>
    <w:tbl>
      <w:tblPr>
        <w:tblStyle w:val="23"/>
        <w:tblW w:w="51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3"/>
        <w:gridCol w:w="1170"/>
        <w:gridCol w:w="930"/>
        <w:gridCol w:w="171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453" w:type="pct"/>
            <w:noWrap w:val="0"/>
            <w:vAlign w:val="center"/>
          </w:tcPr>
          <w:p>
            <w:pPr>
              <w:pageBreakBefore w:val="0"/>
              <w:kinsoku/>
              <w:overflowPunct/>
              <w:topLinePunct w:val="0"/>
              <w:autoSpaceDE/>
              <w:autoSpaceDN/>
              <w:bidi w:val="0"/>
              <w:adjustRightInd/>
              <w:snapToGrid/>
              <w:spacing w:beforeAutospacing="0" w:afterAutospacing="0"/>
              <w:ind w:left="0" w:right="0"/>
              <w:jc w:val="center"/>
              <w:outlineLvl w:val="9"/>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项目名称</w:t>
            </w:r>
          </w:p>
        </w:tc>
        <w:tc>
          <w:tcPr>
            <w:tcW w:w="566" w:type="pct"/>
            <w:noWrap w:val="0"/>
            <w:vAlign w:val="center"/>
          </w:tcPr>
          <w:p>
            <w:pPr>
              <w:pageBreakBefore w:val="0"/>
              <w:kinsoku/>
              <w:overflowPunct/>
              <w:topLinePunct w:val="0"/>
              <w:autoSpaceDE/>
              <w:autoSpaceDN/>
              <w:bidi w:val="0"/>
              <w:adjustRightInd/>
              <w:snapToGrid/>
              <w:spacing w:beforeAutospacing="0" w:afterAutospacing="0"/>
              <w:ind w:left="0" w:right="0"/>
              <w:jc w:val="center"/>
              <w:outlineLvl w:val="9"/>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维保</w:t>
            </w:r>
          </w:p>
          <w:p>
            <w:pPr>
              <w:pageBreakBefore w:val="0"/>
              <w:kinsoku/>
              <w:overflowPunct/>
              <w:topLinePunct w:val="0"/>
              <w:autoSpaceDE/>
              <w:autoSpaceDN/>
              <w:bidi w:val="0"/>
              <w:adjustRightInd/>
              <w:snapToGrid/>
              <w:spacing w:beforeAutospacing="0" w:afterAutospacing="0"/>
              <w:ind w:left="0" w:right="0"/>
              <w:jc w:val="center"/>
              <w:outlineLvl w:val="9"/>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标准</w:t>
            </w:r>
          </w:p>
        </w:tc>
        <w:tc>
          <w:tcPr>
            <w:tcW w:w="450" w:type="pct"/>
            <w:noWrap w:val="0"/>
            <w:vAlign w:val="center"/>
          </w:tcPr>
          <w:p>
            <w:pPr>
              <w:pageBreakBefore w:val="0"/>
              <w:kinsoku/>
              <w:overflowPunct/>
              <w:topLinePunct w:val="0"/>
              <w:autoSpaceDE/>
              <w:autoSpaceDN/>
              <w:bidi w:val="0"/>
              <w:adjustRightInd/>
              <w:snapToGrid/>
              <w:spacing w:beforeAutospacing="0" w:afterAutospacing="0"/>
              <w:ind w:left="0" w:right="0"/>
              <w:jc w:val="center"/>
              <w:outlineLvl w:val="9"/>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数量（台）</w:t>
            </w:r>
          </w:p>
        </w:tc>
        <w:tc>
          <w:tcPr>
            <w:tcW w:w="832" w:type="pct"/>
            <w:noWrap w:val="0"/>
            <w:vAlign w:val="center"/>
          </w:tcPr>
          <w:p>
            <w:pPr>
              <w:pageBreakBefore w:val="0"/>
              <w:kinsoku/>
              <w:overflowPunct/>
              <w:topLinePunct w:val="0"/>
              <w:autoSpaceDE/>
              <w:autoSpaceDN/>
              <w:bidi w:val="0"/>
              <w:adjustRightInd/>
              <w:snapToGrid/>
              <w:spacing w:beforeAutospacing="0" w:afterAutospacing="0"/>
              <w:ind w:left="0" w:right="0"/>
              <w:jc w:val="center"/>
              <w:outlineLvl w:val="9"/>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招标控制价</w:t>
            </w:r>
          </w:p>
          <w:p>
            <w:pPr>
              <w:pageBreakBefore w:val="0"/>
              <w:kinsoku/>
              <w:overflowPunct/>
              <w:topLinePunct w:val="0"/>
              <w:autoSpaceDE/>
              <w:autoSpaceDN/>
              <w:bidi w:val="0"/>
              <w:adjustRightInd/>
              <w:snapToGrid/>
              <w:spacing w:beforeAutospacing="0" w:afterAutospacing="0"/>
              <w:ind w:left="0" w:right="0"/>
              <w:jc w:val="center"/>
              <w:outlineLvl w:val="9"/>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（元/台/月）</w:t>
            </w:r>
          </w:p>
        </w:tc>
        <w:tc>
          <w:tcPr>
            <w:tcW w:w="697" w:type="pct"/>
            <w:noWrap w:val="0"/>
            <w:vAlign w:val="center"/>
          </w:tcPr>
          <w:p>
            <w:pPr>
              <w:pageBreakBefore w:val="0"/>
              <w:kinsoku/>
              <w:overflowPunct/>
              <w:topLinePunct w:val="0"/>
              <w:autoSpaceDE/>
              <w:autoSpaceDN/>
              <w:bidi w:val="0"/>
              <w:adjustRightInd/>
              <w:snapToGrid/>
              <w:spacing w:beforeAutospacing="0" w:afterAutospacing="0"/>
              <w:ind w:left="0" w:right="0"/>
              <w:jc w:val="center"/>
              <w:outlineLvl w:val="9"/>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2453"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right="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百花金城：</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00" w:lineRule="exact"/>
              <w:ind w:left="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楼层：13层-16层</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00" w:lineRule="exact"/>
              <w:ind w:left="0" w:right="0" w:rightChars="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电梯品牌：三菱</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使用日期：</w:t>
            </w:r>
            <w:r>
              <w:rPr>
                <w:rFonts w:hint="eastAsia" w:asciiTheme="minorEastAsia" w:hAnsiTheme="minorEastAsia" w:eastAsiaTheme="minorEastAsia" w:cstheme="minorEastAsia"/>
                <w:color w:val="auto"/>
                <w:sz w:val="24"/>
                <w:szCs w:val="24"/>
                <w:highlight w:val="none"/>
                <w:lang w:val="en-US" w:eastAsia="zh-CN"/>
              </w:rPr>
              <w:t>2012年</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地址：</w:t>
            </w:r>
            <w:r>
              <w:rPr>
                <w:rFonts w:hint="eastAsia" w:ascii="宋体" w:hAnsi="宋体" w:eastAsia="宋体" w:cs="宋体"/>
                <w:b w:val="0"/>
                <w:bCs/>
                <w:color w:val="auto"/>
                <w:sz w:val="24"/>
                <w:szCs w:val="24"/>
                <w:highlight w:val="none"/>
                <w:vertAlign w:val="baseline"/>
                <w:lang w:val="en-US" w:eastAsia="zh-CN"/>
              </w:rPr>
              <w:t>连城县莲峰镇百花金城小区</w:t>
            </w:r>
          </w:p>
        </w:tc>
        <w:tc>
          <w:tcPr>
            <w:tcW w:w="566"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jc w:val="center"/>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全包</w:t>
            </w:r>
          </w:p>
        </w:tc>
        <w:tc>
          <w:tcPr>
            <w:tcW w:w="45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ind w:left="0" w:right="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w:t>
            </w:r>
          </w:p>
        </w:tc>
        <w:tc>
          <w:tcPr>
            <w:tcW w:w="832"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ind w:left="0" w:right="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650</w:t>
            </w:r>
          </w:p>
        </w:tc>
        <w:tc>
          <w:tcPr>
            <w:tcW w:w="697"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outlineLvl w:val="9"/>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提供维保所需工具、电梯零部件和劳务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245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鹧鸪花园</w:t>
            </w:r>
          </w:p>
          <w:p>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300" w:lineRule="exact"/>
              <w:ind w:left="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楼层：13层</w:t>
            </w:r>
          </w:p>
          <w:p>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300" w:lineRule="exact"/>
              <w:ind w:left="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电梯品牌：通力电梯</w:t>
            </w:r>
          </w:p>
          <w:p>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300" w:lineRule="exact"/>
              <w:ind w:left="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使用日期：2023年</w:t>
            </w:r>
          </w:p>
          <w:p>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300" w:lineRule="exact"/>
              <w:ind w:left="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cs="宋体"/>
                <w:b w:val="0"/>
                <w:bCs/>
                <w:color w:val="auto"/>
                <w:sz w:val="24"/>
                <w:szCs w:val="24"/>
                <w:highlight w:val="none"/>
                <w:vertAlign w:val="baseline"/>
                <w:lang w:val="en-US" w:eastAsia="zh-CN"/>
              </w:rPr>
              <w:t>地址：</w:t>
            </w:r>
            <w:r>
              <w:rPr>
                <w:rFonts w:hint="eastAsia" w:ascii="宋体" w:hAnsi="宋体" w:eastAsia="宋体" w:cs="宋体"/>
                <w:b w:val="0"/>
                <w:bCs/>
                <w:color w:val="auto"/>
                <w:sz w:val="24"/>
                <w:szCs w:val="24"/>
                <w:highlight w:val="none"/>
                <w:vertAlign w:val="baseline"/>
                <w:lang w:val="en-US" w:eastAsia="zh-CN"/>
              </w:rPr>
              <w:t>连城县莲峰镇西台路98号鹧鸪花园</w:t>
            </w:r>
          </w:p>
        </w:tc>
        <w:tc>
          <w:tcPr>
            <w:tcW w:w="566"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半包</w:t>
            </w:r>
          </w:p>
        </w:tc>
        <w:tc>
          <w:tcPr>
            <w:tcW w:w="45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ind w:left="0" w:right="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832"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ind w:left="0" w:right="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350</w:t>
            </w:r>
          </w:p>
        </w:tc>
        <w:tc>
          <w:tcPr>
            <w:tcW w:w="69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提供维保所需工具和劳务，并免费提供300元（含）以内电梯原厂零部件，进水及人为损坏除外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245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南前花园</w:t>
            </w: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3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楼层：11层</w:t>
            </w: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3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电梯品牌：江南嘉捷</w:t>
            </w: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3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使用日期：2022年</w:t>
            </w: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3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地址：</w:t>
            </w:r>
            <w:r>
              <w:rPr>
                <w:rFonts w:hint="eastAsia" w:ascii="宋体" w:hAnsi="宋体" w:eastAsia="宋体" w:cs="宋体"/>
                <w:b w:val="0"/>
                <w:bCs/>
                <w:color w:val="auto"/>
                <w:sz w:val="24"/>
                <w:szCs w:val="24"/>
                <w:highlight w:val="none"/>
                <w:vertAlign w:val="baseline"/>
                <w:lang w:val="en-US" w:eastAsia="zh-CN"/>
              </w:rPr>
              <w:t>连城县莲峰镇南前村南前花园安置小区</w:t>
            </w:r>
          </w:p>
        </w:tc>
        <w:tc>
          <w:tcPr>
            <w:tcW w:w="566"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半包</w:t>
            </w:r>
          </w:p>
        </w:tc>
        <w:tc>
          <w:tcPr>
            <w:tcW w:w="45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ind w:left="0" w:right="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832"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ind w:left="0" w:right="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350</w:t>
            </w:r>
          </w:p>
        </w:tc>
        <w:tc>
          <w:tcPr>
            <w:tcW w:w="69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outlineLvl w:val="9"/>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245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莲冠花园</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3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楼层：8-11层</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3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电梯品牌：通力电梯</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使用日期：2014年</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地址：</w:t>
            </w:r>
            <w:r>
              <w:rPr>
                <w:rFonts w:hint="eastAsia" w:ascii="宋体" w:hAnsi="宋体" w:eastAsia="宋体" w:cs="宋体"/>
                <w:b w:val="0"/>
                <w:bCs/>
                <w:color w:val="auto"/>
                <w:sz w:val="24"/>
                <w:szCs w:val="24"/>
                <w:highlight w:val="none"/>
                <w:vertAlign w:val="baseline"/>
                <w:lang w:val="en-US" w:eastAsia="zh-CN"/>
              </w:rPr>
              <w:t>连城县莲峰镇莲北大道3号</w:t>
            </w:r>
          </w:p>
        </w:tc>
        <w:tc>
          <w:tcPr>
            <w:tcW w:w="566"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半包</w:t>
            </w:r>
          </w:p>
        </w:tc>
        <w:tc>
          <w:tcPr>
            <w:tcW w:w="45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ind w:left="0" w:right="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832"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ind w:left="0" w:right="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350</w:t>
            </w:r>
          </w:p>
        </w:tc>
        <w:tc>
          <w:tcPr>
            <w:tcW w:w="69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outlineLvl w:val="9"/>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01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总计</w:t>
            </w:r>
          </w:p>
        </w:tc>
        <w:tc>
          <w:tcPr>
            <w:tcW w:w="45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ind w:left="0" w:right="0"/>
              <w:jc w:val="center"/>
              <w:textAlignment w:val="auto"/>
              <w:outlineLvl w:val="9"/>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53台</w:t>
            </w:r>
          </w:p>
        </w:tc>
        <w:tc>
          <w:tcPr>
            <w:tcW w:w="152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outlineLvl w:val="9"/>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w:t>
            </w:r>
            <w:r>
              <w:rPr>
                <w:rFonts w:hint="default" w:ascii="Arial" w:hAnsi="Arial" w:cs="Arial" w:eastAsia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650*12）+（32</w:t>
            </w:r>
            <w:r>
              <w:rPr>
                <w:rFonts w:hint="default" w:ascii="Arial" w:hAnsi="Arial" w:cs="Arial" w:eastAsia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350</w:t>
            </w:r>
            <w:r>
              <w:rPr>
                <w:rFonts w:hint="default" w:ascii="Arial" w:hAnsi="Arial" w:cs="Arial" w:eastAsia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12）=298200元</w:t>
            </w:r>
          </w:p>
        </w:tc>
      </w:tr>
    </w:tbl>
    <w:p>
      <w:pPr>
        <w:pageBreakBefore w:val="0"/>
        <w:numPr>
          <w:ilvl w:val="0"/>
          <w:numId w:val="0"/>
        </w:numPr>
        <w:kinsoku/>
        <w:overflowPunct/>
        <w:topLinePunct w:val="0"/>
        <w:autoSpaceDE/>
        <w:autoSpaceDN/>
        <w:bidi w:val="0"/>
        <w:adjustRightInd/>
        <w:snapToGrid/>
        <w:spacing w:beforeAutospacing="0" w:afterAutospacing="0" w:line="360" w:lineRule="auto"/>
        <w:ind w:right="0" w:rightChars="0"/>
        <w:outlineLvl w:val="9"/>
        <w:rPr>
          <w:rFonts w:hint="default" w:asciiTheme="minorEastAsia" w:hAnsiTheme="minorEastAsia" w:eastAsiaTheme="minorEastAsia" w:cstheme="minorEastAsia"/>
          <w:b/>
          <w:bCs/>
          <w:color w:val="auto"/>
          <w:kern w:val="0"/>
          <w:sz w:val="24"/>
          <w:szCs w:val="24"/>
          <w:highlight w:val="none"/>
          <w:shd w:val="clear" w:fill="FFFFFF"/>
          <w:lang w:val="en-US" w:eastAsia="zh-CN" w:bidi="ar-SA"/>
        </w:rPr>
      </w:pPr>
      <w:r>
        <w:rPr>
          <w:rFonts w:hint="eastAsia" w:asciiTheme="minorEastAsia" w:hAnsiTheme="minorEastAsia" w:eastAsiaTheme="minorEastAsia" w:cstheme="minorEastAsia"/>
          <w:b/>
          <w:bCs/>
          <w:color w:val="auto"/>
          <w:kern w:val="0"/>
          <w:sz w:val="24"/>
          <w:szCs w:val="24"/>
          <w:highlight w:val="none"/>
          <w:shd w:val="clear" w:fill="FFFFFF"/>
          <w:lang w:val="en-US" w:eastAsia="zh-CN" w:bidi="ar-SA"/>
        </w:rPr>
        <w:t>6.</w:t>
      </w:r>
      <w:r>
        <w:rPr>
          <w:rFonts w:hint="eastAsia" w:asciiTheme="majorEastAsia" w:hAnsiTheme="majorEastAsia" w:eastAsiaTheme="majorEastAsia" w:cstheme="majorEastAsia"/>
          <w:b w:val="0"/>
          <w:bCs w:val="0"/>
          <w:color w:val="auto"/>
          <w:sz w:val="24"/>
          <w:szCs w:val="24"/>
          <w:highlight w:val="none"/>
          <w:lang w:val="en-US" w:eastAsia="zh-CN"/>
        </w:rPr>
        <w:t>电梯维保300元以内免费更换</w:t>
      </w:r>
      <w:r>
        <w:rPr>
          <w:rFonts w:hint="eastAsia" w:asciiTheme="minorEastAsia" w:hAnsiTheme="minorEastAsia" w:eastAsiaTheme="minorEastAsia" w:cstheme="minorEastAsia"/>
          <w:color w:val="auto"/>
          <w:sz w:val="24"/>
          <w:szCs w:val="24"/>
          <w:highlight w:val="none"/>
          <w:lang w:val="en-US" w:eastAsia="zh-CN"/>
        </w:rPr>
        <w:t>零部件</w:t>
      </w:r>
      <w:r>
        <w:rPr>
          <w:rFonts w:hint="eastAsia" w:asciiTheme="majorEastAsia" w:hAnsiTheme="majorEastAsia" w:eastAsiaTheme="majorEastAsia" w:cstheme="majorEastAsia"/>
          <w:b w:val="0"/>
          <w:bCs w:val="0"/>
          <w:color w:val="auto"/>
          <w:sz w:val="24"/>
          <w:szCs w:val="24"/>
          <w:highlight w:val="none"/>
          <w:lang w:val="en-US" w:eastAsia="zh-CN"/>
        </w:rPr>
        <w:t>清单（原厂配件）：详见附件1</w:t>
      </w:r>
    </w:p>
    <w:p>
      <w:pPr>
        <w:pageBreakBefore w:val="0"/>
        <w:numPr>
          <w:ilvl w:val="0"/>
          <w:numId w:val="0"/>
        </w:numPr>
        <w:kinsoku/>
        <w:overflowPunct/>
        <w:topLinePunct w:val="0"/>
        <w:autoSpaceDE/>
        <w:autoSpaceDN/>
        <w:bidi w:val="0"/>
        <w:adjustRightInd/>
        <w:snapToGrid/>
        <w:spacing w:beforeAutospacing="0" w:afterAutospacing="0" w:line="360" w:lineRule="auto"/>
        <w:ind w:right="0" w:rightChars="0"/>
        <w:outlineLvl w:val="9"/>
        <w:rPr>
          <w:rFonts w:hint="eastAsia" w:asciiTheme="minorEastAsia" w:hAnsiTheme="minorEastAsia" w:eastAsiaTheme="minorEastAsia" w:cstheme="minorEastAsia"/>
          <w:color w:val="auto"/>
          <w:kern w:val="0"/>
          <w:sz w:val="24"/>
          <w:szCs w:val="24"/>
          <w:highlight w:val="none"/>
          <w:shd w:val="clear" w:fill="FFFFFF"/>
          <w:lang w:val="en-US" w:eastAsia="zh-CN" w:bidi="ar-SA"/>
        </w:rPr>
      </w:pPr>
      <w:r>
        <w:rPr>
          <w:rStyle w:val="25"/>
          <w:rFonts w:hint="eastAsia" w:asciiTheme="minorEastAsia" w:hAnsiTheme="minorEastAsia" w:eastAsiaTheme="minorEastAsia" w:cstheme="minorEastAsia"/>
          <w:b/>
          <w:bCs/>
          <w:color w:val="auto"/>
          <w:szCs w:val="24"/>
        </w:rPr>
        <w:t>★</w:t>
      </w:r>
      <w:r>
        <w:rPr>
          <w:rFonts w:hint="eastAsia" w:asciiTheme="minorEastAsia" w:hAnsiTheme="minorEastAsia" w:eastAsiaTheme="minorEastAsia" w:cstheme="minorEastAsia"/>
          <w:b/>
          <w:bCs/>
          <w:color w:val="auto"/>
          <w:kern w:val="0"/>
          <w:sz w:val="24"/>
          <w:szCs w:val="24"/>
          <w:highlight w:val="none"/>
          <w:shd w:val="clear" w:fill="FFFFFF"/>
          <w:lang w:val="en-US" w:eastAsia="zh-CN" w:bidi="ar-SA"/>
        </w:rPr>
        <w:t>二、技术服务要求</w:t>
      </w:r>
      <w:r>
        <w:rPr>
          <w:rFonts w:hint="eastAsia" w:asciiTheme="minorEastAsia" w:hAnsiTheme="minorEastAsia" w:eastAsiaTheme="minorEastAsia" w:cstheme="minorEastAsia"/>
          <w:color w:val="auto"/>
          <w:kern w:val="0"/>
          <w:sz w:val="24"/>
          <w:szCs w:val="24"/>
          <w:highlight w:val="none"/>
          <w:shd w:val="clear" w:fill="FFFFFF"/>
          <w:lang w:val="en-US" w:eastAsia="zh-CN" w:bidi="ar-SA"/>
        </w:rPr>
        <w:t xml:space="preserve">     </w:t>
      </w:r>
    </w:p>
    <w:p>
      <w:pPr>
        <w:pageBreakBefore w:val="0"/>
        <w:numPr>
          <w:ilvl w:val="0"/>
          <w:numId w:val="0"/>
        </w:numPr>
        <w:kinsoku/>
        <w:overflowPunct/>
        <w:topLinePunct w:val="0"/>
        <w:autoSpaceDE/>
        <w:autoSpaceDN/>
        <w:bidi w:val="0"/>
        <w:adjustRightInd/>
        <w:snapToGrid/>
        <w:spacing w:beforeAutospacing="0" w:afterAutospacing="0" w:line="360" w:lineRule="auto"/>
        <w:ind w:right="0" w:rightChars="0"/>
        <w:outlineLvl w:val="9"/>
        <w:rPr>
          <w:rFonts w:hint="eastAsia" w:asciiTheme="minorEastAsia" w:hAnsiTheme="minorEastAsia" w:eastAsiaTheme="minorEastAsia" w:cstheme="minorEastAsia"/>
          <w:color w:val="auto"/>
          <w:kern w:val="0"/>
          <w:sz w:val="24"/>
          <w:szCs w:val="24"/>
          <w:highlight w:val="none"/>
          <w:shd w:val="clear" w:fill="FFFFFF"/>
          <w:lang w:val="en-US" w:eastAsia="zh-CN" w:bidi="ar-SA"/>
        </w:rPr>
      </w:pPr>
      <w:r>
        <w:rPr>
          <w:rFonts w:hint="eastAsia" w:asciiTheme="minorEastAsia" w:hAnsiTheme="minorEastAsia" w:eastAsiaTheme="minorEastAsia" w:cstheme="minorEastAsia"/>
          <w:color w:val="auto"/>
          <w:kern w:val="0"/>
          <w:sz w:val="24"/>
          <w:szCs w:val="24"/>
          <w:highlight w:val="none"/>
          <w:shd w:val="clear" w:fill="FFFFFF"/>
          <w:lang w:val="en-US" w:eastAsia="zh-CN" w:bidi="ar-SA"/>
        </w:rPr>
        <w:t>（一）合同要求</w:t>
      </w:r>
    </w:p>
    <w:p>
      <w:pPr>
        <w:pageBreakBefore w:val="0"/>
        <w:kinsoku/>
        <w:overflowPunct/>
        <w:topLinePunct w:val="0"/>
        <w:autoSpaceDE/>
        <w:autoSpaceDN/>
        <w:bidi w:val="0"/>
        <w:adjustRightInd/>
        <w:snapToGrid/>
        <w:spacing w:beforeAutospacing="0" w:afterAutospacing="0" w:line="360" w:lineRule="auto"/>
        <w:ind w:left="0" w:right="0" w:firstLine="240" w:firstLineChars="100"/>
        <w:outlineLvl w:val="9"/>
        <w:rPr>
          <w:rFonts w:hint="eastAsia" w:asciiTheme="minorEastAsia" w:hAnsiTheme="minorEastAsia" w:eastAsiaTheme="minorEastAsia" w:cstheme="minorEastAsia"/>
          <w:color w:val="auto"/>
          <w:kern w:val="0"/>
          <w:sz w:val="24"/>
          <w:szCs w:val="24"/>
          <w:highlight w:val="none"/>
          <w:shd w:val="clear" w:fill="FFFFFF"/>
          <w:lang w:val="en-US" w:eastAsia="zh-CN" w:bidi="ar-SA"/>
        </w:rPr>
      </w:pPr>
      <w:r>
        <w:rPr>
          <w:rFonts w:hint="eastAsia" w:asciiTheme="minorEastAsia" w:hAnsiTheme="minorEastAsia" w:eastAsiaTheme="minorEastAsia" w:cstheme="minorEastAsia"/>
          <w:color w:val="auto"/>
          <w:kern w:val="0"/>
          <w:sz w:val="24"/>
          <w:szCs w:val="24"/>
          <w:highlight w:val="none"/>
          <w:shd w:val="clear" w:fill="FFFFFF"/>
          <w:lang w:val="en-US" w:eastAsia="zh-CN" w:bidi="ar-SA"/>
        </w:rPr>
        <w:t>1、本项目维保人员办公场所由采购人提供。</w:t>
      </w:r>
    </w:p>
    <w:p>
      <w:pPr>
        <w:pageBreakBefore w:val="0"/>
        <w:kinsoku/>
        <w:overflowPunct/>
        <w:topLinePunct w:val="0"/>
        <w:autoSpaceDE/>
        <w:autoSpaceDN/>
        <w:bidi w:val="0"/>
        <w:adjustRightInd/>
        <w:snapToGrid/>
        <w:spacing w:beforeAutospacing="0" w:afterAutospacing="0" w:line="360" w:lineRule="auto"/>
        <w:ind w:left="0" w:right="0" w:firstLine="240" w:firstLineChars="100"/>
        <w:outlineLvl w:val="9"/>
        <w:rPr>
          <w:rFonts w:hint="eastAsia" w:asciiTheme="minorEastAsia" w:hAnsiTheme="minorEastAsia" w:eastAsiaTheme="minorEastAsia" w:cstheme="minorEastAsia"/>
          <w:color w:val="auto"/>
          <w:kern w:val="0"/>
          <w:sz w:val="24"/>
          <w:szCs w:val="24"/>
          <w:highlight w:val="none"/>
          <w:shd w:val="clear" w:fill="FFFFFF"/>
          <w:lang w:val="en-US" w:eastAsia="zh-CN" w:bidi="ar-SA"/>
        </w:rPr>
      </w:pPr>
      <w:r>
        <w:rPr>
          <w:rFonts w:hint="eastAsia" w:asciiTheme="minorEastAsia" w:hAnsiTheme="minorEastAsia" w:eastAsiaTheme="minorEastAsia" w:cstheme="minorEastAsia"/>
          <w:color w:val="auto"/>
          <w:kern w:val="0"/>
          <w:sz w:val="24"/>
          <w:szCs w:val="24"/>
          <w:highlight w:val="none"/>
          <w:shd w:val="clear" w:fill="FFFFFF"/>
          <w:lang w:val="en-US" w:eastAsia="zh-CN" w:bidi="ar-SA"/>
        </w:rPr>
        <w:t>2、服务期内成交供应商服务质量应满足本项目公告要求并做好每月维保记录。</w:t>
      </w:r>
    </w:p>
    <w:p>
      <w:pPr>
        <w:pageBreakBefore w:val="0"/>
        <w:kinsoku/>
        <w:overflowPunct/>
        <w:topLinePunct w:val="0"/>
        <w:autoSpaceDE/>
        <w:autoSpaceDN/>
        <w:bidi w:val="0"/>
        <w:adjustRightInd/>
        <w:snapToGrid/>
        <w:spacing w:beforeAutospacing="0" w:afterAutospacing="0" w:line="360" w:lineRule="auto"/>
        <w:ind w:left="0" w:right="0" w:firstLine="240" w:firstLineChars="100"/>
        <w:outlineLvl w:val="9"/>
        <w:rPr>
          <w:rFonts w:hint="eastAsia" w:asciiTheme="minorEastAsia" w:hAnsiTheme="minorEastAsia" w:eastAsiaTheme="minorEastAsia" w:cstheme="minorEastAsia"/>
          <w:color w:val="auto"/>
          <w:kern w:val="0"/>
          <w:sz w:val="24"/>
          <w:szCs w:val="24"/>
          <w:highlight w:val="none"/>
          <w:shd w:val="clear" w:fill="FFFFFF"/>
          <w:lang w:val="en-US" w:eastAsia="zh-CN" w:bidi="ar-SA"/>
        </w:rPr>
      </w:pPr>
      <w:r>
        <w:rPr>
          <w:rFonts w:hint="eastAsia" w:asciiTheme="minorEastAsia" w:hAnsiTheme="minorEastAsia" w:eastAsiaTheme="minorEastAsia" w:cstheme="minorEastAsia"/>
          <w:color w:val="auto"/>
          <w:kern w:val="0"/>
          <w:sz w:val="24"/>
          <w:szCs w:val="24"/>
          <w:highlight w:val="none"/>
          <w:shd w:val="clear" w:fill="FFFFFF"/>
          <w:lang w:val="en-US" w:eastAsia="zh-CN" w:bidi="ar-SA"/>
        </w:rPr>
        <w:t>3、服务期内成交供应商应承担所维保电梯的年检工作。</w:t>
      </w:r>
    </w:p>
    <w:p>
      <w:pPr>
        <w:pageBreakBefore w:val="0"/>
        <w:kinsoku/>
        <w:overflowPunct/>
        <w:topLinePunct w:val="0"/>
        <w:autoSpaceDE/>
        <w:autoSpaceDN/>
        <w:bidi w:val="0"/>
        <w:adjustRightInd/>
        <w:snapToGrid/>
        <w:spacing w:beforeAutospacing="0" w:afterAutospacing="0" w:line="360" w:lineRule="auto"/>
        <w:ind w:left="0" w:right="0" w:firstLine="240" w:firstLineChars="100"/>
        <w:outlineLvl w:val="9"/>
        <w:rPr>
          <w:rFonts w:hint="eastAsia" w:asciiTheme="minorEastAsia" w:hAnsiTheme="minorEastAsia" w:eastAsiaTheme="minorEastAsia" w:cstheme="minorEastAsia"/>
          <w:color w:val="auto"/>
          <w:kern w:val="0"/>
          <w:sz w:val="24"/>
          <w:szCs w:val="24"/>
          <w:highlight w:val="none"/>
          <w:shd w:val="clear" w:fill="FFFFFF"/>
          <w:lang w:val="en-US" w:eastAsia="zh-CN" w:bidi="ar-SA"/>
        </w:rPr>
      </w:pPr>
      <w:r>
        <w:rPr>
          <w:rFonts w:hint="eastAsia" w:asciiTheme="minorEastAsia" w:hAnsiTheme="minorEastAsia" w:eastAsiaTheme="minorEastAsia" w:cstheme="minorEastAsia"/>
          <w:color w:val="auto"/>
          <w:kern w:val="0"/>
          <w:sz w:val="24"/>
          <w:szCs w:val="24"/>
          <w:highlight w:val="none"/>
          <w:shd w:val="clear" w:fill="FFFFFF"/>
          <w:lang w:val="en-US" w:eastAsia="zh-CN" w:bidi="ar-SA"/>
        </w:rPr>
        <w:t>4、当电梯发生困人故障，成交供应商应在接到采购人通知后20分钟内赶赴现场实施紧急救援；电梯发生其他故障，成交供应商应在接到采购人通知后30分钟内赶到现场实施抢修。</w:t>
      </w:r>
    </w:p>
    <w:p>
      <w:pPr>
        <w:pageBreakBefore w:val="0"/>
        <w:kinsoku/>
        <w:overflowPunct/>
        <w:topLinePunct w:val="0"/>
        <w:autoSpaceDE/>
        <w:autoSpaceDN/>
        <w:bidi w:val="0"/>
        <w:adjustRightInd/>
        <w:snapToGrid/>
        <w:spacing w:beforeAutospacing="0" w:afterAutospacing="0" w:line="360" w:lineRule="auto"/>
        <w:ind w:left="0" w:right="0" w:firstLine="240" w:firstLineChars="100"/>
        <w:outlineLvl w:val="9"/>
        <w:rPr>
          <w:rFonts w:hint="eastAsia" w:asciiTheme="minorEastAsia" w:hAnsiTheme="minorEastAsia" w:eastAsiaTheme="minorEastAsia" w:cstheme="minorEastAsia"/>
          <w:color w:val="auto"/>
          <w:kern w:val="0"/>
          <w:sz w:val="24"/>
          <w:szCs w:val="24"/>
          <w:highlight w:val="none"/>
          <w:shd w:val="clear" w:fill="FFFFFF"/>
          <w:lang w:val="en-US" w:eastAsia="zh-CN" w:bidi="ar-SA"/>
        </w:rPr>
      </w:pPr>
      <w:r>
        <w:rPr>
          <w:rFonts w:hint="eastAsia" w:asciiTheme="minorEastAsia" w:hAnsiTheme="minorEastAsia" w:eastAsiaTheme="minorEastAsia" w:cstheme="minorEastAsia"/>
          <w:color w:val="auto"/>
          <w:kern w:val="0"/>
          <w:sz w:val="24"/>
          <w:szCs w:val="24"/>
          <w:highlight w:val="none"/>
          <w:shd w:val="clear" w:fill="FFFFFF"/>
          <w:lang w:val="en-US" w:eastAsia="zh-CN" w:bidi="ar-SA"/>
        </w:rPr>
        <w:t>5、成交供应商应承诺中标后在项目所在地成立分公司。</w:t>
      </w:r>
    </w:p>
    <w:p>
      <w:pPr>
        <w:pageBreakBefore w:val="0"/>
        <w:kinsoku/>
        <w:overflowPunct/>
        <w:topLinePunct w:val="0"/>
        <w:autoSpaceDE/>
        <w:autoSpaceDN/>
        <w:bidi w:val="0"/>
        <w:adjustRightInd/>
        <w:snapToGrid/>
        <w:spacing w:beforeAutospacing="0" w:afterAutospacing="0" w:line="360" w:lineRule="auto"/>
        <w:ind w:left="0" w:right="0" w:firstLine="240" w:firstLineChars="100"/>
        <w:outlineLvl w:val="9"/>
        <w:rPr>
          <w:rFonts w:hint="eastAsia" w:asciiTheme="minorEastAsia" w:hAnsiTheme="minorEastAsia" w:eastAsiaTheme="minorEastAsia" w:cstheme="minorEastAsia"/>
          <w:color w:val="auto"/>
          <w:kern w:val="0"/>
          <w:sz w:val="24"/>
          <w:szCs w:val="24"/>
          <w:highlight w:val="none"/>
          <w:shd w:val="clear" w:fill="FFFFFF"/>
          <w:lang w:val="en-US" w:eastAsia="zh-CN" w:bidi="ar-SA"/>
        </w:rPr>
      </w:pPr>
      <w:r>
        <w:rPr>
          <w:rFonts w:hint="eastAsia" w:asciiTheme="minorEastAsia" w:hAnsiTheme="minorEastAsia" w:eastAsiaTheme="minorEastAsia" w:cstheme="minorEastAsia"/>
          <w:color w:val="auto"/>
          <w:kern w:val="0"/>
          <w:sz w:val="24"/>
          <w:szCs w:val="24"/>
          <w:highlight w:val="none"/>
          <w:shd w:val="clear" w:fill="FFFFFF"/>
          <w:lang w:val="en-US" w:eastAsia="zh-CN" w:bidi="ar-SA"/>
        </w:rPr>
        <w:t>6、成交供应商应派3名具有《特种设备作业人员证》维保人员派驻本项目，且工作时间应天天打卡。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80" w:firstLineChars="200"/>
        <w:jc w:val="both"/>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（二）工作目标及要求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80" w:firstLineChars="200"/>
        <w:jc w:val="both"/>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1、电梯维保服务项目及要求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i w:val="0"/>
          <w:iCs w:val="0"/>
          <w:caps w:val="0"/>
          <w:color w:val="auto"/>
          <w:spacing w:val="0"/>
          <w:kern w:val="0"/>
          <w:sz w:val="24"/>
          <w:szCs w:val="24"/>
          <w:highlight w:val="none"/>
          <w:shd w:val="clear" w:fill="FFFFFF"/>
          <w:lang w:val="en-US" w:eastAsia="zh-CN" w:bidi="ar"/>
        </w:rPr>
        <w:t>表A-1  半月维保项目（内容）和要求（半月保养时间为40分钟）</w:t>
      </w:r>
    </w:p>
    <w:tbl>
      <w:tblPr>
        <w:tblStyle w:val="22"/>
        <w:tblW w:w="9049" w:type="dxa"/>
        <w:tblInd w:w="1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16"/>
        <w:gridCol w:w="4017"/>
        <w:gridCol w:w="3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116" w:type="dxa"/>
            <w:tcBorders>
              <w:top w:val="single" w:color="000000" w:sz="12"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both"/>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序号</w:t>
            </w:r>
          </w:p>
        </w:tc>
        <w:tc>
          <w:tcPr>
            <w:tcW w:w="4017" w:type="dxa"/>
            <w:tcBorders>
              <w:top w:val="single" w:color="auto" w:sz="12"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维保项目（内容）</w:t>
            </w:r>
          </w:p>
        </w:tc>
        <w:tc>
          <w:tcPr>
            <w:tcW w:w="3916" w:type="dxa"/>
            <w:tcBorders>
              <w:top w:val="single" w:color="auto" w:sz="12" w:space="0"/>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维保基本要求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5" w:hRule="atLeast"/>
        </w:trPr>
        <w:tc>
          <w:tcPr>
            <w:tcW w:w="1116"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1</w:t>
            </w:r>
          </w:p>
        </w:tc>
        <w:tc>
          <w:tcPr>
            <w:tcW w:w="40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机房、滑轮间环境</w:t>
            </w:r>
          </w:p>
        </w:tc>
        <w:tc>
          <w:tcPr>
            <w:tcW w:w="3916"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清洁，门窗完好、照明正常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116"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2</w:t>
            </w:r>
          </w:p>
        </w:tc>
        <w:tc>
          <w:tcPr>
            <w:tcW w:w="40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手动紧急操作装置</w:t>
            </w:r>
          </w:p>
        </w:tc>
        <w:tc>
          <w:tcPr>
            <w:tcW w:w="3916"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齐全，在指定位置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116"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3</w:t>
            </w:r>
          </w:p>
        </w:tc>
        <w:tc>
          <w:tcPr>
            <w:tcW w:w="40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曳引机</w:t>
            </w:r>
          </w:p>
        </w:tc>
        <w:tc>
          <w:tcPr>
            <w:tcW w:w="3916"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运行时无异常振动和异常声响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116"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4</w:t>
            </w:r>
          </w:p>
        </w:tc>
        <w:tc>
          <w:tcPr>
            <w:tcW w:w="40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制动器各销轴部位</w:t>
            </w:r>
          </w:p>
        </w:tc>
        <w:tc>
          <w:tcPr>
            <w:tcW w:w="3916"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润滑，动作灵活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1116"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5</w:t>
            </w:r>
          </w:p>
        </w:tc>
        <w:tc>
          <w:tcPr>
            <w:tcW w:w="40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制动器间隙</w:t>
            </w:r>
          </w:p>
        </w:tc>
        <w:tc>
          <w:tcPr>
            <w:tcW w:w="3916"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打开时制动衬与制动轮不应发生摩擦，制动可靠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116"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6</w:t>
            </w:r>
          </w:p>
        </w:tc>
        <w:tc>
          <w:tcPr>
            <w:tcW w:w="40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编码器</w:t>
            </w:r>
          </w:p>
        </w:tc>
        <w:tc>
          <w:tcPr>
            <w:tcW w:w="3916"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清洁，安装牢固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16"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7</w:t>
            </w:r>
          </w:p>
        </w:tc>
        <w:tc>
          <w:tcPr>
            <w:tcW w:w="40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限速器各销轴部位</w:t>
            </w:r>
          </w:p>
        </w:tc>
        <w:tc>
          <w:tcPr>
            <w:tcW w:w="3916"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清洁、润滑，转动灵活；电气开关正常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1116"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8</w:t>
            </w:r>
          </w:p>
        </w:tc>
        <w:tc>
          <w:tcPr>
            <w:tcW w:w="40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轿顶</w:t>
            </w:r>
          </w:p>
        </w:tc>
        <w:tc>
          <w:tcPr>
            <w:tcW w:w="3916"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清洁，防护拦安全可靠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1116"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9</w:t>
            </w:r>
          </w:p>
        </w:tc>
        <w:tc>
          <w:tcPr>
            <w:tcW w:w="40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轿顶检修开关、急停开关</w:t>
            </w:r>
          </w:p>
        </w:tc>
        <w:tc>
          <w:tcPr>
            <w:tcW w:w="3916"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1116"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10</w:t>
            </w:r>
          </w:p>
        </w:tc>
        <w:tc>
          <w:tcPr>
            <w:tcW w:w="40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导靴上油杯</w:t>
            </w:r>
          </w:p>
        </w:tc>
        <w:tc>
          <w:tcPr>
            <w:tcW w:w="3916"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吸油毛毡齐全，油量适宜，油杯无泄漏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1116"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11</w:t>
            </w:r>
          </w:p>
        </w:tc>
        <w:tc>
          <w:tcPr>
            <w:tcW w:w="40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对重块及其压板</w:t>
            </w:r>
          </w:p>
        </w:tc>
        <w:tc>
          <w:tcPr>
            <w:tcW w:w="3916"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对重块无松动，压板紧固。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1116"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12</w:t>
            </w:r>
          </w:p>
        </w:tc>
        <w:tc>
          <w:tcPr>
            <w:tcW w:w="40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井道照明</w:t>
            </w:r>
          </w:p>
        </w:tc>
        <w:tc>
          <w:tcPr>
            <w:tcW w:w="3916"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齐全、正常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116"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13</w:t>
            </w:r>
          </w:p>
        </w:tc>
        <w:tc>
          <w:tcPr>
            <w:tcW w:w="40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轿厢照明、风扇、应急照明</w:t>
            </w:r>
          </w:p>
        </w:tc>
        <w:tc>
          <w:tcPr>
            <w:tcW w:w="3916"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完好、工作正常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1116"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14</w:t>
            </w:r>
          </w:p>
        </w:tc>
        <w:tc>
          <w:tcPr>
            <w:tcW w:w="40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轿厢检修开关、急停开关</w:t>
            </w:r>
          </w:p>
        </w:tc>
        <w:tc>
          <w:tcPr>
            <w:tcW w:w="3916"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1116"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15</w:t>
            </w:r>
          </w:p>
        </w:tc>
        <w:tc>
          <w:tcPr>
            <w:tcW w:w="40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轿内报警装置、对讲系统</w:t>
            </w:r>
          </w:p>
        </w:tc>
        <w:tc>
          <w:tcPr>
            <w:tcW w:w="3916"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1116"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16</w:t>
            </w:r>
          </w:p>
        </w:tc>
        <w:tc>
          <w:tcPr>
            <w:tcW w:w="40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轿内显示、指令按钮</w:t>
            </w:r>
          </w:p>
        </w:tc>
        <w:tc>
          <w:tcPr>
            <w:tcW w:w="3916"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齐全、有效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1116"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17</w:t>
            </w:r>
          </w:p>
        </w:tc>
        <w:tc>
          <w:tcPr>
            <w:tcW w:w="40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轿门安全装置（安全触板，光幕、光电等）</w:t>
            </w:r>
          </w:p>
        </w:tc>
        <w:tc>
          <w:tcPr>
            <w:tcW w:w="3916"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灵活、功能有效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1116"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18</w:t>
            </w:r>
          </w:p>
        </w:tc>
        <w:tc>
          <w:tcPr>
            <w:tcW w:w="40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轿门门锁电气触点</w:t>
            </w:r>
          </w:p>
        </w:tc>
        <w:tc>
          <w:tcPr>
            <w:tcW w:w="3916"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清洁, 触点接触良好，接线可靠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1116"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19</w:t>
            </w:r>
          </w:p>
        </w:tc>
        <w:tc>
          <w:tcPr>
            <w:tcW w:w="40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轿门运行</w:t>
            </w:r>
          </w:p>
        </w:tc>
        <w:tc>
          <w:tcPr>
            <w:tcW w:w="3916"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开启和关闭工作正常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1116"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20</w:t>
            </w:r>
          </w:p>
        </w:tc>
        <w:tc>
          <w:tcPr>
            <w:tcW w:w="40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轿厢平层精度</w:t>
            </w:r>
          </w:p>
        </w:tc>
        <w:tc>
          <w:tcPr>
            <w:tcW w:w="3916"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符合标准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3" w:hRule="atLeast"/>
        </w:trPr>
        <w:tc>
          <w:tcPr>
            <w:tcW w:w="1116"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21</w:t>
            </w:r>
          </w:p>
        </w:tc>
        <w:tc>
          <w:tcPr>
            <w:tcW w:w="40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层站召唤、层楼显示</w:t>
            </w:r>
          </w:p>
        </w:tc>
        <w:tc>
          <w:tcPr>
            <w:tcW w:w="3916"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齐全、有效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3" w:hRule="atLeast"/>
        </w:trPr>
        <w:tc>
          <w:tcPr>
            <w:tcW w:w="1116"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22</w:t>
            </w:r>
          </w:p>
        </w:tc>
        <w:tc>
          <w:tcPr>
            <w:tcW w:w="40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层门地坎</w:t>
            </w:r>
          </w:p>
        </w:tc>
        <w:tc>
          <w:tcPr>
            <w:tcW w:w="3916"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清洁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3" w:hRule="atLeast"/>
        </w:trPr>
        <w:tc>
          <w:tcPr>
            <w:tcW w:w="1116"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23</w:t>
            </w:r>
          </w:p>
        </w:tc>
        <w:tc>
          <w:tcPr>
            <w:tcW w:w="40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层门自动关门装置</w:t>
            </w:r>
          </w:p>
        </w:tc>
        <w:tc>
          <w:tcPr>
            <w:tcW w:w="3916"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trPr>
        <w:tc>
          <w:tcPr>
            <w:tcW w:w="1116"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24</w:t>
            </w:r>
          </w:p>
        </w:tc>
        <w:tc>
          <w:tcPr>
            <w:tcW w:w="40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层门门锁自动复位</w:t>
            </w:r>
          </w:p>
        </w:tc>
        <w:tc>
          <w:tcPr>
            <w:tcW w:w="3916"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用层门钥匙打开手动开锁装置释放后，层门门锁能自动复位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trPr>
        <w:tc>
          <w:tcPr>
            <w:tcW w:w="1116"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25</w:t>
            </w:r>
          </w:p>
        </w:tc>
        <w:tc>
          <w:tcPr>
            <w:tcW w:w="40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层门门锁电气触点</w:t>
            </w:r>
          </w:p>
        </w:tc>
        <w:tc>
          <w:tcPr>
            <w:tcW w:w="3916"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清洁, 触点接触良好，接线可靠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3" w:hRule="atLeast"/>
        </w:trPr>
        <w:tc>
          <w:tcPr>
            <w:tcW w:w="1116"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26</w:t>
            </w:r>
          </w:p>
        </w:tc>
        <w:tc>
          <w:tcPr>
            <w:tcW w:w="40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层门锁紧元件啮合深度</w:t>
            </w:r>
          </w:p>
        </w:tc>
        <w:tc>
          <w:tcPr>
            <w:tcW w:w="3916"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不小于7mm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0" w:hRule="atLeast"/>
        </w:trPr>
        <w:tc>
          <w:tcPr>
            <w:tcW w:w="1116"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27</w:t>
            </w:r>
          </w:p>
        </w:tc>
        <w:tc>
          <w:tcPr>
            <w:tcW w:w="40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底坑环境</w:t>
            </w:r>
          </w:p>
        </w:tc>
        <w:tc>
          <w:tcPr>
            <w:tcW w:w="3916"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清洁，无渗水、积水，照明正常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3" w:hRule="atLeast"/>
        </w:trPr>
        <w:tc>
          <w:tcPr>
            <w:tcW w:w="1116"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28</w:t>
            </w:r>
          </w:p>
        </w:tc>
        <w:tc>
          <w:tcPr>
            <w:tcW w:w="401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底坑急停开关</w:t>
            </w:r>
          </w:p>
        </w:tc>
        <w:tc>
          <w:tcPr>
            <w:tcW w:w="3916"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清洁、工作正常</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361"/>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i w:val="0"/>
          <w:iCs w:val="0"/>
          <w:caps w:val="0"/>
          <w:color w:val="auto"/>
          <w:spacing w:val="0"/>
          <w:kern w:val="0"/>
          <w:sz w:val="24"/>
          <w:szCs w:val="24"/>
          <w:highlight w:val="none"/>
          <w:shd w:val="clear" w:fill="FFFFFF"/>
          <w:lang w:val="en-US" w:eastAsia="zh-CN" w:bidi="ar"/>
        </w:rPr>
        <w:t>表A-2  季度维保项目（内容）和要求（季度保养时间为45分钟）</w:t>
      </w:r>
    </w:p>
    <w:tbl>
      <w:tblPr>
        <w:tblStyle w:val="22"/>
        <w:tblW w:w="9066" w:type="dxa"/>
        <w:tblInd w:w="1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99"/>
        <w:gridCol w:w="3934"/>
        <w:gridCol w:w="3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199" w:type="dxa"/>
            <w:tcBorders>
              <w:top w:val="single" w:color="000000" w:sz="12"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序号</w:t>
            </w:r>
          </w:p>
        </w:tc>
        <w:tc>
          <w:tcPr>
            <w:tcW w:w="3934" w:type="dxa"/>
            <w:tcBorders>
              <w:top w:val="single" w:color="auto" w:sz="12"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维保项目（内容）</w:t>
            </w:r>
          </w:p>
        </w:tc>
        <w:tc>
          <w:tcPr>
            <w:tcW w:w="3933" w:type="dxa"/>
            <w:tcBorders>
              <w:top w:val="single" w:color="auto" w:sz="12" w:space="0"/>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维保基本要求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199"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1</w:t>
            </w:r>
          </w:p>
        </w:tc>
        <w:tc>
          <w:tcPr>
            <w:tcW w:w="3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减速机润滑油</w:t>
            </w:r>
          </w:p>
        </w:tc>
        <w:tc>
          <w:tcPr>
            <w:tcW w:w="3933"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油量适宜，除蜗杆伸出端外均无渗漏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199"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2</w:t>
            </w:r>
          </w:p>
        </w:tc>
        <w:tc>
          <w:tcPr>
            <w:tcW w:w="3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制动衬</w:t>
            </w:r>
          </w:p>
        </w:tc>
        <w:tc>
          <w:tcPr>
            <w:tcW w:w="3933"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清洁，磨损量不超过制造单位要求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199"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3</w:t>
            </w:r>
          </w:p>
        </w:tc>
        <w:tc>
          <w:tcPr>
            <w:tcW w:w="3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位置脉冲发生器</w:t>
            </w:r>
          </w:p>
        </w:tc>
        <w:tc>
          <w:tcPr>
            <w:tcW w:w="3933"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199"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4</w:t>
            </w:r>
          </w:p>
        </w:tc>
        <w:tc>
          <w:tcPr>
            <w:tcW w:w="3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选层器动静触点</w:t>
            </w:r>
          </w:p>
        </w:tc>
        <w:tc>
          <w:tcPr>
            <w:tcW w:w="3933"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清洁，无烧蚀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199"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5</w:t>
            </w:r>
          </w:p>
        </w:tc>
        <w:tc>
          <w:tcPr>
            <w:tcW w:w="3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曳引轮槽、曳引钢丝绳</w:t>
            </w:r>
          </w:p>
        </w:tc>
        <w:tc>
          <w:tcPr>
            <w:tcW w:w="3933"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清洁，无严重油腻，张力均匀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199"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6</w:t>
            </w:r>
          </w:p>
        </w:tc>
        <w:tc>
          <w:tcPr>
            <w:tcW w:w="3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限速器轮槽、限速器钢丝绳</w:t>
            </w:r>
          </w:p>
        </w:tc>
        <w:tc>
          <w:tcPr>
            <w:tcW w:w="3933"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清洁，无严重油腻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199"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7</w:t>
            </w:r>
          </w:p>
        </w:tc>
        <w:tc>
          <w:tcPr>
            <w:tcW w:w="3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靴衬、滚轮</w:t>
            </w:r>
          </w:p>
        </w:tc>
        <w:tc>
          <w:tcPr>
            <w:tcW w:w="3933"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清洁，磨损量不超过制造单位要求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199"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8</w:t>
            </w:r>
          </w:p>
        </w:tc>
        <w:tc>
          <w:tcPr>
            <w:tcW w:w="3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验证轿门关闭的电气安全装置</w:t>
            </w:r>
          </w:p>
        </w:tc>
        <w:tc>
          <w:tcPr>
            <w:tcW w:w="3933"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199"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9</w:t>
            </w:r>
          </w:p>
        </w:tc>
        <w:tc>
          <w:tcPr>
            <w:tcW w:w="3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层门、轿门系统中传动钢丝绳、链条、胶带</w:t>
            </w:r>
          </w:p>
        </w:tc>
        <w:tc>
          <w:tcPr>
            <w:tcW w:w="3933"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按照制造单位要求进行清洁、调整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199"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10</w:t>
            </w:r>
          </w:p>
        </w:tc>
        <w:tc>
          <w:tcPr>
            <w:tcW w:w="3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层门门导靴</w:t>
            </w:r>
          </w:p>
        </w:tc>
        <w:tc>
          <w:tcPr>
            <w:tcW w:w="3933"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磨损量不超过制造单位要求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199"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11</w:t>
            </w:r>
          </w:p>
        </w:tc>
        <w:tc>
          <w:tcPr>
            <w:tcW w:w="3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消防开关</w:t>
            </w:r>
          </w:p>
        </w:tc>
        <w:tc>
          <w:tcPr>
            <w:tcW w:w="3933"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工作正常，功能有效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199"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12</w:t>
            </w:r>
          </w:p>
        </w:tc>
        <w:tc>
          <w:tcPr>
            <w:tcW w:w="3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耗能缓冲器</w:t>
            </w:r>
          </w:p>
        </w:tc>
        <w:tc>
          <w:tcPr>
            <w:tcW w:w="3933"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电气安全装置功能有效，油量适宜，柱塞无锈蚀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trPr>
        <w:tc>
          <w:tcPr>
            <w:tcW w:w="1199" w:type="dxa"/>
            <w:tcBorders>
              <w:top w:val="nil"/>
              <w:left w:val="single" w:color="auto" w:sz="12" w:space="0"/>
              <w:bottom w:val="single" w:color="auto" w:sz="12"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13</w:t>
            </w:r>
          </w:p>
        </w:tc>
        <w:tc>
          <w:tcPr>
            <w:tcW w:w="3934" w:type="dxa"/>
            <w:tcBorders>
              <w:top w:val="nil"/>
              <w:left w:val="nil"/>
              <w:bottom w:val="single" w:color="auto" w:sz="12"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限速器张紧轮装置和电气安全装置</w:t>
            </w:r>
          </w:p>
        </w:tc>
        <w:tc>
          <w:tcPr>
            <w:tcW w:w="3933"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工作正常</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  </w:t>
      </w:r>
      <w:r>
        <w:rPr>
          <w:rFonts w:hint="eastAsia" w:asciiTheme="minorEastAsia" w:hAnsiTheme="minorEastAsia" w:eastAsiaTheme="minorEastAsia" w:cstheme="minorEastAsia"/>
          <w:b/>
          <w:bCs/>
          <w:i w:val="0"/>
          <w:iCs w:val="0"/>
          <w:caps w:val="0"/>
          <w:color w:val="auto"/>
          <w:spacing w:val="0"/>
          <w:kern w:val="0"/>
          <w:sz w:val="24"/>
          <w:szCs w:val="24"/>
          <w:highlight w:val="none"/>
          <w:shd w:val="clear" w:fill="FFFFFF"/>
          <w:lang w:val="en-US" w:eastAsia="zh-CN" w:bidi="ar"/>
        </w:rPr>
        <w:t>表A-3  半年维保项目（内容）和要求（半年保养时间为50分钟）</w:t>
      </w:r>
    </w:p>
    <w:tbl>
      <w:tblPr>
        <w:tblStyle w:val="22"/>
        <w:tblW w:w="9083" w:type="dxa"/>
        <w:tblInd w:w="1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99"/>
        <w:gridCol w:w="3934"/>
        <w:gridCol w:w="3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199" w:type="dxa"/>
            <w:tcBorders>
              <w:top w:val="single" w:color="000000" w:sz="12"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序号</w:t>
            </w:r>
          </w:p>
        </w:tc>
        <w:tc>
          <w:tcPr>
            <w:tcW w:w="3934" w:type="dxa"/>
            <w:tcBorders>
              <w:top w:val="single" w:color="auto" w:sz="12"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维保项目（内容）</w:t>
            </w:r>
          </w:p>
        </w:tc>
        <w:tc>
          <w:tcPr>
            <w:tcW w:w="3950" w:type="dxa"/>
            <w:tcBorders>
              <w:top w:val="single" w:color="auto" w:sz="12" w:space="0"/>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维保基本要求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199"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1</w:t>
            </w:r>
          </w:p>
        </w:tc>
        <w:tc>
          <w:tcPr>
            <w:tcW w:w="3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电动机与减速机联轴器螺栓</w:t>
            </w:r>
          </w:p>
        </w:tc>
        <w:tc>
          <w:tcPr>
            <w:tcW w:w="395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无松动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199"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2</w:t>
            </w:r>
          </w:p>
        </w:tc>
        <w:tc>
          <w:tcPr>
            <w:tcW w:w="3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曳引轮、导向轮轴承部</w:t>
            </w:r>
          </w:p>
        </w:tc>
        <w:tc>
          <w:tcPr>
            <w:tcW w:w="395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无异常声，无振动，润滑良好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199"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3</w:t>
            </w:r>
          </w:p>
        </w:tc>
        <w:tc>
          <w:tcPr>
            <w:tcW w:w="3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曳引轮槽</w:t>
            </w:r>
          </w:p>
        </w:tc>
        <w:tc>
          <w:tcPr>
            <w:tcW w:w="395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磨损量不超过制造单位要求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199"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4</w:t>
            </w:r>
          </w:p>
        </w:tc>
        <w:tc>
          <w:tcPr>
            <w:tcW w:w="3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制动器上检测开关</w:t>
            </w:r>
          </w:p>
        </w:tc>
        <w:tc>
          <w:tcPr>
            <w:tcW w:w="395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工作正常，制动器动作可靠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199"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5</w:t>
            </w:r>
          </w:p>
        </w:tc>
        <w:tc>
          <w:tcPr>
            <w:tcW w:w="3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控制柜内各接线端子</w:t>
            </w:r>
          </w:p>
        </w:tc>
        <w:tc>
          <w:tcPr>
            <w:tcW w:w="395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各接线紧固、整齐，线号齐全清晰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199"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6</w:t>
            </w:r>
          </w:p>
        </w:tc>
        <w:tc>
          <w:tcPr>
            <w:tcW w:w="3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控制柜各仪表</w:t>
            </w:r>
          </w:p>
        </w:tc>
        <w:tc>
          <w:tcPr>
            <w:tcW w:w="395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显示正确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199"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7</w:t>
            </w:r>
          </w:p>
        </w:tc>
        <w:tc>
          <w:tcPr>
            <w:tcW w:w="3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井道、对重、轿顶各反绳轮轴承部</w:t>
            </w:r>
          </w:p>
        </w:tc>
        <w:tc>
          <w:tcPr>
            <w:tcW w:w="395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无异常声，无振动，润滑良好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199"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8</w:t>
            </w:r>
          </w:p>
        </w:tc>
        <w:tc>
          <w:tcPr>
            <w:tcW w:w="3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曳引绳、补偿绳</w:t>
            </w:r>
          </w:p>
        </w:tc>
        <w:tc>
          <w:tcPr>
            <w:tcW w:w="395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磨损量、断丝数不超过要求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3" w:hRule="atLeast"/>
        </w:trPr>
        <w:tc>
          <w:tcPr>
            <w:tcW w:w="1199"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9</w:t>
            </w:r>
          </w:p>
        </w:tc>
        <w:tc>
          <w:tcPr>
            <w:tcW w:w="3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曳引绳绳头组合</w:t>
            </w:r>
          </w:p>
        </w:tc>
        <w:tc>
          <w:tcPr>
            <w:tcW w:w="395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螺母无松动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199"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10</w:t>
            </w:r>
          </w:p>
        </w:tc>
        <w:tc>
          <w:tcPr>
            <w:tcW w:w="3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限速器钢丝绳</w:t>
            </w:r>
          </w:p>
        </w:tc>
        <w:tc>
          <w:tcPr>
            <w:tcW w:w="395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磨损量、断丝数不超过制造单位要求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199"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11</w:t>
            </w:r>
          </w:p>
        </w:tc>
        <w:tc>
          <w:tcPr>
            <w:tcW w:w="3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层门、轿门门扇</w:t>
            </w:r>
          </w:p>
        </w:tc>
        <w:tc>
          <w:tcPr>
            <w:tcW w:w="395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门扇各相关间隙符合标准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199"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12</w:t>
            </w:r>
          </w:p>
        </w:tc>
        <w:tc>
          <w:tcPr>
            <w:tcW w:w="3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对重缓冲距</w:t>
            </w:r>
          </w:p>
        </w:tc>
        <w:tc>
          <w:tcPr>
            <w:tcW w:w="395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符合标准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199"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13</w:t>
            </w:r>
          </w:p>
        </w:tc>
        <w:tc>
          <w:tcPr>
            <w:tcW w:w="39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补偿链（绳）与轿厢、对重接合处</w:t>
            </w:r>
          </w:p>
        </w:tc>
        <w:tc>
          <w:tcPr>
            <w:tcW w:w="395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固定、无松动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199" w:type="dxa"/>
            <w:tcBorders>
              <w:top w:val="nil"/>
              <w:left w:val="single" w:color="auto" w:sz="12" w:space="0"/>
              <w:bottom w:val="single" w:color="auto" w:sz="12"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14</w:t>
            </w:r>
          </w:p>
        </w:tc>
        <w:tc>
          <w:tcPr>
            <w:tcW w:w="3934" w:type="dxa"/>
            <w:tcBorders>
              <w:top w:val="nil"/>
              <w:left w:val="nil"/>
              <w:bottom w:val="single" w:color="auto" w:sz="12"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上下极限开关</w:t>
            </w:r>
          </w:p>
        </w:tc>
        <w:tc>
          <w:tcPr>
            <w:tcW w:w="395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工作正常</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i w:val="0"/>
          <w:iCs w:val="0"/>
          <w:caps w:val="0"/>
          <w:color w:val="auto"/>
          <w:spacing w:val="0"/>
          <w:kern w:val="0"/>
          <w:sz w:val="24"/>
          <w:szCs w:val="24"/>
          <w:highlight w:val="none"/>
          <w:shd w:val="clear" w:fill="FFFFFF"/>
          <w:lang w:val="en-US" w:eastAsia="zh-CN" w:bidi="ar"/>
        </w:rPr>
        <w:t> 表A-4  年度维保项目（内容）和要求（年度保养时间为60分钟）</w:t>
      </w:r>
    </w:p>
    <w:tbl>
      <w:tblPr>
        <w:tblStyle w:val="22"/>
        <w:tblW w:w="9099" w:type="dxa"/>
        <w:tblInd w:w="1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83"/>
        <w:gridCol w:w="3966"/>
        <w:gridCol w:w="3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183" w:type="dxa"/>
            <w:tcBorders>
              <w:top w:val="single" w:color="000000" w:sz="12" w:space="0"/>
              <w:left w:val="single" w:color="000000" w:sz="12"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序号</w:t>
            </w:r>
          </w:p>
        </w:tc>
        <w:tc>
          <w:tcPr>
            <w:tcW w:w="3966" w:type="dxa"/>
            <w:tcBorders>
              <w:top w:val="single" w:color="auto" w:sz="12"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维保项目（内容）</w:t>
            </w:r>
          </w:p>
        </w:tc>
        <w:tc>
          <w:tcPr>
            <w:tcW w:w="3950" w:type="dxa"/>
            <w:tcBorders>
              <w:top w:val="single" w:color="auto" w:sz="12" w:space="0"/>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维保基本要求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183"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1</w:t>
            </w:r>
          </w:p>
        </w:tc>
        <w:tc>
          <w:tcPr>
            <w:tcW w:w="39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减速机润滑油</w:t>
            </w:r>
          </w:p>
        </w:tc>
        <w:tc>
          <w:tcPr>
            <w:tcW w:w="395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按照制造单位要求适时更换，保证油质符合要求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183"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2</w:t>
            </w:r>
          </w:p>
        </w:tc>
        <w:tc>
          <w:tcPr>
            <w:tcW w:w="39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控制柜接触器，继电器触点</w:t>
            </w:r>
          </w:p>
        </w:tc>
        <w:tc>
          <w:tcPr>
            <w:tcW w:w="395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接触良好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183"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3</w:t>
            </w:r>
          </w:p>
        </w:tc>
        <w:tc>
          <w:tcPr>
            <w:tcW w:w="39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制动器铁芯（柱塞）</w:t>
            </w:r>
          </w:p>
        </w:tc>
        <w:tc>
          <w:tcPr>
            <w:tcW w:w="395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进行清洁、润滑、检查，磨损量不超过制造单位要求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183"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4</w:t>
            </w:r>
          </w:p>
        </w:tc>
        <w:tc>
          <w:tcPr>
            <w:tcW w:w="39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制动器制动弹簧压缩量</w:t>
            </w:r>
          </w:p>
        </w:tc>
        <w:tc>
          <w:tcPr>
            <w:tcW w:w="395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符合制造单位要求，保持有足够的制动力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183"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5</w:t>
            </w:r>
          </w:p>
        </w:tc>
        <w:tc>
          <w:tcPr>
            <w:tcW w:w="39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导电回路绝缘性能测试</w:t>
            </w:r>
          </w:p>
        </w:tc>
        <w:tc>
          <w:tcPr>
            <w:tcW w:w="395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符合标准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trPr>
        <w:tc>
          <w:tcPr>
            <w:tcW w:w="1183"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6</w:t>
            </w:r>
          </w:p>
        </w:tc>
        <w:tc>
          <w:tcPr>
            <w:tcW w:w="39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限速器安全钳联动试验（每2年进行一次限速器动作速度校验）</w:t>
            </w:r>
          </w:p>
        </w:tc>
        <w:tc>
          <w:tcPr>
            <w:tcW w:w="395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183"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7</w:t>
            </w:r>
          </w:p>
        </w:tc>
        <w:tc>
          <w:tcPr>
            <w:tcW w:w="39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上行超速保护装置动作试验</w:t>
            </w:r>
          </w:p>
        </w:tc>
        <w:tc>
          <w:tcPr>
            <w:tcW w:w="395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工作正常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183"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8</w:t>
            </w:r>
          </w:p>
        </w:tc>
        <w:tc>
          <w:tcPr>
            <w:tcW w:w="39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轿顶、轿厢架、轿门及其附件安装螺栓</w:t>
            </w:r>
          </w:p>
        </w:tc>
        <w:tc>
          <w:tcPr>
            <w:tcW w:w="395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紧固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183"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9</w:t>
            </w:r>
          </w:p>
        </w:tc>
        <w:tc>
          <w:tcPr>
            <w:tcW w:w="39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轿厢和对重的导轨支架</w:t>
            </w:r>
          </w:p>
        </w:tc>
        <w:tc>
          <w:tcPr>
            <w:tcW w:w="395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固定，无松动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183"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10</w:t>
            </w:r>
          </w:p>
        </w:tc>
        <w:tc>
          <w:tcPr>
            <w:tcW w:w="39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轿厢和对重的导轨</w:t>
            </w:r>
          </w:p>
        </w:tc>
        <w:tc>
          <w:tcPr>
            <w:tcW w:w="395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清洁，压板牢固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183"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11</w:t>
            </w:r>
          </w:p>
        </w:tc>
        <w:tc>
          <w:tcPr>
            <w:tcW w:w="39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随行电缆</w:t>
            </w:r>
          </w:p>
        </w:tc>
        <w:tc>
          <w:tcPr>
            <w:tcW w:w="395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无损伤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6" w:hRule="atLeast"/>
        </w:trPr>
        <w:tc>
          <w:tcPr>
            <w:tcW w:w="1183"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12</w:t>
            </w:r>
          </w:p>
        </w:tc>
        <w:tc>
          <w:tcPr>
            <w:tcW w:w="39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层门装置和地坎</w:t>
            </w:r>
          </w:p>
        </w:tc>
        <w:tc>
          <w:tcPr>
            <w:tcW w:w="395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无影响正常使用的变形，各安装螺栓紧固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183"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13</w:t>
            </w:r>
          </w:p>
        </w:tc>
        <w:tc>
          <w:tcPr>
            <w:tcW w:w="39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轿厢称重装置</w:t>
            </w:r>
          </w:p>
        </w:tc>
        <w:tc>
          <w:tcPr>
            <w:tcW w:w="395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准确有效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183"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14</w:t>
            </w:r>
          </w:p>
        </w:tc>
        <w:tc>
          <w:tcPr>
            <w:tcW w:w="39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安全钳钳座</w:t>
            </w:r>
          </w:p>
        </w:tc>
        <w:tc>
          <w:tcPr>
            <w:tcW w:w="395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固定，无松动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183" w:type="dxa"/>
            <w:tcBorders>
              <w:top w:val="nil"/>
              <w:left w:val="single" w:color="auto" w:sz="12"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15</w:t>
            </w:r>
          </w:p>
        </w:tc>
        <w:tc>
          <w:tcPr>
            <w:tcW w:w="396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轿底各安装螺栓</w:t>
            </w:r>
          </w:p>
        </w:tc>
        <w:tc>
          <w:tcPr>
            <w:tcW w:w="3950" w:type="dxa"/>
            <w:tcBorders>
              <w:top w:val="nil"/>
              <w:left w:val="nil"/>
              <w:bottom w:val="single" w:color="auto" w:sz="8"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紧固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7" w:hRule="atLeast"/>
        </w:trPr>
        <w:tc>
          <w:tcPr>
            <w:tcW w:w="1183" w:type="dxa"/>
            <w:tcBorders>
              <w:top w:val="nil"/>
              <w:left w:val="single" w:color="auto" w:sz="12" w:space="0"/>
              <w:bottom w:val="single" w:color="auto" w:sz="12"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center"/>
              <w:outlineLvl w:val="9"/>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16</w:t>
            </w:r>
          </w:p>
        </w:tc>
        <w:tc>
          <w:tcPr>
            <w:tcW w:w="3966" w:type="dxa"/>
            <w:tcBorders>
              <w:top w:val="nil"/>
              <w:left w:val="nil"/>
              <w:bottom w:val="single" w:color="auto" w:sz="12"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缓冲器</w:t>
            </w:r>
          </w:p>
        </w:tc>
        <w:tc>
          <w:tcPr>
            <w:tcW w:w="3950" w:type="dxa"/>
            <w:tcBorders>
              <w:top w:val="nil"/>
              <w:left w:val="nil"/>
              <w:bottom w:val="single" w:color="auto" w:sz="12" w:space="0"/>
              <w:right w:val="single" w:color="auto" w:sz="12"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Autospacing="0" w:afterAutospacing="0" w:line="360" w:lineRule="auto"/>
              <w:ind w:left="0" w:right="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固定，无松动</w:t>
            </w:r>
          </w:p>
        </w:tc>
      </w:tr>
    </w:tbl>
    <w:p>
      <w:pPr>
        <w:pStyle w:val="31"/>
        <w:pageBreakBefore w:val="0"/>
        <w:kinsoku/>
        <w:wordWrap/>
        <w:overflowPunct/>
        <w:topLinePunct w:val="0"/>
        <w:autoSpaceDE/>
        <w:autoSpaceDN/>
        <w:bidi w:val="0"/>
        <w:adjustRightInd/>
        <w:snapToGrid/>
        <w:spacing w:beforeAutospacing="0" w:afterAutospacing="0" w:line="500" w:lineRule="exact"/>
        <w:ind w:firstLine="480" w:firstLineChars="200"/>
        <w:jc w:val="both"/>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shd w:val="clear" w:color="auto" w:fill="FFFFFF"/>
          <w:lang w:val="en-US" w:eastAsia="zh-CN"/>
        </w:rPr>
        <w:t>2、</w:t>
      </w:r>
      <w:r>
        <w:rPr>
          <w:rFonts w:hint="eastAsia" w:asciiTheme="minorEastAsia" w:hAnsiTheme="minorEastAsia" w:eastAsiaTheme="minorEastAsia" w:cstheme="minorEastAsia"/>
          <w:b w:val="0"/>
          <w:bCs/>
          <w:color w:val="auto"/>
          <w:sz w:val="24"/>
          <w:szCs w:val="24"/>
          <w:highlight w:val="none"/>
          <w:lang w:eastAsia="zh-CN"/>
        </w:rPr>
        <w:t>电梯维保服务</w:t>
      </w:r>
      <w:r>
        <w:rPr>
          <w:rFonts w:hint="eastAsia" w:asciiTheme="minorEastAsia" w:hAnsiTheme="minorEastAsia" w:eastAsiaTheme="minorEastAsia" w:cstheme="minorEastAsia"/>
          <w:b w:val="0"/>
          <w:bCs/>
          <w:color w:val="auto"/>
          <w:sz w:val="24"/>
          <w:szCs w:val="24"/>
          <w:highlight w:val="none"/>
        </w:rPr>
        <w:t>质量考核管理办法</w:t>
      </w:r>
    </w:p>
    <w:p>
      <w:pPr>
        <w:pStyle w:val="18"/>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336"/>
        <w:jc w:val="both"/>
        <w:textAlignment w:val="auto"/>
        <w:rPr>
          <w:rFonts w:hint="eastAsia" w:asciiTheme="minorEastAsia" w:hAnsiTheme="minorEastAsia" w:eastAsiaTheme="minorEastAsia" w:cstheme="minorEastAsia"/>
          <w:b w:val="0"/>
          <w:bCs/>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rPr>
        <w:t>采购人将根据</w:t>
      </w:r>
      <w:r>
        <w:rPr>
          <w:rFonts w:hint="eastAsia" w:asciiTheme="minorEastAsia" w:hAnsiTheme="minorEastAsia" w:eastAsiaTheme="minorEastAsia" w:cstheme="minorEastAsia"/>
          <w:b w:val="0"/>
          <w:bCs/>
          <w:color w:val="auto"/>
          <w:sz w:val="24"/>
          <w:szCs w:val="24"/>
          <w:highlight w:val="none"/>
          <w:lang w:eastAsia="zh-CN"/>
        </w:rPr>
        <w:t>物业</w:t>
      </w:r>
      <w:r>
        <w:rPr>
          <w:rFonts w:hint="eastAsia" w:asciiTheme="minorEastAsia" w:hAnsiTheme="minorEastAsia" w:eastAsiaTheme="minorEastAsia" w:cstheme="minorEastAsia"/>
          <w:b w:val="0"/>
          <w:bCs/>
          <w:color w:val="auto"/>
          <w:sz w:val="24"/>
          <w:szCs w:val="24"/>
          <w:highlight w:val="none"/>
        </w:rPr>
        <w:t>相关管理规定对</w:t>
      </w:r>
      <w:r>
        <w:rPr>
          <w:rFonts w:hint="eastAsia" w:asciiTheme="minorEastAsia" w:hAnsiTheme="minorEastAsia" w:eastAsiaTheme="minorEastAsia" w:cstheme="minorEastAsia"/>
          <w:b w:val="0"/>
          <w:bCs/>
          <w:color w:val="auto"/>
          <w:sz w:val="24"/>
          <w:szCs w:val="24"/>
          <w:highlight w:val="none"/>
          <w:lang w:eastAsia="zh-CN"/>
        </w:rPr>
        <w:t>电梯维保</w:t>
      </w:r>
      <w:r>
        <w:rPr>
          <w:rFonts w:hint="eastAsia" w:asciiTheme="minorEastAsia" w:hAnsiTheme="minorEastAsia" w:eastAsiaTheme="minorEastAsia" w:cstheme="minorEastAsia"/>
          <w:b w:val="0"/>
          <w:bCs/>
          <w:color w:val="auto"/>
          <w:sz w:val="24"/>
          <w:szCs w:val="24"/>
          <w:highlight w:val="none"/>
        </w:rPr>
        <w:t>服务整体情况进行考评。检查分为</w:t>
      </w:r>
      <w:r>
        <w:rPr>
          <w:rFonts w:hint="eastAsia" w:asciiTheme="minorEastAsia" w:hAnsiTheme="minorEastAsia" w:eastAsiaTheme="minorEastAsia" w:cstheme="minorEastAsia"/>
          <w:b w:val="0"/>
          <w:bCs/>
          <w:color w:val="auto"/>
          <w:sz w:val="24"/>
          <w:szCs w:val="24"/>
          <w:highlight w:val="none"/>
          <w:lang w:eastAsia="zh-CN"/>
        </w:rPr>
        <w:t>月</w:t>
      </w:r>
      <w:r>
        <w:rPr>
          <w:rFonts w:hint="eastAsia" w:asciiTheme="minorEastAsia" w:hAnsiTheme="minorEastAsia" w:eastAsiaTheme="minorEastAsia" w:cstheme="minorEastAsia"/>
          <w:b w:val="0"/>
          <w:bCs/>
          <w:color w:val="auto"/>
          <w:sz w:val="24"/>
          <w:szCs w:val="24"/>
          <w:highlight w:val="none"/>
        </w:rPr>
        <w:t>度检查及抽查。检查考核的结果将作为对中标人的</w:t>
      </w:r>
      <w:r>
        <w:rPr>
          <w:rFonts w:hint="eastAsia" w:asciiTheme="minorEastAsia" w:hAnsiTheme="minorEastAsia" w:eastAsiaTheme="minorEastAsia" w:cstheme="minorEastAsia"/>
          <w:b w:val="0"/>
          <w:bCs/>
          <w:color w:val="auto"/>
          <w:sz w:val="24"/>
          <w:szCs w:val="24"/>
          <w:highlight w:val="none"/>
          <w:lang w:eastAsia="zh-CN"/>
        </w:rPr>
        <w:t>维保</w:t>
      </w:r>
      <w:r>
        <w:rPr>
          <w:rFonts w:hint="eastAsia" w:asciiTheme="minorEastAsia" w:hAnsiTheme="minorEastAsia" w:eastAsiaTheme="minorEastAsia" w:cstheme="minorEastAsia"/>
          <w:b w:val="0"/>
          <w:bCs/>
          <w:color w:val="auto"/>
          <w:sz w:val="24"/>
          <w:szCs w:val="24"/>
          <w:highlight w:val="none"/>
        </w:rPr>
        <w:t>质量评价、合同价款支付以及其他奖惩的依据。</w:t>
      </w:r>
      <w:r>
        <w:rPr>
          <w:rFonts w:hint="eastAsia" w:asciiTheme="minorEastAsia" w:hAnsiTheme="minorEastAsia" w:eastAsiaTheme="minorEastAsia" w:cstheme="minorEastAsia"/>
          <w:b w:val="0"/>
          <w:bCs/>
          <w:color w:val="auto"/>
          <w:kern w:val="0"/>
          <w:sz w:val="24"/>
          <w:szCs w:val="24"/>
          <w:highlight w:val="none"/>
          <w:lang w:val="en-US" w:eastAsia="zh-CN" w:bidi="ar"/>
        </w:rPr>
        <w:t>《电梯维修保养月考核表》见附件2。</w:t>
      </w:r>
    </w:p>
    <w:p>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3、奖罚措施</w:t>
      </w:r>
    </w:p>
    <w:p>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供应商三个月得分=各小区每三个月平均值总和÷小区个数，</w:t>
      </w:r>
      <w:r>
        <w:rPr>
          <w:rFonts w:hint="eastAsia" w:asciiTheme="minorEastAsia" w:hAnsiTheme="minorEastAsia" w:eastAsiaTheme="minorEastAsia" w:cstheme="minorEastAsia"/>
          <w:b w:val="0"/>
          <w:bCs w:val="0"/>
          <w:color w:val="auto"/>
          <w:kern w:val="0"/>
          <w:sz w:val="24"/>
          <w:szCs w:val="24"/>
          <w:highlight w:val="none"/>
          <w:lang w:val="en-US" w:eastAsia="zh-CN" w:bidi="ar"/>
        </w:rPr>
        <w:t>采购人根据中标人每三个月的考核分数支付相应比例的服务费。供</w:t>
      </w:r>
      <w:r>
        <w:rPr>
          <w:rFonts w:hint="eastAsia" w:asciiTheme="minorEastAsia" w:hAnsiTheme="minorEastAsia" w:eastAsiaTheme="minorEastAsia" w:cstheme="minorEastAsia"/>
          <w:b w:val="0"/>
          <w:bCs w:val="0"/>
          <w:color w:val="auto"/>
          <w:kern w:val="2"/>
          <w:sz w:val="24"/>
          <w:szCs w:val="24"/>
          <w:highlight w:val="none"/>
          <w:lang w:val="en-US" w:eastAsia="zh-CN" w:bidi="ar-SA"/>
        </w:rPr>
        <w:t xml:space="preserve">应商每三个月得分分为优秀（90分以上）、合格（89分～80分）、基本合格（79分～75分）、不合格（75分以下），并给予相应奖惩。 </w:t>
      </w:r>
    </w:p>
    <w:p>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bidi="ar-SA"/>
        </w:rPr>
        <w:t>（1）对成交人的奖惩规定：</w:t>
      </w:r>
    </w:p>
    <w:p>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服务费处罚规定，按照下列比例扣除：</w:t>
      </w:r>
    </w:p>
    <w:p>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①成交人三个月得分90分（含）以上为优秀，全额核拨当月服务费；</w:t>
      </w:r>
    </w:p>
    <w:p>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②成交人三个月得分89分～80分的，扣当月服务费3%的标准进行扣除；</w:t>
      </w:r>
    </w:p>
    <w:p>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③成交人三个月得分79分～75分的，扣当月服务费5%的标准进行扣除，同时对成交人发整改通知书通报批评；</w:t>
      </w:r>
    </w:p>
    <w:p>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leftChars="0"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④成交人三个月得分75分以下的扣当月服务费10%。</w:t>
      </w:r>
    </w:p>
    <w:p>
      <w:pPr>
        <w:pStyle w:val="18"/>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（2）终止合同规定：有</w:t>
      </w:r>
      <w:r>
        <w:rPr>
          <w:rFonts w:hint="eastAsia" w:asciiTheme="minorEastAsia" w:hAnsiTheme="minorEastAsia" w:eastAsiaTheme="minorEastAsia" w:cstheme="minorEastAsia"/>
          <w:color w:val="auto"/>
          <w:kern w:val="2"/>
          <w:sz w:val="24"/>
          <w:szCs w:val="24"/>
          <w:highlight w:val="none"/>
          <w:lang w:val="en-US" w:eastAsia="zh-CN" w:bidi="ar-SA"/>
        </w:rPr>
        <w:t>下列情形之一的，采购人有权随时终止中标合同，并没收履约保证金。</w:t>
      </w:r>
    </w:p>
    <w:p>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①经考评，成交人连续三个月考评得分低于85分或连续二个月考评得分低于75分，采购人有权单方解除合同，责令成交人退出。</w:t>
      </w:r>
    </w:p>
    <w:p>
      <w:pPr>
        <w:pStyle w:val="18"/>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②成交人非法转包、分包或以其它任何形式转分包的。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leftChars="0" w:right="0" w:rightChars="0" w:firstLine="240" w:firstLineChars="100"/>
        <w:jc w:val="left"/>
        <w:outlineLvl w:val="9"/>
        <w:rPr>
          <w:rFonts w:hint="eastAsia" w:asciiTheme="minorEastAsia" w:hAnsiTheme="minorEastAsia" w:eastAsiaTheme="minorEastAsia" w:cstheme="minorEastAsia"/>
          <w:b/>
          <w:bCs/>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（三）对成交供应商（电梯维保服务公司）的要求</w:t>
      </w:r>
      <w:r>
        <w:rPr>
          <w:rFonts w:hint="eastAsia" w:asciiTheme="minorEastAsia" w:hAnsiTheme="minorEastAsia" w:eastAsiaTheme="minorEastAsia" w:cstheme="minorEastAsia"/>
          <w:b/>
          <w:bCs/>
          <w:i w:val="0"/>
          <w:iCs w:val="0"/>
          <w:caps w:val="0"/>
          <w:color w:val="auto"/>
          <w:spacing w:val="0"/>
          <w:kern w:val="0"/>
          <w:sz w:val="24"/>
          <w:szCs w:val="24"/>
          <w:highlight w:val="none"/>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4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1.有健全的项目管理人员及员工配备，科学合理，有切实可行的服务承诺。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4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2.成交供应商必须重视安全，确保承包期内做好安全生产工作，因成交供应商失误造成重大人员伤亡或财产损失等，采购人有权随时终止合同。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4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3.成交供应商及其雇用的员工应严格遵守国家的法律、法规、村规民约，如果成交供应商及其所雇用的工人违反法律、法规和相关规定，所造成的后果由其自行负责，与采购人无关。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4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4.成交供应商应当服从采购人的管理，每季结算费用根据考核凭成交供应商开具的发票结算。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4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5.采购人与电梯维保服务人员不存在劳动关系。成交供应商负责承担本公司人员的工伤保险、社会劳动保险、雇主责任险、生活福利等一切费用。电梯维保服务人员因公或意外伤亡，由成交供应商负责办理保险索赔及劳动诉讼、仲裁并承担本项目服务期间所致电梯维保服务人员自身、采购单位所辖项目小区、他人的人身、财产损害等全部赔偿责任。采购人不承担任何经济赔偿责任和连带责任。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40"/>
        <w:jc w:val="left"/>
        <w:outlineLvl w:val="9"/>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6.派驻本项目的维保人员月工作时间不少于20天且应天天打卡；采购人发现</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维保人员</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月打卡记录少于20天两次的，视为成交供应商违约，采购人有权解除合同。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40"/>
        <w:jc w:val="left"/>
        <w:outlineLvl w:val="9"/>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7.</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维保人员在出现</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电梯</w:t>
      </w:r>
      <w:r>
        <w:rPr>
          <w:rFonts w:hint="eastAsia" w:asciiTheme="minorEastAsia" w:hAnsiTheme="minorEastAsia" w:cstheme="minorEastAsia"/>
          <w:b w:val="0"/>
          <w:bCs w:val="0"/>
          <w:i w:val="0"/>
          <w:iCs w:val="0"/>
          <w:caps w:val="0"/>
          <w:color w:val="auto"/>
          <w:spacing w:val="0"/>
          <w:kern w:val="0"/>
          <w:sz w:val="24"/>
          <w:szCs w:val="24"/>
          <w:highlight w:val="none"/>
          <w:shd w:val="clear" w:fill="FFFFFF"/>
          <w:lang w:val="en-US" w:eastAsia="zh-CN" w:bidi="ar"/>
        </w:rPr>
        <w:t>困人</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故障时未在20分钟内赶赴现场排除故障，按500</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元/次扣罚服务费；若出现3次及以上的投诉情况发生的，视为视为成交供应商违约，采购人有权解除合同。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40"/>
        <w:jc w:val="left"/>
        <w:outlineLvl w:val="9"/>
        <w:rPr>
          <w:rFonts w:hint="default"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8.维保人员在出现电梯其他故障时未在30分钟内赶赴现场排除故障，按500元/次扣罚服务费；若出现3次及以上的投诉情况发生的，视为视为成交供应商违约，采购人有权解除合同。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4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9.为保证电梯维保服务队伍稳定，电梯维保服务公司更换电梯维保服务人员时，须提前三个工作日报告采购单位所辖项目负责人并提供新上岗电梯维保服务人员登记审批表、电梯维保服务公司与电梯维保服务人员签订的劳务合同副本，经采购单位所辖项目负责人同意后方可更换。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40"/>
        <w:jc w:val="left"/>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10.成交供应商自行配备所有电梯维保服务用品及电梯维保服务用设施设备，并对装备进行及时更新和维护，保证其工作状态良好。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40"/>
        <w:jc w:val="left"/>
        <w:outlineLvl w:val="9"/>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11.成交供应商应做好日常电梯维保服务记录，自查自检制度、各职能部门的管理制度、遇突击活动及重大活动时的应急方案，及时做好道路保洁工作。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40"/>
        <w:jc w:val="left"/>
        <w:outlineLvl w:val="9"/>
        <w:rPr>
          <w:rFonts w:hint="default"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12.</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服务期内</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成交供应商应承担所维保电梯的年检工作</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40"/>
        <w:jc w:val="left"/>
        <w:outlineLvl w:val="9"/>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1</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3</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.成交供应商应在合同签订前项目所在地成立分公司，否则采购人有权拒签合同。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40"/>
        <w:jc w:val="left"/>
        <w:outlineLvl w:val="9"/>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1</w:t>
      </w:r>
      <w:r>
        <w:rPr>
          <w:rFonts w:hint="eastAsia" w:asciiTheme="minorEastAsia" w:hAnsiTheme="minorEastAsia" w:cstheme="minorEastAsia"/>
          <w:i w:val="0"/>
          <w:iCs w:val="0"/>
          <w:caps w:val="0"/>
          <w:color w:val="auto"/>
          <w:spacing w:val="0"/>
          <w:kern w:val="0"/>
          <w:sz w:val="24"/>
          <w:szCs w:val="24"/>
          <w:highlight w:val="none"/>
          <w:shd w:val="clear" w:fill="FFFFFF"/>
          <w:lang w:val="en-US" w:eastAsia="zh-CN" w:bidi="ar"/>
        </w:rPr>
        <w:t>4</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.按采购单位现有维保合约到期时间为准，原合约到期后，中标供应商开始电梯维保服务，费用以实际开始服务起计算。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40"/>
        <w:jc w:val="left"/>
        <w:outlineLvl w:val="9"/>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四</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付款方式及履约保证金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40"/>
        <w:jc w:val="left"/>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1.按双方合同及实际服务内容按</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每三个月为一期</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进行结算。</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成交供应商需凭增值税专用发票向采购人申请支付相应款项。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360" w:lineRule="auto"/>
        <w:ind w:left="0" w:right="0" w:firstLine="440"/>
        <w:jc w:val="left"/>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2.</w:t>
      </w:r>
      <w:r>
        <w:rPr>
          <w:rFonts w:hint="eastAsia" w:asciiTheme="minorEastAsia" w:hAnsiTheme="minorEastAsia" w:eastAsiaTheme="minorEastAsia" w:cstheme="minorEastAsia"/>
          <w:b w:val="0"/>
          <w:bCs w:val="0"/>
          <w:color w:val="auto"/>
          <w:kern w:val="28"/>
          <w:sz w:val="24"/>
          <w:szCs w:val="24"/>
          <w:highlight w:val="none"/>
          <w:lang w:val="en-US" w:eastAsia="zh-CN" w:bidi="ar-SA"/>
        </w:rPr>
        <w:t>履约保证金：本项目要求提交</w:t>
      </w:r>
      <w:r>
        <w:rPr>
          <w:rFonts w:hint="eastAsia" w:asciiTheme="minorEastAsia" w:hAnsiTheme="minorEastAsia" w:eastAsiaTheme="minorEastAsia" w:cstheme="minorEastAsia"/>
          <w:color w:val="auto"/>
          <w:kern w:val="2"/>
          <w:sz w:val="24"/>
          <w:szCs w:val="24"/>
          <w:highlight w:val="none"/>
          <w:lang w:val="en-US" w:eastAsia="zh-CN" w:bidi="ar-SA"/>
        </w:rPr>
        <w:t>履约保证金；履约保证金百分比：</w:t>
      </w:r>
      <w:r>
        <w:rPr>
          <w:rFonts w:hint="eastAsia" w:asciiTheme="minorEastAsia" w:hAnsiTheme="minorEastAsia" w:eastAsiaTheme="minorEastAsia" w:cstheme="minorEastAsia"/>
          <w:b w:val="0"/>
          <w:bCs w:val="0"/>
          <w:color w:val="auto"/>
          <w:kern w:val="28"/>
          <w:sz w:val="24"/>
          <w:szCs w:val="24"/>
          <w:highlight w:val="none"/>
          <w:lang w:val="en-US" w:eastAsia="zh-CN" w:bidi="ar-SA"/>
        </w:rPr>
        <w:t>签约合同价</w:t>
      </w:r>
      <w:r>
        <w:rPr>
          <w:rFonts w:hint="eastAsia" w:asciiTheme="minorEastAsia" w:hAnsiTheme="minorEastAsia" w:eastAsiaTheme="minorEastAsia" w:cstheme="minorEastAsia"/>
          <w:color w:val="auto"/>
          <w:kern w:val="2"/>
          <w:sz w:val="24"/>
          <w:szCs w:val="24"/>
          <w:highlight w:val="none"/>
          <w:lang w:val="en-US" w:eastAsia="zh-CN" w:bidi="ar-SA"/>
        </w:rPr>
        <w:t>5%。说明：提交时间：合同签订前；退还方式：签订合同后，履约保证金在合同期满后凭缴交履约保证金凭据、合同和采购单位出具的书面意见（如有处罚，应按规定扣除相应处罚后）无息退还。提交方式：成交人可以选择转账或电汇、银行保函等形式之一在签订合同之前提交。</w:t>
      </w:r>
    </w:p>
    <w:p>
      <w:pPr>
        <w:pageBreakBefore w:val="0"/>
        <w:kinsoku/>
        <w:overflowPunct/>
        <w:topLinePunct w:val="0"/>
        <w:autoSpaceDE/>
        <w:autoSpaceDN/>
        <w:bidi w:val="0"/>
        <w:adjustRightInd/>
        <w:snapToGrid/>
        <w:spacing w:before="0" w:beforeAutospacing="0" w:after="0" w:afterAutospacing="0" w:line="360" w:lineRule="auto"/>
        <w:ind w:left="0" w:right="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 xml:space="preserve"> （五）违约责任</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1、一方当事人未按约定履行义务给对方造成直接损失的，应当承担相应责任。</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2、一方当事人无法继续履行合同，应当及时通知对方，并承担因合同解除而给对方造成的直接经济损失。</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3、甲方无正当理由未按照约定期限支付费用的，经双方确认为无正当理由每延误一日应当向乙方支付延误部分费用万分之二的违约金。超过双方约定期限三十日时，本合同自动终止，赔偿事项依照合同法规定执行。</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4、合同期内甲方违反约定允许非乙方人员从事电梯维保工作的，应当按照每台每月费用10%标准支付违约金。</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5、因电梯使用管理原因（非电梯维保原因）导致人身伤亡或设备损坏、零部件丢失的，由甲方自行承担全部责任。</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6、若未按乙方的书面要求同意更换应该更换的电梯零部件而导致电梯故障或存在安全隐患的，由甲方自行承担责任。</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7、乙方违反约定，作业过程中未服从甲方现场安全管理落实现场安全防护措施，或需要安全监护的作业时作业人员只有一人，或保养时间不足，甲方可拒付当次作业或保养的当台当月保养费。</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8、乙方维保工作不符合合同约定的维保标准或要求的，乙方应当返工，并按照本每台每月费用10%标准支付违约金。返工2次（含）以上的，扣除该台单月维保费。</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9、在电梯维保作业过程中因维保原因导致自身或他人的人身伤亡或设备损坏、零部件丢失的，由乙方承担全部民事责任。</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10、因维保原因导致电梯检验不合格的，由乙方承担电梯复检费用100%。</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11、乙方不能按约定及时提供保养或救援服务，延误2次（含）以上的，甲方可解除合同。</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12、乙方将本合同约定的事项进行转包或者分包的，甲方有权解除合同，若对甲方造成损失的，还应当赔偿对甲方造成的损失。</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13、甲方因乙方违约而维权的费用（代理费、保全费等），由乙方承担。</w:t>
      </w:r>
    </w:p>
    <w:p>
      <w:pPr>
        <w:spacing w:line="360" w:lineRule="auto"/>
        <w:ind w:firstLine="241" w:firstLineChars="100"/>
        <w:rPr>
          <w:rFonts w:hint="eastAsia" w:ascii="宋体" w:hAnsi="宋体" w:eastAsia="宋体" w:cs="宋体"/>
          <w:b/>
          <w:bCs w:val="0"/>
          <w:color w:val="auto"/>
          <w:sz w:val="24"/>
        </w:rPr>
      </w:pPr>
      <w:r>
        <w:rPr>
          <w:rFonts w:hint="eastAsia" w:ascii="宋体" w:hAnsi="宋体" w:eastAsia="宋体" w:cs="宋体"/>
          <w:b/>
          <w:bCs w:val="0"/>
          <w:color w:val="auto"/>
          <w:sz w:val="24"/>
        </w:rPr>
        <w:t>备注：招标文件第三章</w:t>
      </w:r>
      <w:r>
        <w:rPr>
          <w:rFonts w:hint="eastAsia" w:ascii="宋体" w:hAnsi="宋体" w:eastAsia="宋体" w:cs="宋体"/>
          <w:b/>
          <w:bCs w:val="0"/>
          <w:color w:val="auto"/>
          <w:sz w:val="24"/>
          <w:lang w:val="en-US" w:eastAsia="zh-CN"/>
        </w:rPr>
        <w:t>“二、技术服务要求”</w:t>
      </w:r>
      <w:r>
        <w:rPr>
          <w:rFonts w:hint="eastAsia" w:ascii="宋体" w:hAnsi="宋体" w:eastAsia="宋体" w:cs="宋体"/>
          <w:b/>
          <w:bCs w:val="0"/>
          <w:color w:val="auto"/>
          <w:sz w:val="24"/>
        </w:rPr>
        <w:t>的所有要求均为重要要求，投标人</w:t>
      </w:r>
      <w:r>
        <w:rPr>
          <w:rFonts w:hint="eastAsia" w:ascii="宋体" w:hAnsi="宋体" w:eastAsia="宋体" w:cs="宋体"/>
          <w:b/>
          <w:bCs w:val="0"/>
          <w:color w:val="auto"/>
          <w:sz w:val="24"/>
          <w:lang w:eastAsia="zh-CN"/>
        </w:rPr>
        <w:t>所投包</w:t>
      </w:r>
      <w:r>
        <w:rPr>
          <w:rFonts w:hint="eastAsia" w:ascii="宋体" w:hAnsi="宋体" w:eastAsia="宋体" w:cs="宋体"/>
          <w:b/>
          <w:bCs w:val="0"/>
          <w:color w:val="auto"/>
          <w:sz w:val="24"/>
        </w:rPr>
        <w:t>实质性达不到上述要求的，视为重大偏离，为无效投标。投标人</w:t>
      </w:r>
      <w:r>
        <w:rPr>
          <w:rFonts w:hint="eastAsia" w:ascii="宋体" w:hAnsi="宋体" w:eastAsia="宋体" w:cs="宋体"/>
          <w:b/>
          <w:bCs w:val="0"/>
          <w:color w:val="auto"/>
          <w:sz w:val="24"/>
          <w:lang w:eastAsia="zh-CN"/>
        </w:rPr>
        <w:t>应</w:t>
      </w:r>
      <w:r>
        <w:rPr>
          <w:rFonts w:hint="eastAsia" w:ascii="宋体" w:hAnsi="宋体" w:eastAsia="宋体" w:cs="宋体"/>
          <w:b/>
          <w:bCs w:val="0"/>
          <w:color w:val="auto"/>
          <w:sz w:val="24"/>
        </w:rPr>
        <w:t>提供承诺函，承诺完全满足招标文件第三章</w:t>
      </w:r>
      <w:r>
        <w:rPr>
          <w:rFonts w:hint="eastAsia" w:ascii="宋体" w:hAnsi="宋体" w:eastAsia="宋体" w:cs="宋体"/>
          <w:b/>
          <w:bCs w:val="0"/>
          <w:color w:val="auto"/>
          <w:sz w:val="24"/>
          <w:lang w:val="en-US" w:eastAsia="zh-CN"/>
        </w:rPr>
        <w:t xml:space="preserve">“二、技术和服务要求” </w:t>
      </w:r>
      <w:r>
        <w:rPr>
          <w:rFonts w:hint="eastAsia" w:ascii="宋体" w:hAnsi="宋体" w:eastAsia="宋体" w:cs="宋体"/>
          <w:b/>
          <w:bCs w:val="0"/>
          <w:color w:val="auto"/>
          <w:sz w:val="24"/>
        </w:rPr>
        <w:t>的所有要求。</w:t>
      </w:r>
    </w:p>
    <w:p>
      <w:pPr>
        <w:rPr>
          <w:rFonts w:hint="eastAsia" w:asciiTheme="minorEastAsia" w:hAnsiTheme="minorEastAsia" w:eastAsiaTheme="minorEastAsia" w:cstheme="minorEastAsia"/>
          <w:color w:val="auto"/>
          <w:kern w:val="2"/>
          <w:sz w:val="24"/>
          <w:szCs w:val="24"/>
          <w:highlight w:val="none"/>
          <w:lang w:val="en-US" w:eastAsia="zh-CN" w:bidi="ar-SA"/>
        </w:rPr>
      </w:pPr>
    </w:p>
    <w:p>
      <w:pPr>
        <w:pStyle w:val="3"/>
        <w:jc w:val="center"/>
        <w:textAlignment w:val="baseline"/>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第四章</w:t>
      </w:r>
      <w:bookmarkEnd w:id="12"/>
      <w:r>
        <w:rPr>
          <w:rFonts w:hint="eastAsia" w:asciiTheme="minorEastAsia" w:hAnsiTheme="minorEastAsia" w:eastAsiaTheme="minorEastAsia" w:cstheme="minorEastAsia"/>
          <w:color w:val="auto"/>
        </w:rPr>
        <w:t>采购合同</w:t>
      </w:r>
    </w:p>
    <w:p>
      <w:pPr>
        <w:spacing w:line="400" w:lineRule="exact"/>
        <w:jc w:val="center"/>
        <w:textAlignment w:val="baseline"/>
        <w:rPr>
          <w:rFonts w:asciiTheme="minorEastAsia" w:hAnsiTheme="minorEastAsia" w:eastAsiaTheme="minorEastAsia" w:cstheme="minorEastAsia"/>
          <w:color w:val="auto"/>
          <w:sz w:val="24"/>
          <w:szCs w:val="24"/>
        </w:rPr>
      </w:pPr>
      <w:bookmarkStart w:id="13" w:name="_Toc36811842"/>
      <w:r>
        <w:rPr>
          <w:rFonts w:hint="eastAsia" w:asciiTheme="minorEastAsia" w:hAnsiTheme="minorEastAsia" w:eastAsiaTheme="minorEastAsia" w:cstheme="minorEastAsia"/>
          <w:color w:val="auto"/>
          <w:sz w:val="24"/>
          <w:szCs w:val="24"/>
        </w:rPr>
        <w:t>（若合同内与以上述磋商文件要求出现不一致的，以磋商文件要求为准）</w:t>
      </w:r>
    </w:p>
    <w:p>
      <w:pPr>
        <w:pStyle w:val="32"/>
        <w:spacing w:line="400" w:lineRule="exact"/>
        <w:ind w:firstLine="482" w:firstLineChars="200"/>
        <w:textAlignment w:val="baseline"/>
        <w:rPr>
          <w:rFonts w:asciiTheme="minorEastAsia" w:hAnsiTheme="minorEastAsia" w:eastAsiaTheme="minorEastAsia" w:cstheme="minorEastAsia"/>
          <w:b/>
          <w:bCs/>
          <w:color w:val="auto"/>
          <w:sz w:val="24"/>
          <w:szCs w:val="24"/>
        </w:rPr>
      </w:pPr>
    </w:p>
    <w:p>
      <w:pPr>
        <w:widowControl/>
        <w:spacing w:before="75" w:after="75" w:line="360" w:lineRule="auto"/>
        <w:jc w:val="center"/>
        <w:rPr>
          <w:rFonts w:hint="eastAsia"/>
          <w:b/>
          <w:bCs/>
          <w:color w:val="auto"/>
          <w:kern w:val="44"/>
          <w:sz w:val="36"/>
          <w:szCs w:val="28"/>
        </w:rPr>
      </w:pPr>
      <w:r>
        <w:rPr>
          <w:rFonts w:hint="eastAsia"/>
          <w:b/>
          <w:bCs/>
          <w:color w:val="auto"/>
          <w:kern w:val="44"/>
          <w:sz w:val="36"/>
          <w:szCs w:val="28"/>
        </w:rPr>
        <w:t>参考范本</w:t>
      </w:r>
    </w:p>
    <w:p>
      <w:pPr>
        <w:widowControl/>
        <w:spacing w:before="75" w:after="75" w:line="360" w:lineRule="auto"/>
        <w:jc w:val="left"/>
        <w:rPr>
          <w:rFonts w:hint="eastAsia" w:ascii="宋体" w:hAnsi="宋体" w:cs="宋体"/>
          <w:color w:val="auto"/>
          <w:kern w:val="0"/>
          <w:sz w:val="27"/>
          <w:szCs w:val="27"/>
        </w:rPr>
      </w:pPr>
      <w:r>
        <w:rPr>
          <w:rFonts w:hint="eastAsia" w:ascii="宋体" w:hAnsi="宋体" w:cs="宋体"/>
          <w:b/>
          <w:bCs/>
          <w:color w:val="auto"/>
          <w:kern w:val="0"/>
          <w:sz w:val="24"/>
        </w:rPr>
        <w:t>1、签订合同应遵守《</w:t>
      </w:r>
      <w:r>
        <w:rPr>
          <w:rFonts w:hint="eastAsia" w:ascii="宋体" w:hAnsi="宋体" w:cs="宋体"/>
          <w:b/>
          <w:bCs/>
          <w:color w:val="auto"/>
          <w:kern w:val="0"/>
          <w:sz w:val="24"/>
          <w:lang w:val="en-US" w:eastAsia="zh-CN"/>
        </w:rPr>
        <w:t>中华人民共和国</w:t>
      </w:r>
      <w:r>
        <w:rPr>
          <w:rFonts w:hint="eastAsia" w:ascii="宋体" w:hAnsi="宋体" w:cs="宋体"/>
          <w:b/>
          <w:bCs/>
          <w:color w:val="auto"/>
          <w:kern w:val="0"/>
          <w:sz w:val="24"/>
        </w:rPr>
        <w:t>民法典》。</w:t>
      </w:r>
    </w:p>
    <w:p>
      <w:pPr>
        <w:widowControl/>
        <w:spacing w:before="75" w:after="75" w:line="360" w:lineRule="auto"/>
        <w:jc w:val="left"/>
        <w:rPr>
          <w:rFonts w:hint="eastAsia" w:ascii="宋体" w:hAnsi="宋体" w:cs="宋体"/>
          <w:color w:val="auto"/>
          <w:kern w:val="0"/>
          <w:sz w:val="27"/>
          <w:szCs w:val="27"/>
        </w:rPr>
      </w:pPr>
      <w:r>
        <w:rPr>
          <w:rFonts w:hint="eastAsia" w:ascii="宋体" w:hAnsi="宋体" w:cs="宋体"/>
          <w:b/>
          <w:bCs/>
          <w:color w:val="auto"/>
          <w:kern w:val="0"/>
          <w:sz w:val="24"/>
        </w:rPr>
        <w:t>2、签订合同时，采购人与中标人应结合招标文件规定填列相应内容。招标文件已有规定的，双方均不得变更或调整；招标文件未作规定的，双方可通过友好协商进行约定。</w:t>
      </w:r>
    </w:p>
    <w:p>
      <w:pPr>
        <w:widowControl/>
        <w:spacing w:before="75" w:after="75" w:line="360" w:lineRule="auto"/>
        <w:jc w:val="left"/>
        <w:rPr>
          <w:rFonts w:ascii="宋体" w:hAnsi="宋体" w:cs="宋体"/>
          <w:color w:val="auto"/>
          <w:kern w:val="0"/>
          <w:sz w:val="24"/>
        </w:rPr>
      </w:pPr>
      <w:r>
        <w:rPr>
          <w:rFonts w:hint="eastAsia" w:ascii="宋体" w:hAnsi="宋体" w:cs="宋体"/>
          <w:color w:val="auto"/>
          <w:kern w:val="0"/>
          <w:sz w:val="24"/>
        </w:rPr>
        <w:t>甲方</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采购人</w:t>
      </w:r>
      <w:r>
        <w:rPr>
          <w:rFonts w:hint="eastAsia" w:ascii="宋体" w:hAnsi="宋体" w:cs="宋体"/>
          <w:color w:val="auto"/>
          <w:kern w:val="0"/>
          <w:sz w:val="24"/>
          <w:lang w:eastAsia="zh-CN"/>
        </w:rPr>
        <w:t>）</w:t>
      </w:r>
      <w:r>
        <w:rPr>
          <w:rFonts w:hint="eastAsia" w:ascii="宋体" w:hAnsi="宋体" w:cs="宋体"/>
          <w:color w:val="auto"/>
          <w:kern w:val="0"/>
          <w:sz w:val="24"/>
        </w:rPr>
        <w:t>：</w:t>
      </w:r>
      <w:r>
        <w:rPr>
          <w:rFonts w:hint="eastAsia" w:ascii="宋体" w:hAnsi="宋体" w:cs="宋体"/>
          <w:color w:val="auto"/>
          <w:kern w:val="0"/>
          <w:sz w:val="24"/>
          <w:u w:val="single"/>
          <w:lang w:val="en-US" w:eastAsia="zh-CN"/>
        </w:rPr>
        <w:t>连城连聚物业服务有限公司</w:t>
      </w:r>
      <w:r>
        <w:rPr>
          <w:rFonts w:hint="eastAsia" w:ascii="宋体" w:hAnsi="宋体" w:cs="宋体"/>
          <w:color w:val="auto"/>
          <w:kern w:val="0"/>
          <w:sz w:val="24"/>
          <w:u w:val="single"/>
        </w:rPr>
        <w:t xml:space="preserve"> </w:t>
      </w:r>
    </w:p>
    <w:p>
      <w:pPr>
        <w:pStyle w:val="33"/>
        <w:spacing w:line="360" w:lineRule="auto"/>
        <w:ind w:left="0" w:leftChars="0" w:firstLine="0" w:firstLineChars="0"/>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rPr>
        <w:t>乙方</w:t>
      </w:r>
      <w:r>
        <w:rPr>
          <w:rFonts w:hint="eastAsia" w:ascii="宋体" w:hAnsi="宋体" w:cs="宋体"/>
          <w:color w:val="auto"/>
          <w:kern w:val="0"/>
          <w:sz w:val="24"/>
          <w:lang w:eastAsia="zh-CN"/>
        </w:rPr>
        <w:t>：</w:t>
      </w:r>
      <w:r>
        <w:rPr>
          <w:rFonts w:hint="eastAsia" w:ascii="宋体" w:hAnsi="宋体" w:cs="宋体"/>
          <w:color w:val="auto"/>
          <w:kern w:val="0"/>
          <w:sz w:val="24"/>
          <w:u w:val="single"/>
        </w:rPr>
        <w:t xml:space="preserve">（中标人全称）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 xml:space="preserve"> </w:t>
      </w:r>
    </w:p>
    <w:p>
      <w:pPr>
        <w:pStyle w:val="18"/>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right="0" w:firstLine="240" w:firstLineChars="100"/>
        <w:jc w:val="both"/>
        <w:textAlignment w:val="auto"/>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宋体" w:hAnsi="宋体" w:cs="宋体"/>
          <w:color w:val="auto"/>
          <w:kern w:val="0"/>
          <w:sz w:val="24"/>
        </w:rPr>
        <w:t> </w:t>
      </w:r>
      <w:r>
        <w:rPr>
          <w:rFonts w:hint="eastAsia" w:ascii="宋体" w:hAnsi="宋体" w:cs="宋体"/>
          <w:color w:val="auto"/>
          <w:kern w:val="0"/>
          <w:sz w:val="24"/>
          <w:lang w:val="en-US" w:eastAsia="zh-CN"/>
        </w:rPr>
        <w:t xml:space="preserve"> </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为贯彻“安全生产，预防为主”的方针，保障电梯安全运行，防止事故发生，依照《中华人民共和民法典》、《中华人民共和国特种设备安全法》、《特种设备安全监察条例》、《电梯维护保养规则》（TSG T5002-2017）等规定，遵循平等、自愿、公平和诚实信用的原则，经甲乙双方协商订立本合同。</w:t>
      </w:r>
    </w:p>
    <w:p>
      <w:pPr>
        <w:pStyle w:val="18"/>
        <w:pageBreakBefore w:val="0"/>
        <w:widowControl/>
        <w:numPr>
          <w:ilvl w:val="0"/>
          <w:numId w:val="10"/>
        </w:numPr>
        <w:kinsoku/>
        <w:wordWrap/>
        <w:overflowPunct/>
        <w:topLinePunct w:val="0"/>
        <w:autoSpaceDE/>
        <w:autoSpaceDN/>
        <w:bidi w:val="0"/>
        <w:adjustRightInd/>
        <w:snapToGrid/>
        <w:spacing w:before="0" w:beforeAutospacing="0" w:after="0" w:afterAutospacing="0" w:line="360" w:lineRule="auto"/>
        <w:ind w:left="0" w:right="0" w:firstLine="240" w:firstLineChars="100"/>
        <w:jc w:val="both"/>
        <w:textAlignment w:val="auto"/>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 xml:space="preserve"> 乙方为本合同《电梯保养时间和保养费明细表》（附件）中列明的电梯提供维保和紧急救援服务单位。保养项目应覆盖《电梯使用管理与维护保养规则》规定的半月、季度、半年、年度保养项目和电梯制造单位技术文件所要求的特殊保养项目，以及与电梯安全运行相关的其他项目。</w:t>
      </w:r>
    </w:p>
    <w:p>
      <w:pPr>
        <w:pStyle w:val="18"/>
        <w:pageBreakBefore w:val="0"/>
        <w:widowControl/>
        <w:numPr>
          <w:ilvl w:val="0"/>
          <w:numId w:val="10"/>
        </w:numPr>
        <w:kinsoku/>
        <w:wordWrap/>
        <w:overflowPunct/>
        <w:topLinePunct w:val="0"/>
        <w:autoSpaceDE/>
        <w:autoSpaceDN/>
        <w:bidi w:val="0"/>
        <w:adjustRightInd/>
        <w:snapToGrid/>
        <w:spacing w:before="0" w:beforeAutospacing="0" w:after="0" w:afterAutospacing="0" w:line="360" w:lineRule="auto"/>
        <w:ind w:left="0" w:right="0" w:firstLine="240" w:firstLineChars="100"/>
        <w:jc w:val="both"/>
        <w:textAlignment w:val="auto"/>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 xml:space="preserve"> 双方约定维护保养的电梯的具体处所：连聚物业百花金城、莲冠花园、鹧鸪花园、南前花园（计53台），具体以合同及采购人通知为准</w:t>
      </w:r>
      <w:r>
        <w:rPr>
          <w:rFonts w:hint="eastAsia" w:asciiTheme="minorEastAsia" w:hAnsiTheme="minorEastAsia" w:eastAsiaTheme="minorEastAsia" w:cstheme="minorEastAsia"/>
          <w:color w:val="auto"/>
          <w:kern w:val="0"/>
          <w:sz w:val="24"/>
          <w:szCs w:val="24"/>
          <w:highlight w:val="none"/>
          <w:shd w:val="clear" w:fill="FFFFFF"/>
          <w:lang w:val="en-US" w:eastAsia="zh-CN" w:bidi="ar-SA"/>
        </w:rPr>
        <w:t>合同期内涉及新增或减少电梯数量的，维保服务服务费用按照实际维保数量×中标单价结算</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w:t>
      </w:r>
    </w:p>
    <w:p>
      <w:pPr>
        <w:pStyle w:val="18"/>
        <w:pageBreakBefore w:val="0"/>
        <w:widowControl/>
        <w:numPr>
          <w:ilvl w:val="0"/>
          <w:numId w:val="10"/>
        </w:numPr>
        <w:kinsoku/>
        <w:wordWrap/>
        <w:overflowPunct/>
        <w:topLinePunct w:val="0"/>
        <w:autoSpaceDE/>
        <w:autoSpaceDN/>
        <w:bidi w:val="0"/>
        <w:adjustRightInd/>
        <w:snapToGrid/>
        <w:spacing w:before="0" w:beforeAutospacing="0" w:after="0" w:afterAutospacing="0" w:line="360" w:lineRule="auto"/>
        <w:ind w:left="0" w:right="0" w:firstLine="240" w:firstLineChars="100"/>
        <w:jc w:val="both"/>
        <w:textAlignment w:val="auto"/>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 xml:space="preserve"> 乙方提供维保服务的方式：</w:t>
      </w:r>
    </w:p>
    <w:p>
      <w:pPr>
        <w:pStyle w:val="19"/>
        <w:pageBreakBefore w:val="0"/>
        <w:kinsoku/>
        <w:overflowPunct/>
        <w:topLinePunct w:val="0"/>
        <w:autoSpaceDE/>
        <w:autoSpaceDN/>
        <w:bidi w:val="0"/>
        <w:adjustRightInd/>
        <w:snapToGrid/>
        <w:spacing w:before="0" w:beforeAutospacing="0" w:after="0" w:afterAutospacing="0"/>
        <w:ind w:left="0" w:right="0" w:firstLine="240" w:firstLineChars="100"/>
        <w:outlineLvl w:val="9"/>
        <w:rPr>
          <w:rFonts w:hint="eastAsia"/>
          <w:color w:val="auto"/>
          <w:highlight w:val="none"/>
          <w:u w:val="single"/>
          <w:lang w:val="en-US" w:eastAsia="zh-CN"/>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u w:val="single"/>
          <w:shd w:val="clear" w:fill="FFFFFF"/>
          <w:lang w:val="en-US" w:eastAsia="zh-CN" w:bidi="ar"/>
        </w:rPr>
        <w:t>全包：提供维保所需工具、电梯零部件和劳务。</w:t>
      </w:r>
    </w:p>
    <w:p>
      <w:pPr>
        <w:pStyle w:val="18"/>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right="0" w:firstLine="240" w:firstLineChars="100"/>
        <w:jc w:val="both"/>
        <w:textAlignment w:val="auto"/>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u w:val="singl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u w:val="single"/>
          <w:shd w:val="clear" w:fill="FFFFFF"/>
          <w:lang w:val="en-US" w:eastAsia="zh-CN" w:bidi="ar"/>
        </w:rPr>
        <w:t>半包：提供维保所需工具和劳务，并免费提供300元（含）以内电梯原厂零部件，进水及人为损坏除外。</w:t>
      </w:r>
    </w:p>
    <w:p>
      <w:pPr>
        <w:pStyle w:val="18"/>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right="0" w:firstLine="240" w:firstLineChars="100"/>
        <w:jc w:val="both"/>
        <w:textAlignment w:val="auto"/>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乙方应提供本合同电梯设备保养和维修所需零部件的价格和人工费用明细表，经甲方确认后作为合同附件。</w:t>
      </w:r>
    </w:p>
    <w:p>
      <w:pPr>
        <w:pStyle w:val="18"/>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right="0" w:firstLine="240" w:firstLineChars="100"/>
        <w:jc w:val="both"/>
        <w:textAlignment w:val="auto"/>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第四条  维保期限：</w:t>
      </w:r>
    </w:p>
    <w:p>
      <w:pPr>
        <w:pageBreakBefore w:val="0"/>
        <w:kinsoku/>
        <w:overflowPunct/>
        <w:topLinePunct w:val="0"/>
        <w:autoSpaceDE/>
        <w:autoSpaceDN/>
        <w:bidi w:val="0"/>
        <w:adjustRightInd/>
        <w:snapToGrid/>
        <w:spacing w:before="0" w:beforeAutospacing="0" w:after="0" w:afterAutospacing="0" w:line="360" w:lineRule="auto"/>
        <w:ind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本合同约定维保期限自</w:t>
      </w:r>
      <w:r>
        <w:rPr>
          <w:rFonts w:hint="eastAsia" w:asciiTheme="minorEastAsia" w:hAnsiTheme="minorEastAsia" w:eastAsiaTheme="minorEastAsia" w:cstheme="minorEastAsia"/>
          <w:b w:val="0"/>
          <w:bCs w:val="0"/>
          <w:i w:val="0"/>
          <w:iCs w:val="0"/>
          <w:caps w:val="0"/>
          <w:color w:val="auto"/>
          <w:spacing w:val="0"/>
          <w:kern w:val="0"/>
          <w:sz w:val="24"/>
          <w:szCs w:val="24"/>
          <w:highlight w:val="none"/>
          <w:u w:val="single"/>
          <w:shd w:val="clear" w:fill="FFFFFF"/>
          <w:lang w:val="en-US" w:eastAsia="zh-CN" w:bidi="ar"/>
        </w:rPr>
        <w:t xml:space="preserve">    年  月  日起至  年  月  日止</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 xml:space="preserve">。 </w:t>
      </w:r>
    </w:p>
    <w:p>
      <w:pPr>
        <w:pageBreakBefore w:val="0"/>
        <w:kinsoku/>
        <w:overflowPunct/>
        <w:topLinePunct w:val="0"/>
        <w:autoSpaceDE/>
        <w:autoSpaceDN/>
        <w:bidi w:val="0"/>
        <w:adjustRightInd/>
        <w:snapToGrid/>
        <w:spacing w:before="0" w:beforeAutospacing="0" w:after="0" w:afterAutospacing="0" w:line="360" w:lineRule="auto"/>
        <w:ind w:left="0" w:right="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 xml:space="preserve">    第五条  维保费用</w:t>
      </w:r>
    </w:p>
    <w:tbl>
      <w:tblPr>
        <w:tblStyle w:val="2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4"/>
        <w:gridCol w:w="1449"/>
        <w:gridCol w:w="936"/>
        <w:gridCol w:w="1706"/>
        <w:gridCol w:w="1556"/>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1459" w:type="pct"/>
            <w:noWrap w:val="0"/>
            <w:vAlign w:val="center"/>
          </w:tcPr>
          <w:p>
            <w:pPr>
              <w:pageBreakBefore w:val="0"/>
              <w:kinsoku/>
              <w:overflowPunct/>
              <w:topLinePunct w:val="0"/>
              <w:autoSpaceDE/>
              <w:autoSpaceDN/>
              <w:bidi w:val="0"/>
              <w:adjustRightInd/>
              <w:snapToGrid/>
              <w:spacing w:beforeAutospacing="0" w:afterAutospacing="0"/>
              <w:ind w:left="0" w:right="0"/>
              <w:jc w:val="center"/>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项目名称</w:t>
            </w:r>
          </w:p>
        </w:tc>
        <w:tc>
          <w:tcPr>
            <w:tcW w:w="727" w:type="pct"/>
            <w:noWrap w:val="0"/>
            <w:vAlign w:val="center"/>
          </w:tcPr>
          <w:p>
            <w:pPr>
              <w:pageBreakBefore w:val="0"/>
              <w:kinsoku/>
              <w:overflowPunct/>
              <w:topLinePunct w:val="0"/>
              <w:autoSpaceDE/>
              <w:autoSpaceDN/>
              <w:bidi w:val="0"/>
              <w:adjustRightInd/>
              <w:snapToGrid/>
              <w:spacing w:beforeAutospacing="0" w:afterAutospacing="0"/>
              <w:ind w:left="0" w:right="0"/>
              <w:jc w:val="center"/>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维保标准</w:t>
            </w:r>
          </w:p>
        </w:tc>
        <w:tc>
          <w:tcPr>
            <w:tcW w:w="470" w:type="pct"/>
            <w:noWrap w:val="0"/>
            <w:vAlign w:val="center"/>
          </w:tcPr>
          <w:p>
            <w:pPr>
              <w:pageBreakBefore w:val="0"/>
              <w:kinsoku/>
              <w:overflowPunct/>
              <w:topLinePunct w:val="0"/>
              <w:autoSpaceDE/>
              <w:autoSpaceDN/>
              <w:bidi w:val="0"/>
              <w:adjustRightInd/>
              <w:snapToGrid/>
              <w:spacing w:beforeAutospacing="0" w:afterAutospacing="0"/>
              <w:ind w:left="0" w:right="0"/>
              <w:jc w:val="center"/>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数量（台）</w:t>
            </w:r>
          </w:p>
        </w:tc>
        <w:tc>
          <w:tcPr>
            <w:tcW w:w="857" w:type="pct"/>
            <w:noWrap w:val="0"/>
            <w:vAlign w:val="center"/>
          </w:tcPr>
          <w:p>
            <w:pPr>
              <w:pageBreakBefore w:val="0"/>
              <w:kinsoku/>
              <w:overflowPunct/>
              <w:topLinePunct w:val="0"/>
              <w:autoSpaceDE/>
              <w:autoSpaceDN/>
              <w:bidi w:val="0"/>
              <w:adjustRightInd/>
              <w:snapToGrid/>
              <w:spacing w:beforeAutospacing="0" w:afterAutospacing="0"/>
              <w:ind w:left="0" w:right="0"/>
              <w:jc w:val="center"/>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中标报价</w:t>
            </w:r>
          </w:p>
          <w:p>
            <w:pPr>
              <w:pageBreakBefore w:val="0"/>
              <w:kinsoku/>
              <w:overflowPunct/>
              <w:topLinePunct w:val="0"/>
              <w:autoSpaceDE/>
              <w:autoSpaceDN/>
              <w:bidi w:val="0"/>
              <w:adjustRightInd/>
              <w:snapToGrid/>
              <w:spacing w:beforeAutospacing="0" w:afterAutospacing="0"/>
              <w:ind w:left="0" w:right="0"/>
              <w:jc w:val="center"/>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（元</w:t>
            </w:r>
            <w:r>
              <w:rPr>
                <w:rFonts w:hint="eastAsia" w:asciiTheme="minorEastAsia" w:hAnsiTheme="minorEastAsia" w:eastAsiaTheme="minorEastAsia" w:cstheme="minorEastAsia"/>
                <w:color w:val="auto"/>
                <w:sz w:val="24"/>
                <w:szCs w:val="24"/>
                <w:highlight w:val="none"/>
                <w:lang w:val="en-US" w:eastAsia="zh-CN"/>
              </w:rPr>
              <w:t>/台/月）</w:t>
            </w:r>
          </w:p>
        </w:tc>
        <w:tc>
          <w:tcPr>
            <w:tcW w:w="782" w:type="pct"/>
            <w:noWrap w:val="0"/>
            <w:vAlign w:val="center"/>
          </w:tcPr>
          <w:p>
            <w:pPr>
              <w:pageBreakBefore w:val="0"/>
              <w:kinsoku/>
              <w:overflowPunct/>
              <w:topLinePunct w:val="0"/>
              <w:autoSpaceDE/>
              <w:autoSpaceDN/>
              <w:bidi w:val="0"/>
              <w:adjustRightInd/>
              <w:snapToGrid/>
              <w:spacing w:beforeAutospacing="0" w:afterAutospacing="0"/>
              <w:ind w:left="0" w:right="0"/>
              <w:jc w:val="center"/>
              <w:outlineLvl w:val="9"/>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服务期限</w:t>
            </w:r>
          </w:p>
        </w:tc>
        <w:tc>
          <w:tcPr>
            <w:tcW w:w="702" w:type="pct"/>
            <w:noWrap w:val="0"/>
            <w:vAlign w:val="center"/>
          </w:tcPr>
          <w:p>
            <w:pPr>
              <w:pageBreakBefore w:val="0"/>
              <w:kinsoku/>
              <w:overflowPunct/>
              <w:topLinePunct w:val="0"/>
              <w:autoSpaceDE/>
              <w:autoSpaceDN/>
              <w:bidi w:val="0"/>
              <w:adjustRightInd/>
              <w:snapToGrid/>
              <w:spacing w:beforeAutospacing="0" w:afterAutospacing="0"/>
              <w:ind w:left="0" w:right="0"/>
              <w:jc w:val="center"/>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1459"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right="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百花金城：</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00" w:lineRule="exact"/>
              <w:ind w:left="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楼层：13层-16层</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00" w:lineRule="exact"/>
              <w:ind w:left="0" w:right="0" w:rightChars="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电梯品牌：三菱</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使用日期：</w:t>
            </w:r>
            <w:r>
              <w:rPr>
                <w:rFonts w:hint="eastAsia" w:asciiTheme="minorEastAsia" w:hAnsiTheme="minorEastAsia" w:eastAsiaTheme="minorEastAsia" w:cstheme="minorEastAsia"/>
                <w:color w:val="auto"/>
                <w:sz w:val="24"/>
                <w:szCs w:val="24"/>
                <w:highlight w:val="none"/>
                <w:lang w:val="en-US" w:eastAsia="zh-CN"/>
              </w:rPr>
              <w:t>2012年</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地址：</w:t>
            </w:r>
            <w:r>
              <w:rPr>
                <w:rFonts w:hint="eastAsia" w:ascii="宋体" w:hAnsi="宋体" w:eastAsia="宋体" w:cs="宋体"/>
                <w:b w:val="0"/>
                <w:bCs/>
                <w:color w:val="auto"/>
                <w:sz w:val="24"/>
                <w:szCs w:val="24"/>
                <w:highlight w:val="none"/>
                <w:vertAlign w:val="baseline"/>
                <w:lang w:val="en-US" w:eastAsia="zh-CN"/>
              </w:rPr>
              <w:t>连城县莲峰镇百花金城小区</w:t>
            </w:r>
          </w:p>
        </w:tc>
        <w:tc>
          <w:tcPr>
            <w:tcW w:w="727"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jc w:val="center"/>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全包</w:t>
            </w:r>
          </w:p>
        </w:tc>
        <w:tc>
          <w:tcPr>
            <w:tcW w:w="47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ind w:left="0" w:right="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w:t>
            </w:r>
          </w:p>
        </w:tc>
        <w:tc>
          <w:tcPr>
            <w:tcW w:w="857"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ind w:left="0" w:right="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p>
        </w:tc>
        <w:tc>
          <w:tcPr>
            <w:tcW w:w="782"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outlineLvl w:val="9"/>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12个月</w:t>
            </w:r>
          </w:p>
        </w:tc>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outlineLvl w:val="9"/>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提供维保所需工具、电梯零部件和劳务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45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鹧鸪花园</w:t>
            </w:r>
          </w:p>
          <w:p>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300" w:lineRule="exact"/>
              <w:ind w:left="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楼层：13层</w:t>
            </w:r>
          </w:p>
          <w:p>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300" w:lineRule="exact"/>
              <w:ind w:left="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电梯品牌：通力电梯</w:t>
            </w:r>
          </w:p>
          <w:p>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300" w:lineRule="exact"/>
              <w:ind w:left="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使用日期：2023年</w:t>
            </w:r>
          </w:p>
          <w:p>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300" w:lineRule="exact"/>
              <w:ind w:left="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cs="宋体"/>
                <w:b w:val="0"/>
                <w:bCs/>
                <w:color w:val="auto"/>
                <w:sz w:val="24"/>
                <w:szCs w:val="24"/>
                <w:highlight w:val="none"/>
                <w:vertAlign w:val="baseline"/>
                <w:lang w:val="en-US" w:eastAsia="zh-CN"/>
              </w:rPr>
              <w:t>地址：</w:t>
            </w:r>
            <w:r>
              <w:rPr>
                <w:rFonts w:hint="eastAsia" w:ascii="宋体" w:hAnsi="宋体" w:eastAsia="宋体" w:cs="宋体"/>
                <w:b w:val="0"/>
                <w:bCs/>
                <w:color w:val="auto"/>
                <w:sz w:val="24"/>
                <w:szCs w:val="24"/>
                <w:highlight w:val="none"/>
                <w:vertAlign w:val="baseline"/>
                <w:lang w:val="en-US" w:eastAsia="zh-CN"/>
              </w:rPr>
              <w:t>连城县莲峰镇西台路98号鹧鸪花园</w:t>
            </w:r>
          </w:p>
        </w:tc>
        <w:tc>
          <w:tcPr>
            <w:tcW w:w="727"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半包</w:t>
            </w:r>
          </w:p>
        </w:tc>
        <w:tc>
          <w:tcPr>
            <w:tcW w:w="47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ind w:left="0" w:right="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85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ind w:left="0" w:right="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p>
        </w:tc>
        <w:tc>
          <w:tcPr>
            <w:tcW w:w="78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12个月</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p>
        </w:tc>
        <w:tc>
          <w:tcPr>
            <w:tcW w:w="70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提供维保所需工具和劳务，并免费提供300元（含）以内电梯原厂零部件，进水及人为损坏除外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145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南前花园</w:t>
            </w: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3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楼层：11层</w:t>
            </w: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3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电梯品牌：江南嘉捷</w:t>
            </w: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3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使用日期：2022年</w:t>
            </w: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3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地址：</w:t>
            </w:r>
            <w:r>
              <w:rPr>
                <w:rFonts w:hint="eastAsia" w:ascii="宋体" w:hAnsi="宋体" w:eastAsia="宋体" w:cs="宋体"/>
                <w:b w:val="0"/>
                <w:bCs/>
                <w:color w:val="auto"/>
                <w:sz w:val="24"/>
                <w:szCs w:val="24"/>
                <w:highlight w:val="none"/>
                <w:vertAlign w:val="baseline"/>
                <w:lang w:val="en-US" w:eastAsia="zh-CN"/>
              </w:rPr>
              <w:t>连城县莲峰镇南前村南前花园安置小区</w:t>
            </w:r>
          </w:p>
        </w:tc>
        <w:tc>
          <w:tcPr>
            <w:tcW w:w="727"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半包</w:t>
            </w:r>
          </w:p>
        </w:tc>
        <w:tc>
          <w:tcPr>
            <w:tcW w:w="47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ind w:left="0" w:right="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85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ind w:left="0" w:right="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p>
        </w:tc>
        <w:tc>
          <w:tcPr>
            <w:tcW w:w="78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p>
        </w:tc>
        <w:tc>
          <w:tcPr>
            <w:tcW w:w="70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outlineLvl w:val="9"/>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145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莲冠花园</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3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楼层：8-11层</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3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电梯品牌：通力电梯</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使用日期：2014年</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地址：</w:t>
            </w:r>
            <w:r>
              <w:rPr>
                <w:rFonts w:hint="eastAsia" w:ascii="宋体" w:hAnsi="宋体" w:eastAsia="宋体" w:cs="宋体"/>
                <w:b w:val="0"/>
                <w:bCs/>
                <w:color w:val="auto"/>
                <w:sz w:val="24"/>
                <w:szCs w:val="24"/>
                <w:highlight w:val="none"/>
                <w:vertAlign w:val="baseline"/>
                <w:lang w:val="en-US" w:eastAsia="zh-CN"/>
              </w:rPr>
              <w:t>连城县莲峰镇莲北大道3号</w:t>
            </w:r>
          </w:p>
        </w:tc>
        <w:tc>
          <w:tcPr>
            <w:tcW w:w="727"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半包</w:t>
            </w:r>
          </w:p>
        </w:tc>
        <w:tc>
          <w:tcPr>
            <w:tcW w:w="47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ind w:left="0" w:right="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85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ind w:left="0" w:right="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p>
        </w:tc>
        <w:tc>
          <w:tcPr>
            <w:tcW w:w="78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p>
        </w:tc>
        <w:tc>
          <w:tcPr>
            <w:tcW w:w="70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outlineLvl w:val="9"/>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18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总计</w:t>
            </w:r>
          </w:p>
        </w:tc>
        <w:tc>
          <w:tcPr>
            <w:tcW w:w="470" w:type="pc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ind w:left="0" w:right="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53</w:t>
            </w:r>
          </w:p>
        </w:tc>
        <w:tc>
          <w:tcPr>
            <w:tcW w:w="2342" w:type="pct"/>
            <w:gridSpan w:val="3"/>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jc w:val="center"/>
              <w:textAlignment w:val="auto"/>
              <w:outlineLvl w:val="9"/>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000" w:type="pct"/>
            <w:gridSpan w:val="6"/>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jc w:val="left"/>
              <w:textAlignment w:val="auto"/>
              <w:outlineLvl w:val="9"/>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合同总价：大写：</w:t>
            </w:r>
            <w:r>
              <w:rPr>
                <w:rFonts w:hint="eastAsia" w:asciiTheme="minorEastAsia" w:hAnsiTheme="minorEastAsia" w:eastAsiaTheme="minorEastAsia" w:cstheme="minorEastAsia"/>
                <w:color w:val="auto"/>
                <w:sz w:val="24"/>
                <w:szCs w:val="24"/>
                <w:highlight w:val="none"/>
                <w:u w:val="single"/>
                <w:lang w:val="en-US" w:eastAsia="zh-CN"/>
              </w:rPr>
              <w:t xml:space="preserve">          元整小写￥      .00</w:t>
            </w:r>
          </w:p>
        </w:tc>
      </w:tr>
    </w:tbl>
    <w:p>
      <w:pPr>
        <w:pageBreakBefore w:val="0"/>
        <w:kinsoku/>
        <w:overflowPunct/>
        <w:topLinePunct w:val="0"/>
        <w:autoSpaceDE/>
        <w:autoSpaceDN/>
        <w:bidi w:val="0"/>
        <w:adjustRightInd/>
        <w:snapToGrid/>
        <w:spacing w:before="0" w:beforeAutospacing="0" w:after="0" w:afterAutospacing="0" w:line="360" w:lineRule="auto"/>
        <w:ind w:left="0" w:right="0" w:firstLine="482" w:firstLineChars="200"/>
        <w:outlineLvl w:val="9"/>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i w:val="0"/>
          <w:iCs w:val="0"/>
          <w:caps w:val="0"/>
          <w:color w:val="auto"/>
          <w:spacing w:val="0"/>
          <w:kern w:val="0"/>
          <w:sz w:val="24"/>
          <w:szCs w:val="24"/>
          <w:highlight w:val="none"/>
          <w:shd w:val="clear" w:fill="FFFFFF"/>
          <w:lang w:val="en-US" w:eastAsia="zh-CN" w:bidi="ar"/>
        </w:rPr>
        <w:t>注：合同期内涉及新增或减少电梯数量的，维保服务服务费用按照实际维保数量</w:t>
      </w:r>
      <w:r>
        <w:rPr>
          <w:rFonts w:hint="default" w:ascii="Arial" w:hAnsi="Arial" w:cs="Arial" w:eastAsiaTheme="minorEastAsia"/>
          <w:b/>
          <w:bCs/>
          <w:i w:val="0"/>
          <w:iCs w:val="0"/>
          <w:caps w:val="0"/>
          <w:color w:val="auto"/>
          <w:spacing w:val="0"/>
          <w:kern w:val="0"/>
          <w:sz w:val="24"/>
          <w:szCs w:val="24"/>
          <w:highlight w:val="none"/>
          <w:shd w:val="clear" w:fill="FFFFFF"/>
          <w:lang w:val="en-US" w:eastAsia="zh-CN" w:bidi="ar"/>
        </w:rPr>
        <w:t>×</w:t>
      </w:r>
      <w:r>
        <w:rPr>
          <w:rFonts w:hint="eastAsia" w:asciiTheme="minorEastAsia" w:hAnsiTheme="minorEastAsia" w:eastAsiaTheme="minorEastAsia" w:cstheme="minorEastAsia"/>
          <w:b/>
          <w:bCs/>
          <w:i w:val="0"/>
          <w:iCs w:val="0"/>
          <w:caps w:val="0"/>
          <w:color w:val="auto"/>
          <w:spacing w:val="0"/>
          <w:kern w:val="0"/>
          <w:sz w:val="24"/>
          <w:szCs w:val="24"/>
          <w:highlight w:val="none"/>
          <w:shd w:val="clear" w:fill="FFFFFF"/>
          <w:lang w:val="en-US" w:eastAsia="zh-CN" w:bidi="ar"/>
        </w:rPr>
        <w:t>中标单价结算。</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第六条 结算</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1、甲方按季支付维保费， 具体支付时间和金额为：每三个月为一期，每期费用为人民币</w:t>
      </w:r>
      <w:r>
        <w:rPr>
          <w:rFonts w:hint="eastAsia" w:asciiTheme="minorEastAsia" w:hAnsiTheme="minorEastAsia" w:eastAsiaTheme="minorEastAsia" w:cstheme="minorEastAsia"/>
          <w:b w:val="0"/>
          <w:bCs w:val="0"/>
          <w:i w:val="0"/>
          <w:iCs w:val="0"/>
          <w:caps w:val="0"/>
          <w:color w:val="auto"/>
          <w:spacing w:val="0"/>
          <w:kern w:val="0"/>
          <w:sz w:val="24"/>
          <w:szCs w:val="24"/>
          <w:highlight w:val="none"/>
          <w:u w:val="single"/>
          <w:shd w:val="clear" w:fill="FFFFFF"/>
          <w:lang w:val="en-US" w:eastAsia="zh-CN" w:bidi="ar"/>
        </w:rPr>
        <w:t xml:space="preserve">     元人民币</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（详见附件）：</w:t>
      </w:r>
      <w:r>
        <w:rPr>
          <w:rFonts w:hint="eastAsia" w:asciiTheme="minorEastAsia" w:hAnsiTheme="minorEastAsia" w:eastAsiaTheme="minorEastAsia" w:cstheme="minorEastAsia"/>
          <w:b w:val="0"/>
          <w:bCs w:val="0"/>
          <w:i w:val="0"/>
          <w:iCs w:val="0"/>
          <w:caps w:val="0"/>
          <w:color w:val="auto"/>
          <w:spacing w:val="0"/>
          <w:kern w:val="0"/>
          <w:sz w:val="24"/>
          <w:szCs w:val="24"/>
          <w:highlight w:val="none"/>
          <w:u w:val="single"/>
          <w:shd w:val="clear" w:fill="FFFFFF"/>
          <w:lang w:val="en-US" w:eastAsia="zh-CN" w:bidi="ar"/>
        </w:rPr>
        <w:t xml:space="preserve">     元整</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，支付时间为每一期的最后一个月收到乙方出具的发票的10个工作日内）。</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br w:type="textWrapping"/>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 xml:space="preserve">    2、甲方需支付零部件费用的，按月支付，支付时间为当次维保结束后的十个工作日之内。</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 xml:space="preserve">3、支付方式：汇到乙方指定帐户 </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 xml:space="preserve">开户行及账号： </w:t>
      </w:r>
      <w:r>
        <w:rPr>
          <w:rFonts w:hint="eastAsia" w:asciiTheme="minorEastAsia" w:hAnsiTheme="minorEastAsia" w:eastAsiaTheme="minorEastAsia" w:cstheme="minorEastAsia"/>
          <w:b w:val="0"/>
          <w:bCs w:val="0"/>
          <w:i w:val="0"/>
          <w:iCs w:val="0"/>
          <w:caps w:val="0"/>
          <w:color w:val="auto"/>
          <w:spacing w:val="0"/>
          <w:kern w:val="0"/>
          <w:sz w:val="24"/>
          <w:szCs w:val="24"/>
          <w:highlight w:val="none"/>
          <w:u w:val="single"/>
          <w:shd w:val="clear" w:fill="FFFFFF"/>
          <w:lang w:val="en-US" w:eastAsia="zh-CN" w:bidi="ar"/>
        </w:rPr>
        <w:t xml:space="preserve">                       </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 xml:space="preserve">  </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第七条 履约保证金</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本项目要求提交履约保证金；履约保证金百分比：签约合同价5%计大写</w:t>
      </w:r>
      <w:r>
        <w:rPr>
          <w:rFonts w:hint="eastAsia" w:asciiTheme="minorEastAsia" w:hAnsiTheme="minorEastAsia" w:eastAsiaTheme="minorEastAsia" w:cstheme="minorEastAsia"/>
          <w:b w:val="0"/>
          <w:bCs w:val="0"/>
          <w:i w:val="0"/>
          <w:iCs w:val="0"/>
          <w:caps w:val="0"/>
          <w:color w:val="auto"/>
          <w:spacing w:val="0"/>
          <w:kern w:val="0"/>
          <w:sz w:val="24"/>
          <w:szCs w:val="24"/>
          <w:highlight w:val="none"/>
          <w:u w:val="single"/>
          <w:shd w:val="clear" w:fill="FFFFFF"/>
          <w:lang w:val="en-US" w:eastAsia="zh-CN" w:bidi="ar"/>
        </w:rPr>
        <w:t xml:space="preserve">  </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元整（小写</w:t>
      </w:r>
      <w:r>
        <w:rPr>
          <w:rFonts w:hint="eastAsia" w:asciiTheme="minorEastAsia" w:hAnsiTheme="minorEastAsia" w:eastAsiaTheme="minorEastAsia" w:cstheme="minorEastAsia"/>
          <w:b w:val="0"/>
          <w:bCs w:val="0"/>
          <w:i w:val="0"/>
          <w:iCs w:val="0"/>
          <w:caps w:val="0"/>
          <w:color w:val="auto"/>
          <w:spacing w:val="0"/>
          <w:kern w:val="0"/>
          <w:sz w:val="24"/>
          <w:szCs w:val="24"/>
          <w:highlight w:val="none"/>
          <w:u w:val="single"/>
          <w:shd w:val="clear" w:fill="FFFFFF"/>
          <w:lang w:val="en-US" w:eastAsia="zh-CN" w:bidi="ar"/>
        </w:rPr>
        <w:t>￥  .00</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提交时间：合同签订前；退还方式：签订合同后，履约保证金在合同期满后凭缴交履约保证金凭据、合同和采购单位出具的书面意见（如有处罚，应按规定扣除相应处罚后）无息退还。提交方式：乙方可以选择转账或电汇、银行保函等形式之一在签订合同之前提交。</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第八条  甲方权利、义务</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1、权利</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（1）有权监督检查乙方依照合同约定实施维保计划的情况，监督经乙方维保后的电梯是否符合法律法规、安全技术规范、强制性标准和电梯制造单位的技术要求，监督电梯安全性能是否良好。</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2）有权检查受乙方委派为本单位电梯提供维保服务人员的持证上岗情况，有权拒绝无证人员开展维保活动。有权要求乙方人员服从本单位现场安全管理，对不服从现场安全管理的乙方人员，有权要求乙方更换人员。</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（3）乙方的维护保养达不到合同约定的维护保养标准或要求的，甲方有权拒绝在维护保养记录上签字。</w:t>
      </w:r>
    </w:p>
    <w:p>
      <w:pPr>
        <w:pageBreakBefore w:val="0"/>
        <w:kinsoku/>
        <w:overflowPunct/>
        <w:topLinePunct w:val="0"/>
        <w:autoSpaceDE/>
        <w:autoSpaceDN/>
        <w:bidi w:val="0"/>
        <w:adjustRightInd/>
        <w:snapToGrid/>
        <w:spacing w:before="0" w:beforeAutospacing="0" w:after="0" w:afterAutospacing="0" w:line="360" w:lineRule="auto"/>
        <w:ind w:left="0" w:right="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 xml:space="preserve">    （4）除国家规定的法定监督检验与定期检验外，有权委托特种设备检验机构或第三方中介机构对乙方按照合同约定实施维保工作的情况进行评定。</w:t>
      </w:r>
    </w:p>
    <w:p>
      <w:pPr>
        <w:pageBreakBefore w:val="0"/>
        <w:kinsoku/>
        <w:overflowPunct/>
        <w:topLinePunct w:val="0"/>
        <w:autoSpaceDE/>
        <w:autoSpaceDN/>
        <w:bidi w:val="0"/>
        <w:adjustRightInd/>
        <w:snapToGrid/>
        <w:spacing w:before="0" w:beforeAutospacing="0" w:after="0" w:afterAutospacing="0" w:line="360" w:lineRule="auto"/>
        <w:ind w:left="0" w:right="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 xml:space="preserve">     2、义务</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（1）建立电梯安全运行的相关管理机构、制度，确保制度、人员、资金落实到位。</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（2）按照合同约定按期支付维保和零部件款。</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3）配备持有电梯安全管理员资格证件的人员负责电梯的日常安全管理工作，并在更换电梯管理人员时及时通知乙方。督促电梯安全管理人员按照电梯使用检查表完成电梯的日常检查工作和每月检查工作，并严格按照电梯钥匙使用管理有关要求对电梯钥匙进行管理，实行钥匙领用登记，不将电梯钥匙交给非持证人员使用。</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（4）督促电梯安全管理人员现场监督检查乙方的电梯保养工作过程和结果、对乙方的维保记录、修理记录签字确认，签收乙方提交的与电梯维保工作有关的文件。</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5）电梯发生故障或异常情况时应当立即停止使用，并做好相关安全防护措施。在电梯的日常使用时间内，确保值班人员可靠接收求救电话、警铃装置发出的求救信号，及时通知乙方抢修，并详细记录相关工作的具体时间。</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（6）制订有关电梯的应急救援预案（如：电梯困人、消防、电梯水浸、自动扶梯人身伤害等）。每年至少开展一次应急救援演练，确保应急系统运行有效。</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（7）保证电梯供电、消防、防雷、通风等系统安全可靠，满足国家标准规定。</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8）为乙方提供维保所需的工作环境。保证机房、井道、底坑无漏水、渗水现象。通往机房、底坑、滑轮间、井道安全门的通道畅通、照明充分；确保作业环境中应由甲方提供的安全防护措施到位，避免无关人员进入。</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（9）采取有效措施监控电梯使用情况，积极主动开展文明乘梯宣传活动，及时制止乘客不文明乘梯行为或恶意破坏电梯的行为。</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（10）未经乙方书面许可不得允许非乙方人员从事与电梯维保有关的工作。</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（11）应认真审核乙方书面提出的更换电梯零部件要求，并在乙方书面要求的期限内书面予以答复。</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（12）在电梯使用标志所标注的下次检验日期前１个月，向特种设备检验机构提出定期检验申请。</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（13）电梯因不可抗拒因素（如战争、火灾、水浸、风暴和地震等）所造成设备损坏、丢失的，自行承担全部责任。</w:t>
      </w:r>
    </w:p>
    <w:p>
      <w:pPr>
        <w:pageBreakBefore w:val="0"/>
        <w:kinsoku/>
        <w:overflowPunct/>
        <w:topLinePunct w:val="0"/>
        <w:autoSpaceDE/>
        <w:autoSpaceDN/>
        <w:bidi w:val="0"/>
        <w:adjustRightInd/>
        <w:snapToGrid/>
        <w:spacing w:before="0" w:beforeAutospacing="0" w:after="0" w:afterAutospacing="0" w:line="360" w:lineRule="auto"/>
        <w:ind w:left="0" w:right="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 xml:space="preserve">    第九条 乙方权利、义务</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1、权利</w:t>
      </w:r>
    </w:p>
    <w:p>
      <w:pPr>
        <w:pageBreakBefore w:val="0"/>
        <w:kinsoku/>
        <w:overflowPunct/>
        <w:topLinePunct w:val="0"/>
        <w:autoSpaceDE/>
        <w:autoSpaceDN/>
        <w:bidi w:val="0"/>
        <w:adjustRightInd/>
        <w:snapToGrid/>
        <w:spacing w:before="0" w:beforeAutospacing="0" w:after="0" w:afterAutospacing="0" w:line="360" w:lineRule="auto"/>
        <w:ind w:left="0" w:right="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 xml:space="preserve">    （1）有权要求甲方提供维保所需的工作环境，查询电梯相关资料。</w:t>
      </w:r>
    </w:p>
    <w:p>
      <w:pPr>
        <w:pageBreakBefore w:val="0"/>
        <w:kinsoku/>
        <w:overflowPunct/>
        <w:topLinePunct w:val="0"/>
        <w:autoSpaceDE/>
        <w:autoSpaceDN/>
        <w:bidi w:val="0"/>
        <w:adjustRightInd/>
        <w:snapToGrid/>
        <w:spacing w:before="0" w:beforeAutospacing="0" w:after="0" w:afterAutospacing="0" w:line="360" w:lineRule="auto"/>
        <w:ind w:left="0" w:right="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 xml:space="preserve">    （2）当电梯存在事故隐患时，乙方有权采取停梯措施及阻止冒险作业的权利。</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（3）有权拒绝甲方提出的影响电梯安全运行的要求。</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2、义务</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 xml:space="preserve">（1）按照《电梯使用管理与维护保养规则》（TSG T5001-2009）并根据电梯的使用情况和设备状况，经双方协商确认后，提供全年保养计划和各项定期保养计划的具体实施时间表。每台每次保养时间不得少于合同约定的相应最少保养时间。如需调整原保养计划，应提前 5 日通知甲方并经甲方同意后方可调整，但应保证保养时间间隔不得超过15日； </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2）乙方对其维保的电梯安全性能负责。应当在本合同签订后对电梯是否符合安全技术规范要求进行确认，发现上个维保周期中电梯存在安全隐患的，应书面通知使用单位，并及时进行维修。维保后的电梯应当符合相应的安全技术规范，并且处于正常的运行状态。</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（3）乙方提供24小时的紧急救援服务，乙方维保负责人:</w:t>
      </w:r>
      <w:r>
        <w:rPr>
          <w:rFonts w:hint="eastAsia" w:asciiTheme="minorEastAsia" w:hAnsiTheme="minorEastAsia" w:eastAsiaTheme="minorEastAsia" w:cstheme="minorEastAsia"/>
          <w:b w:val="0"/>
          <w:bCs w:val="0"/>
          <w:i w:val="0"/>
          <w:iCs w:val="0"/>
          <w:caps w:val="0"/>
          <w:color w:val="auto"/>
          <w:spacing w:val="0"/>
          <w:kern w:val="0"/>
          <w:sz w:val="24"/>
          <w:szCs w:val="24"/>
          <w:highlight w:val="none"/>
          <w:u w:val="single"/>
          <w:shd w:val="clear" w:fill="FFFFFF"/>
          <w:lang w:val="en-US" w:eastAsia="zh-CN" w:bidi="ar"/>
        </w:rPr>
        <w:t xml:space="preserve">        </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。联系电话:</w:t>
      </w:r>
      <w:r>
        <w:rPr>
          <w:rFonts w:hint="eastAsia" w:asciiTheme="minorEastAsia" w:hAnsiTheme="minorEastAsia" w:eastAsiaTheme="minorEastAsia" w:cstheme="minorEastAsia"/>
          <w:b w:val="0"/>
          <w:bCs w:val="0"/>
          <w:i w:val="0"/>
          <w:iCs w:val="0"/>
          <w:caps w:val="0"/>
          <w:color w:val="auto"/>
          <w:spacing w:val="0"/>
          <w:kern w:val="0"/>
          <w:sz w:val="24"/>
          <w:szCs w:val="24"/>
          <w:highlight w:val="none"/>
          <w:u w:val="single"/>
          <w:shd w:val="clear" w:fill="FFFFFF"/>
          <w:lang w:val="en-US" w:eastAsia="zh-CN" w:bidi="ar"/>
        </w:rPr>
        <w:t xml:space="preserve">       </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 24小时紧急救援服务热线电话：</w:t>
      </w:r>
      <w:r>
        <w:rPr>
          <w:rFonts w:hint="eastAsia" w:asciiTheme="minorEastAsia" w:hAnsiTheme="minorEastAsia" w:eastAsiaTheme="minorEastAsia" w:cstheme="minorEastAsia"/>
          <w:b w:val="0"/>
          <w:bCs w:val="0"/>
          <w:i w:val="0"/>
          <w:iCs w:val="0"/>
          <w:caps w:val="0"/>
          <w:color w:val="auto"/>
          <w:spacing w:val="0"/>
          <w:kern w:val="0"/>
          <w:sz w:val="24"/>
          <w:szCs w:val="24"/>
          <w:highlight w:val="none"/>
          <w:u w:val="single"/>
          <w:shd w:val="clear" w:fill="FFFFFF"/>
          <w:lang w:val="en-US" w:eastAsia="zh-CN" w:bidi="ar"/>
        </w:rPr>
        <w:t xml:space="preserve">     </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 xml:space="preserve"> 。当电梯发生困人故障，乙方应在接到甲方通知后20分钟内赶赴现场实施紧急救援，若因超出该时间造成的人员伤亡事故，由乙方负责（进水、人为及不可抗力因素除外）。</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（4）当电梯发生困人故障，乙方应在接到甲方通知后20分钟内赶赴现场实施紧急救援；未在20分钟内赶赴现场排除故障且遭到投诉的，按500元/次扣罚服务费；</w:t>
      </w:r>
      <w:r>
        <w:rPr>
          <w:rFonts w:hint="eastAsia" w:asciiTheme="minorEastAsia" w:hAnsiTheme="minorEastAsia" w:eastAsiaTheme="minorEastAsia" w:cstheme="minorEastAsia"/>
          <w:color w:val="auto"/>
          <w:kern w:val="0"/>
          <w:sz w:val="24"/>
          <w:szCs w:val="24"/>
          <w:highlight w:val="none"/>
          <w:shd w:val="clear" w:fill="FFFFFF"/>
          <w:lang w:val="en-US" w:eastAsia="zh-CN" w:bidi="ar-SA"/>
        </w:rPr>
        <w:t>电梯发生其他故障，乙方应在接到甲方通知后30分钟内赶到现场实施抢修；</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未在30分钟内赶赴现场实施抢修且遭到投诉的，按500元/次扣罚服务费</w:t>
      </w:r>
      <w:r>
        <w:rPr>
          <w:rFonts w:hint="eastAsia" w:asciiTheme="minorEastAsia" w:hAnsiTheme="minorEastAsia" w:eastAsiaTheme="minorEastAsia" w:cstheme="minorEastAsia"/>
          <w:color w:val="auto"/>
          <w:kern w:val="0"/>
          <w:sz w:val="24"/>
          <w:szCs w:val="24"/>
          <w:highlight w:val="none"/>
          <w:shd w:val="clear" w:fill="FFFFFF"/>
          <w:lang w:val="en-US" w:eastAsia="zh-CN" w:bidi="ar-SA"/>
        </w:rPr>
        <w:t>。</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若出现3次及以上的投诉情况发生的，视为视为乙方违约，甲方有权解除合同。</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（5）服务期内乙方应承担所维保电梯的年检工作。</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6）现场作业人员应当取得相应的《特种设备作业人员证》。为有效实施保养计划，乙方应安排熟悉所维保电梯原理、结构、性能、安全要求的特种设备作业人员负责维保工作，并督促其严格按照产品工艺要求、安全及技术规范进行维保。</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（7）作业过程中应服从甲方现场安全管理，落实现场安全防护措施，保证作业安全。需要安全监护作业的内容应书面告知甲方.</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（8）现场需采取停梯措施时，应立即通知甲方并及时组织抢修。</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（9）根据甲方的故障统计记录，乙方应至少每季度一次提出故障分析报告。报告中应包含电梯故障的统计分析、整改措施和预防措施，以及有关电梯使用管理的合理化建议。</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（10）乙方应当配合电梯检验检测机构开展电梯定期检验，并参与电梯安全管理活动。负责完成年检中发现的属于电梯本体安全隐患的整改工作。</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（11）乙方应在每年1月31日前向所在地市级特种设备监察机构报备本单位所承担维保电梯清单，如维保情况有变动，在变动后5个工作日内申报变动情况。</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（12）乙方应在维保后3日内将规定格式的电梯维保记录，张贴在电梯轿厢、电梯过道、小区公告栏或在轿厢内电子显示屏内滚动公示，接受用户监督。此外，需将维保记录公示情况拍照留存备查。</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（13）乙方应当妥善保管电梯图纸及相关资料，并在合同终止后交还甲方。应当协助甲方建立健全安全管理制度、安全技术档案、应急救援预案，配合甲方开展应急救援演练。</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（14）应按照福建省特种设备协会拟定的《福建省电梯维保行业自律公约》及《电梯维护保养最低成本指导价》要求对使用单位进行维保价格公示。同时与甲方签订合同中日常保养期限不能少于一年。</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（16）乙方不得以任何形式将维保工作非法分包、转包。</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16）应保持电梯机房卫生及电梯设备完好整洁，电梯年检时，乙方应积极配合年检工作以确认电梯年检顺利通过，如若因乙方维保不当导致年检不合格，则产生的复检费用由乙方承担，且负责完成年检中发现的整改项。</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第十条  其他约定</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1、乙方已于</w:t>
      </w:r>
      <w:r>
        <w:rPr>
          <w:rFonts w:hint="eastAsia" w:asciiTheme="minorEastAsia" w:hAnsiTheme="minorEastAsia" w:eastAsiaTheme="minorEastAsia" w:cstheme="minorEastAsia"/>
          <w:b w:val="0"/>
          <w:bCs w:val="0"/>
          <w:i w:val="0"/>
          <w:iCs w:val="0"/>
          <w:caps w:val="0"/>
          <w:color w:val="auto"/>
          <w:spacing w:val="0"/>
          <w:kern w:val="0"/>
          <w:sz w:val="24"/>
          <w:szCs w:val="24"/>
          <w:highlight w:val="none"/>
          <w:u w:val="single"/>
          <w:shd w:val="clear" w:fill="FFFFFF"/>
          <w:lang w:val="en-US" w:eastAsia="zh-CN" w:bidi="ar"/>
        </w:rPr>
        <w:t xml:space="preserve">   年  月  日</w:t>
      </w: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 xml:space="preserve">对本合同约定的电梯进行了详细的检查，检查结果应经甲方签字确认，并作为电梯现状记录由甲、乙双方保存。 </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2、甲方要求乙方提供本合同约定内容以外服务的，如强化保养、增加保养频次、安全保障需求、驻场作业服务、增加检测内容和频次等，双方均应以书面形式另行约定。</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3、维保记录是记载电梯运行、维护、保养的依据。每台电梯均应当建立独立的维保记录。维保记录应当一式两份，甲乙双方各保存一份，保存时间为4 年。维修与抢修记录均应当长期保存。</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4、根据电梯的现状，甲乙双方约定非使用原因导致的电梯困人故障次数每月每台电梯不超过2次。</w:t>
      </w:r>
    </w:p>
    <w:p>
      <w:pPr>
        <w:pageBreakBefore w:val="0"/>
        <w:kinsoku/>
        <w:overflowPunct/>
        <w:topLinePunct w:val="0"/>
        <w:autoSpaceDE/>
        <w:autoSpaceDN/>
        <w:bidi w:val="0"/>
        <w:adjustRightInd/>
        <w:snapToGrid/>
        <w:spacing w:before="0" w:beforeAutospacing="0" w:after="0" w:afterAutospacing="0" w:line="360" w:lineRule="auto"/>
        <w:ind w:left="0" w:right="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 xml:space="preserve">    第十一条  违约责任</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1、一方当事人未按约定履行义务给对方造成直接损失的，应当承担相应责任。</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2、一方当事人无法继续履行合同，应当及时通知对方，并承担因合同解除而给对方造成的直接经济损失。</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3、甲方无正当理由未按照约定期限支付费用的，经双方确认为无正当理由每延误一日应当向乙方支付延误部分费用万分之二的违约金。超过双方约定期限三十日时，本合同自动终止，赔偿事项依照合同法规定执行。</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4、合同期内甲方违反约定允许非乙方人员从事电梯维保工作的，应当按照每台每月费用10%标准支付违约金。</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5、因电梯使用管理原因（非电梯维保原因）导致人身伤亡或设备损坏、零部件丢失的，由甲方自行承担全部责任。</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6、若未按乙方的书面要求同意更换应该更换的电梯零部件而导致电梯故障或存在安全隐患的，由甲方自行承担责任。</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7、乙方违反约定，作业过程中未服从甲方现场安全管理落实现场安全防护措施，或需要安全监护的作业时作业人员只有一人，或保养时间不足，甲方可拒付当次作业或保养的当台当月保养费。</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8、乙方维保工作不符合合同约定的维保标准或要求的，乙方应当返工，并按照本每台每月费用10%标准支付违约金。返工2次（含）以上的，扣除该台单月维保费。</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9、在电梯维保作业过程中因维保原因导致自身或他人的人身伤亡或设备损坏、零部件丢失的，由乙方承担全部民事责任。</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10、因维保原因导致电梯检验不合格的，由乙方承担电梯复检费用100%。</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11、乙方不能按约定及时提供保养或救援服务，延误2次（含）以上的，甲方可解除合同。</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12、乙方将本合同约定的事项进行转包或者分包的，甲方有权解除合同，若对甲方造成损失的，还应当赔偿对甲方造成的损失。</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13、甲方因乙方违约而维权的费用（代理费、保全费等），由乙方承担。</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第十二条  合同的解除</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1、甲乙双方协商一致，可以解除合同。</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2、任何一方违约导致合同无法继续履行的，另一方可以解除合同。</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第十三条  争议解决方式</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本合同在履行过程中发生的争议，由双方当事人协商解决，协商不成的，向连城县人民法院起诉。</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第十四条  附则</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本合同生效后，双方对合同内容的变更或补充应采取书面形式，并经双方签字盖章确认，作为本合同的附件。附件与本合同具有同等的法律效力。</w:t>
      </w:r>
    </w:p>
    <w:p>
      <w:pPr>
        <w:pageBreakBefore w:val="0"/>
        <w:kinsoku/>
        <w:overflowPunct/>
        <w:topLinePunct w:val="0"/>
        <w:autoSpaceDE/>
        <w:autoSpaceDN/>
        <w:bidi w:val="0"/>
        <w:adjustRightInd/>
        <w:snapToGrid/>
        <w:spacing w:before="0" w:beforeAutospacing="0" w:after="0" w:afterAutospacing="0" w:line="360" w:lineRule="auto"/>
        <w:ind w:left="0" w:right="0" w:firstLine="480" w:firstLineChars="200"/>
        <w:outlineLvl w:val="9"/>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本合同一式叁份，甲方执贰份，乙方执壹份，具有同等效力。</w:t>
      </w:r>
    </w:p>
    <w:p>
      <w:pPr>
        <w:pageBreakBefore w:val="0"/>
        <w:widowControl/>
        <w:kinsoku/>
        <w:wordWrap/>
        <w:overflowPunct/>
        <w:topLinePunct w:val="0"/>
        <w:autoSpaceDE/>
        <w:autoSpaceDN/>
        <w:bidi w:val="0"/>
        <w:adjustRightInd/>
        <w:snapToGrid/>
        <w:spacing w:beforeAutospacing="0" w:afterAutospacing="0" w:line="360" w:lineRule="auto"/>
        <w:ind w:left="0" w:right="0"/>
        <w:jc w:val="both"/>
        <w:outlineLvl w:val="9"/>
        <w:rPr>
          <w:rFonts w:ascii="宋体" w:hAnsi="宋体" w:cs="宋体"/>
          <w:color w:val="auto"/>
          <w:sz w:val="24"/>
          <w:highlight w:val="none"/>
        </w:rPr>
      </w:pPr>
      <w:r>
        <w:rPr>
          <w:rFonts w:hint="eastAsia" w:ascii="宋体" w:hAnsi="宋体" w:cs="宋体"/>
          <w:color w:val="auto"/>
          <w:kern w:val="0"/>
          <w:sz w:val="24"/>
          <w:highlight w:val="none"/>
        </w:rPr>
        <w:t xml:space="preserve">甲方：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乙方：                    </w:t>
      </w:r>
    </w:p>
    <w:p>
      <w:pPr>
        <w:pageBreakBefore w:val="0"/>
        <w:widowControl/>
        <w:kinsoku/>
        <w:wordWrap/>
        <w:overflowPunct/>
        <w:topLinePunct w:val="0"/>
        <w:autoSpaceDE/>
        <w:autoSpaceDN/>
        <w:bidi w:val="0"/>
        <w:adjustRightInd/>
        <w:snapToGrid/>
        <w:spacing w:beforeAutospacing="0" w:afterAutospacing="0" w:line="360" w:lineRule="auto"/>
        <w:ind w:left="0" w:right="0"/>
        <w:jc w:val="both"/>
        <w:outlineLvl w:val="9"/>
        <w:rPr>
          <w:rFonts w:ascii="宋体" w:hAnsi="宋体" w:cs="宋体"/>
          <w:color w:val="auto"/>
          <w:sz w:val="24"/>
          <w:highlight w:val="none"/>
        </w:rPr>
      </w:pPr>
      <w:r>
        <w:rPr>
          <w:rFonts w:hint="eastAsia" w:ascii="宋体" w:hAnsi="宋体" w:cs="宋体"/>
          <w:color w:val="auto"/>
          <w:kern w:val="0"/>
          <w:sz w:val="24"/>
          <w:highlight w:val="none"/>
          <w:lang w:val="en-US" w:eastAsia="zh-CN"/>
        </w:rPr>
        <w:t>法定代表人</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 xml:space="preserve">              法定代表</w:t>
      </w:r>
      <w:r>
        <w:rPr>
          <w:rFonts w:hint="eastAsia" w:ascii="宋体" w:hAnsi="宋体" w:cs="宋体"/>
          <w:color w:val="auto"/>
          <w:kern w:val="0"/>
          <w:sz w:val="24"/>
          <w:highlight w:val="none"/>
        </w:rPr>
        <w:t xml:space="preserve">人：           </w:t>
      </w:r>
    </w:p>
    <w:p>
      <w:pPr>
        <w:pageBreakBefore w:val="0"/>
        <w:widowControl/>
        <w:kinsoku/>
        <w:wordWrap/>
        <w:overflowPunct/>
        <w:topLinePunct w:val="0"/>
        <w:autoSpaceDE/>
        <w:autoSpaceDN/>
        <w:bidi w:val="0"/>
        <w:adjustRightInd/>
        <w:snapToGrid/>
        <w:spacing w:beforeAutospacing="0" w:afterAutospacing="0" w:line="360" w:lineRule="auto"/>
        <w:ind w:left="0" w:right="0"/>
        <w:jc w:val="both"/>
        <w:outlineLvl w:val="9"/>
        <w:rPr>
          <w:rFonts w:ascii="宋体" w:hAnsi="宋体" w:cs="宋体"/>
          <w:color w:val="auto"/>
          <w:sz w:val="24"/>
          <w:highlight w:val="none"/>
        </w:rPr>
      </w:pPr>
      <w:r>
        <w:rPr>
          <w:rFonts w:hint="eastAsia" w:ascii="宋体" w:hAnsi="宋体" w:cs="宋体"/>
          <w:color w:val="auto"/>
          <w:kern w:val="0"/>
          <w:sz w:val="24"/>
          <w:highlight w:val="none"/>
        </w:rPr>
        <w:t xml:space="preserve">联系方法：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联系方法：      </w:t>
      </w:r>
    </w:p>
    <w:p>
      <w:pPr>
        <w:pageBreakBefore w:val="0"/>
        <w:widowControl/>
        <w:kinsoku/>
        <w:wordWrap/>
        <w:overflowPunct/>
        <w:topLinePunct w:val="0"/>
        <w:autoSpaceDE/>
        <w:autoSpaceDN/>
        <w:bidi w:val="0"/>
        <w:adjustRightInd/>
        <w:snapToGrid/>
        <w:spacing w:beforeAutospacing="0" w:afterAutospacing="0" w:line="360" w:lineRule="auto"/>
        <w:ind w:left="0" w:right="0"/>
        <w:jc w:val="both"/>
        <w:outlineLvl w:val="9"/>
        <w:rPr>
          <w:rFonts w:ascii="宋体" w:hAnsi="宋体" w:cs="宋体"/>
          <w:color w:val="auto"/>
          <w:sz w:val="24"/>
          <w:highlight w:val="none"/>
        </w:rPr>
      </w:pPr>
      <w:r>
        <w:rPr>
          <w:rFonts w:hint="eastAsia" w:ascii="宋体" w:hAnsi="宋体" w:cs="宋体"/>
          <w:color w:val="auto"/>
          <w:kern w:val="0"/>
          <w:sz w:val="24"/>
          <w:highlight w:val="none"/>
        </w:rPr>
        <w:t xml:space="preserve">开户银行：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开户银行：            </w:t>
      </w:r>
    </w:p>
    <w:p>
      <w:pPr>
        <w:pageBreakBefore w:val="0"/>
        <w:widowControl/>
        <w:kinsoku/>
        <w:wordWrap/>
        <w:overflowPunct/>
        <w:topLinePunct w:val="0"/>
        <w:autoSpaceDE/>
        <w:autoSpaceDN/>
        <w:bidi w:val="0"/>
        <w:adjustRightInd/>
        <w:snapToGrid/>
        <w:spacing w:beforeAutospacing="0" w:afterAutospacing="0" w:line="360" w:lineRule="auto"/>
        <w:ind w:left="0" w:right="0"/>
        <w:jc w:val="both"/>
        <w:outlineLvl w:val="9"/>
        <w:rPr>
          <w:rFonts w:ascii="宋体" w:hAnsi="宋体" w:cs="宋体"/>
          <w:color w:val="auto"/>
          <w:sz w:val="24"/>
          <w:highlight w:val="none"/>
        </w:rPr>
      </w:pPr>
      <w:r>
        <w:rPr>
          <w:rFonts w:hint="eastAsia" w:ascii="宋体" w:hAnsi="宋体" w:cs="宋体"/>
          <w:color w:val="auto"/>
          <w:kern w:val="0"/>
          <w:sz w:val="24"/>
          <w:highlight w:val="none"/>
        </w:rPr>
        <w:t xml:space="preserve">账号：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账号：            </w:t>
      </w:r>
    </w:p>
    <w:p>
      <w:pPr>
        <w:pageBreakBefore w:val="0"/>
        <w:widowControl/>
        <w:kinsoku/>
        <w:wordWrap/>
        <w:overflowPunct/>
        <w:topLinePunct w:val="0"/>
        <w:autoSpaceDE/>
        <w:autoSpaceDN/>
        <w:bidi w:val="0"/>
        <w:adjustRightInd/>
        <w:snapToGrid/>
        <w:spacing w:beforeAutospacing="0" w:afterAutospacing="0" w:line="360" w:lineRule="auto"/>
        <w:ind w:left="0" w:right="0"/>
        <w:jc w:val="both"/>
        <w:outlineLvl w:val="9"/>
        <w:rPr>
          <w:rFonts w:ascii="宋体" w:hAnsi="宋体" w:cs="宋体"/>
          <w:color w:val="auto"/>
          <w:sz w:val="24"/>
          <w:highlight w:val="none"/>
        </w:rPr>
      </w:pPr>
      <w:r>
        <w:rPr>
          <w:rFonts w:hint="eastAsia" w:ascii="宋体" w:hAnsi="宋体" w:cs="宋体"/>
          <w:color w:val="auto"/>
          <w:kern w:val="0"/>
          <w:sz w:val="24"/>
          <w:highlight w:val="none"/>
        </w:rPr>
        <w:t xml:space="preserve">签订地点： </w:t>
      </w:r>
    </w:p>
    <w:p>
      <w:pPr>
        <w:pageBreakBefore w:val="0"/>
        <w:widowControl/>
        <w:kinsoku/>
        <w:wordWrap/>
        <w:overflowPunct/>
        <w:topLinePunct w:val="0"/>
        <w:autoSpaceDE/>
        <w:autoSpaceDN/>
        <w:bidi w:val="0"/>
        <w:adjustRightInd/>
        <w:snapToGrid/>
        <w:spacing w:beforeAutospacing="0" w:afterAutospacing="0" w:line="360" w:lineRule="auto"/>
        <w:ind w:left="0" w:right="0"/>
        <w:jc w:val="both"/>
        <w:outlineLvl w:val="9"/>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宋体" w:hAnsi="宋体" w:cs="宋体"/>
          <w:color w:val="auto"/>
          <w:kern w:val="0"/>
          <w:sz w:val="24"/>
          <w:highlight w:val="none"/>
        </w:rPr>
        <w:t xml:space="preserve">签订日期：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月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日</w:t>
      </w:r>
    </w:p>
    <w:p>
      <w:pPr>
        <w:pageBreakBefore w:val="0"/>
        <w:kinsoku/>
        <w:wordWrap/>
        <w:overflowPunct/>
        <w:topLinePunct w:val="0"/>
        <w:autoSpaceDE/>
        <w:autoSpaceDN/>
        <w:bidi w:val="0"/>
        <w:adjustRightInd/>
        <w:snapToGrid/>
        <w:spacing w:beforeAutospacing="0" w:afterAutospacing="0" w:line="400" w:lineRule="exact"/>
        <w:ind w:left="0" w:right="0"/>
        <w:jc w:val="left"/>
        <w:outlineLvl w:val="9"/>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 xml:space="preserve">附件1 </w:t>
      </w:r>
    </w:p>
    <w:p>
      <w:pPr>
        <w:pageBreakBefore w:val="0"/>
        <w:kinsoku/>
        <w:wordWrap/>
        <w:overflowPunct/>
        <w:topLinePunct w:val="0"/>
        <w:autoSpaceDE/>
        <w:autoSpaceDN/>
        <w:bidi w:val="0"/>
        <w:adjustRightInd/>
        <w:snapToGrid/>
        <w:spacing w:beforeAutospacing="0" w:afterAutospacing="0" w:line="400" w:lineRule="exact"/>
        <w:ind w:left="0" w:right="0"/>
        <w:jc w:val="center"/>
        <w:outlineLvl w:val="9"/>
        <w:rPr>
          <w:rFonts w:hint="eastAsia" w:asciiTheme="majorEastAsia" w:hAnsiTheme="majorEastAsia" w:eastAsiaTheme="majorEastAsia" w:cstheme="majorEastAsia"/>
          <w:b w:val="0"/>
          <w:bCs w:val="0"/>
          <w:color w:val="auto"/>
          <w:sz w:val="24"/>
          <w:szCs w:val="24"/>
          <w:highlight w:val="none"/>
          <w:lang w:val="en-US" w:eastAsia="zh-CN"/>
        </w:rPr>
      </w:pPr>
      <w:r>
        <w:rPr>
          <w:rFonts w:hint="eastAsia" w:asciiTheme="majorEastAsia" w:hAnsiTheme="majorEastAsia" w:eastAsiaTheme="majorEastAsia" w:cstheme="majorEastAsia"/>
          <w:b w:val="0"/>
          <w:bCs w:val="0"/>
          <w:color w:val="auto"/>
          <w:sz w:val="24"/>
          <w:szCs w:val="24"/>
          <w:highlight w:val="none"/>
          <w:lang w:val="en-US" w:eastAsia="zh-CN"/>
        </w:rPr>
        <w:t xml:space="preserve"> 电梯维保300元以内免费更换</w:t>
      </w:r>
      <w:r>
        <w:rPr>
          <w:rFonts w:hint="eastAsia" w:asciiTheme="minorEastAsia" w:hAnsiTheme="minorEastAsia" w:eastAsiaTheme="minorEastAsia" w:cstheme="minorEastAsia"/>
          <w:color w:val="auto"/>
          <w:sz w:val="24"/>
          <w:szCs w:val="24"/>
          <w:highlight w:val="none"/>
          <w:lang w:val="en-US" w:eastAsia="zh-CN"/>
        </w:rPr>
        <w:t>零部件</w:t>
      </w:r>
      <w:r>
        <w:rPr>
          <w:rFonts w:hint="eastAsia" w:asciiTheme="majorEastAsia" w:hAnsiTheme="majorEastAsia" w:eastAsiaTheme="majorEastAsia" w:cstheme="majorEastAsia"/>
          <w:b w:val="0"/>
          <w:bCs w:val="0"/>
          <w:color w:val="auto"/>
          <w:sz w:val="24"/>
          <w:szCs w:val="24"/>
          <w:highlight w:val="none"/>
          <w:lang w:val="en-US" w:eastAsia="zh-CN"/>
        </w:rPr>
        <w:t>清单（原厂配件）</w:t>
      </w:r>
    </w:p>
    <w:tbl>
      <w:tblPr>
        <w:tblStyle w:val="22"/>
        <w:tblW w:w="90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8"/>
        <w:gridCol w:w="5898"/>
        <w:gridCol w:w="2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序号</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产品名称</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限速器开关</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夹绳器开关</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控制柜上、下按钮、转换及急停开关</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电梯控制变压器保险管</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硅堆</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6</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轿顶检修上、下按钮、转换、急停开关</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7</w:t>
            </w:r>
          </w:p>
        </w:tc>
        <w:tc>
          <w:tcPr>
            <w:tcW w:w="589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电梯厅门外呼按钮</w:t>
            </w:r>
          </w:p>
        </w:tc>
        <w:tc>
          <w:tcPr>
            <w:tcW w:w="234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bottom"/>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8</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AZ06KT开关</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9</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厅门滑块</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10</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电梯轿厢呼梯按钮</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11</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轿门滑块</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轿门偏心轮</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13</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厅门偏心轮</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14</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KCB抱闸检修开关</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15</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LX29行程开关</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16</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平按钮</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17</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安全钳开关</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18</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应急照明灯泡(36V低压灯泡)</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19</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主导轨方油壶</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副导轨方油壶、主导轨油壶</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21</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油毛毡</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22</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电梯厅门外呼显示遮阳板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23</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消防开关</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24</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消防有机玻璃板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25</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三角锁</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26</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层门偏心轮</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27</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层门滑块</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28</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层门电气门锁副触头</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29</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底坑涨紧轮开关</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30</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底坑急停开关</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31</w:t>
            </w:r>
          </w:p>
        </w:tc>
        <w:tc>
          <w:tcPr>
            <w:tcW w:w="589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LX26-井道减速开关</w:t>
            </w:r>
          </w:p>
        </w:tc>
        <w:tc>
          <w:tcPr>
            <w:tcW w:w="234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bottom"/>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32</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Fonts w:hint="eastAsia" w:asciiTheme="minorEastAsia" w:hAnsiTheme="minorEastAsia" w:eastAsiaTheme="minorEastAsia" w:cstheme="minorEastAsia"/>
                <w:i w:val="0"/>
                <w:iCs w:val="0"/>
                <w:color w:val="auto"/>
                <w:sz w:val="24"/>
                <w:szCs w:val="24"/>
                <w:highlight w:val="none"/>
                <w:u w:val="none"/>
              </w:rPr>
            </w:pPr>
            <w:r>
              <w:rPr>
                <w:rStyle w:val="34"/>
                <w:rFonts w:hint="eastAsia" w:asciiTheme="minorEastAsia" w:hAnsiTheme="minorEastAsia" w:eastAsiaTheme="minorEastAsia" w:cstheme="minorEastAsia"/>
                <w:color w:val="auto"/>
                <w:sz w:val="24"/>
                <w:szCs w:val="24"/>
                <w:highlight w:val="none"/>
                <w:lang w:val="en-US" w:eastAsia="zh-CN" w:bidi="ar"/>
              </w:rPr>
              <w:t>井道限位开关</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33</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Style w:val="34"/>
                <w:rFonts w:hint="eastAsia" w:asciiTheme="minorEastAsia" w:hAnsiTheme="minorEastAsia" w:eastAsiaTheme="minorEastAsia" w:cstheme="minorEastAsia"/>
                <w:color w:val="auto"/>
                <w:sz w:val="24"/>
                <w:szCs w:val="24"/>
                <w:highlight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接触器（抱间）</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34</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Style w:val="34"/>
                <w:rFonts w:hint="eastAsia" w:asciiTheme="minorEastAsia" w:hAnsiTheme="minorEastAsia" w:eastAsiaTheme="minorEastAsia" w:cstheme="minorEastAsia"/>
                <w:color w:val="auto"/>
                <w:sz w:val="24"/>
                <w:szCs w:val="24"/>
                <w:highlight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接触器（安全回路）</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35</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Style w:val="34"/>
                <w:rFonts w:hint="eastAsia" w:asciiTheme="minorEastAsia" w:hAnsiTheme="minorEastAsia" w:eastAsiaTheme="minorEastAsia" w:cstheme="minorEastAsia"/>
                <w:color w:val="auto"/>
                <w:sz w:val="24"/>
                <w:szCs w:val="24"/>
                <w:highlight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警铃</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Calibri" w:hAnsi="Calibri" w:eastAsia="宋体" w:cs="Arial"/>
                <w:color w:val="auto"/>
                <w:kern w:val="2"/>
                <w:sz w:val="21"/>
                <w:szCs w:val="22"/>
                <w:highlight w:val="none"/>
                <w:lang w:val="en-US" w:eastAsia="zh-CN" w:bidi="ar-SA"/>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36</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Style w:val="34"/>
                <w:rFonts w:hint="eastAsia" w:asciiTheme="minorEastAsia" w:hAnsiTheme="minorEastAsia" w:eastAsiaTheme="minorEastAsia" w:cstheme="minorEastAsia"/>
                <w:color w:val="auto"/>
                <w:sz w:val="24"/>
                <w:szCs w:val="24"/>
                <w:highlight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电梯风扇</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37</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Style w:val="34"/>
                <w:rFonts w:hint="eastAsia" w:asciiTheme="minorEastAsia" w:hAnsiTheme="minorEastAsia" w:eastAsiaTheme="minorEastAsia" w:cstheme="minorEastAsia"/>
                <w:color w:val="auto"/>
                <w:sz w:val="24"/>
                <w:szCs w:val="24"/>
                <w:highlight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厅门挂板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38</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Style w:val="34"/>
                <w:rFonts w:hint="eastAsia" w:asciiTheme="minorEastAsia" w:hAnsiTheme="minorEastAsia" w:eastAsiaTheme="minorEastAsia" w:cstheme="minorEastAsia"/>
                <w:color w:val="auto"/>
                <w:sz w:val="24"/>
                <w:szCs w:val="24"/>
                <w:highlight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轿门挂板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39</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Style w:val="34"/>
                <w:rFonts w:hint="eastAsia" w:asciiTheme="minorEastAsia" w:hAnsiTheme="minorEastAsia" w:eastAsiaTheme="minorEastAsia" w:cstheme="minorEastAsia"/>
                <w:color w:val="auto"/>
                <w:sz w:val="24"/>
                <w:szCs w:val="24"/>
                <w:highlight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相序保护器</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40</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Style w:val="34"/>
                <w:rFonts w:hint="default" w:asciiTheme="minorEastAsia" w:hAnsiTheme="minorEastAsia" w:eastAsiaTheme="minorEastAsia" w:cstheme="minorEastAsia"/>
                <w:color w:val="auto"/>
                <w:sz w:val="24"/>
                <w:szCs w:val="24"/>
                <w:highlight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2P空气开关</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41</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Style w:val="34"/>
                <w:rFonts w:hint="default" w:asciiTheme="minorEastAsia" w:hAnsiTheme="minorEastAsia" w:eastAsiaTheme="minorEastAsia" w:cstheme="minorEastAsia"/>
                <w:color w:val="auto"/>
                <w:sz w:val="24"/>
                <w:szCs w:val="24"/>
                <w:highlight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3P空气开关</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42</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Style w:val="34"/>
                <w:rFonts w:hint="eastAsia" w:asciiTheme="minorEastAsia" w:hAnsiTheme="minorEastAsia" w:eastAsiaTheme="minorEastAsia" w:cstheme="minorEastAsia"/>
                <w:color w:val="auto"/>
                <w:sz w:val="24"/>
                <w:szCs w:val="24"/>
                <w:highlight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63A主电源断路器</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43</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Style w:val="34"/>
                <w:rFonts w:hint="default" w:asciiTheme="minorEastAsia" w:hAnsiTheme="minorEastAsia" w:eastAsiaTheme="minorEastAsia" w:cstheme="minorEastAsia"/>
                <w:color w:val="auto"/>
                <w:sz w:val="24"/>
                <w:szCs w:val="24"/>
                <w:highlight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12V电梯应急电源</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44</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Style w:val="34"/>
                <w:rFonts w:hint="eastAsia" w:asciiTheme="minorEastAsia" w:hAnsiTheme="minorEastAsia" w:eastAsiaTheme="minorEastAsia" w:cstheme="minorEastAsia"/>
                <w:color w:val="auto"/>
                <w:sz w:val="24"/>
                <w:szCs w:val="24"/>
                <w:highlight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门机皮带</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45</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Style w:val="34"/>
                <w:rFonts w:hint="eastAsia" w:asciiTheme="minorEastAsia" w:hAnsiTheme="minorEastAsia" w:eastAsiaTheme="minorEastAsia" w:cstheme="minorEastAsia"/>
                <w:color w:val="auto"/>
                <w:sz w:val="24"/>
                <w:szCs w:val="24"/>
                <w:highlight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涨绳绳轴承</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bottom"/>
              <w:outlineLvl w:val="9"/>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46</w:t>
            </w:r>
          </w:p>
        </w:tc>
        <w:tc>
          <w:tcPr>
            <w:tcW w:w="5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right="0"/>
              <w:jc w:val="center"/>
              <w:textAlignment w:val="center"/>
              <w:outlineLvl w:val="9"/>
              <w:rPr>
                <w:rStyle w:val="34"/>
                <w:rFonts w:hint="eastAsia" w:asciiTheme="minorEastAsia" w:hAnsiTheme="minorEastAsia" w:eastAsiaTheme="minorEastAsia" w:cstheme="minorEastAsia"/>
                <w:color w:val="auto"/>
                <w:sz w:val="24"/>
                <w:szCs w:val="24"/>
                <w:highlight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制动电阻</w:t>
            </w:r>
          </w:p>
        </w:tc>
        <w:tc>
          <w:tcPr>
            <w:tcW w:w="2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ind w:left="0" w:leftChars="0" w:right="0" w:rightChars="0"/>
              <w:jc w:val="center"/>
              <w:textAlignment w:val="center"/>
              <w:outlineLvl w:val="9"/>
              <w:rPr>
                <w:rFonts w:hint="eastAsia" w:asciiTheme="minorEastAsia" w:hAnsiTheme="minorEastAsia" w:eastAsiaTheme="minorEastAsia" w:cstheme="minorEastAsia"/>
                <w:color w:val="auto"/>
                <w:kern w:val="2"/>
                <w:sz w:val="24"/>
                <w:szCs w:val="24"/>
                <w:highlight w:val="none"/>
                <w:u w:val="none"/>
                <w:lang w:val="en-US" w:eastAsia="zh-CN" w:bidi="ar"/>
              </w:rPr>
            </w:pPr>
            <w:r>
              <w:rPr>
                <w:rStyle w:val="34"/>
                <w:rFonts w:hint="eastAsia" w:asciiTheme="minorEastAsia" w:hAnsiTheme="minorEastAsia" w:eastAsiaTheme="minorEastAsia" w:cstheme="minorEastAsia"/>
                <w:color w:val="auto"/>
                <w:sz w:val="24"/>
                <w:szCs w:val="24"/>
                <w:highlight w:val="none"/>
                <w:lang w:val="en-US" w:eastAsia="zh-CN" w:bidi="ar"/>
              </w:rPr>
              <w:t>只</w:t>
            </w:r>
          </w:p>
        </w:tc>
      </w:tr>
    </w:tbl>
    <w:p>
      <w:pPr>
        <w:pageBreakBefore w:val="0"/>
        <w:kinsoku/>
        <w:overflowPunct/>
        <w:topLinePunct w:val="0"/>
        <w:autoSpaceDE/>
        <w:autoSpaceDN/>
        <w:bidi w:val="0"/>
        <w:adjustRightInd/>
        <w:snapToGrid/>
        <w:spacing w:before="0" w:beforeAutospacing="0" w:after="0" w:afterAutospacing="0" w:line="360" w:lineRule="auto"/>
        <w:ind w:left="0" w:right="0"/>
        <w:outlineLvl w:val="9"/>
        <w:rPr>
          <w:rFonts w:hint="eastAsia" w:asciiTheme="minorEastAsia" w:hAnsiTheme="minorEastAsia" w:eastAsiaTheme="minorEastAsia" w:cstheme="minorEastAsia"/>
          <w:b w:val="0"/>
          <w:bCs w:val="0"/>
          <w:color w:val="auto"/>
          <w:kern w:val="2"/>
          <w:sz w:val="24"/>
          <w:szCs w:val="24"/>
          <w:highlight w:val="none"/>
          <w:shd w:val="clear"/>
          <w:lang w:val="en-US" w:eastAsia="zh-CN"/>
        </w:rPr>
      </w:pPr>
    </w:p>
    <w:p>
      <w:pPr>
        <w:jc w:val="left"/>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附件2</w:t>
      </w:r>
    </w:p>
    <w:p>
      <w:pPr>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电梯维修保养月考核表</w:t>
      </w:r>
    </w:p>
    <w:p>
      <w:pPr>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项目名称：</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8"/>
        <w:gridCol w:w="1986"/>
        <w:gridCol w:w="580"/>
        <w:gridCol w:w="1918"/>
        <w:gridCol w:w="960"/>
        <w:gridCol w:w="861"/>
        <w:gridCol w:w="835"/>
        <w:gridCol w:w="75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val="0"/>
            <w:vAlign w:val="center"/>
          </w:tcPr>
          <w:p>
            <w:pPr>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维保单位</w:t>
            </w:r>
          </w:p>
        </w:tc>
        <w:tc>
          <w:tcPr>
            <w:tcW w:w="1288" w:type="pct"/>
            <w:gridSpan w:val="2"/>
            <w:noWrap w:val="0"/>
            <w:vAlign w:val="center"/>
          </w:tcPr>
          <w:p>
            <w:pPr>
              <w:jc w:val="center"/>
              <w:rPr>
                <w:rFonts w:hint="eastAsia" w:asciiTheme="minorEastAsia" w:hAnsiTheme="minorEastAsia" w:eastAsiaTheme="minorEastAsia" w:cstheme="minorEastAsia"/>
                <w:color w:val="auto"/>
                <w:sz w:val="24"/>
                <w:szCs w:val="24"/>
                <w:highlight w:val="none"/>
                <w:vertAlign w:val="baseline"/>
                <w:lang w:eastAsia="zh-CN"/>
              </w:rPr>
            </w:pPr>
          </w:p>
        </w:tc>
        <w:tc>
          <w:tcPr>
            <w:tcW w:w="963" w:type="pct"/>
            <w:noWrap w:val="0"/>
            <w:vAlign w:val="center"/>
          </w:tcPr>
          <w:p>
            <w:pPr>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电梯责任人（考核人）</w:t>
            </w:r>
          </w:p>
        </w:tc>
        <w:tc>
          <w:tcPr>
            <w:tcW w:w="914" w:type="pct"/>
            <w:gridSpan w:val="2"/>
            <w:noWrap w:val="0"/>
            <w:vAlign w:val="center"/>
          </w:tcPr>
          <w:p>
            <w:pPr>
              <w:jc w:val="center"/>
              <w:rPr>
                <w:rFonts w:hint="eastAsia" w:asciiTheme="minorEastAsia" w:hAnsiTheme="minorEastAsia" w:eastAsiaTheme="minorEastAsia" w:cstheme="minorEastAsia"/>
                <w:color w:val="auto"/>
                <w:sz w:val="24"/>
                <w:szCs w:val="24"/>
                <w:highlight w:val="none"/>
                <w:vertAlign w:val="baseline"/>
                <w:lang w:eastAsia="zh-CN"/>
              </w:rPr>
            </w:pPr>
          </w:p>
        </w:tc>
        <w:tc>
          <w:tcPr>
            <w:tcW w:w="419" w:type="pct"/>
            <w:noWrap w:val="0"/>
            <w:vAlign w:val="center"/>
          </w:tcPr>
          <w:p>
            <w:pPr>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考核日期</w:t>
            </w:r>
          </w:p>
        </w:tc>
        <w:tc>
          <w:tcPr>
            <w:tcW w:w="742" w:type="pct"/>
            <w:gridSpan w:val="2"/>
            <w:noWrap w:val="0"/>
            <w:vAlign w:val="center"/>
          </w:tcPr>
          <w:p>
            <w:pPr>
              <w:jc w:val="center"/>
              <w:rPr>
                <w:rFonts w:hint="eastAsia" w:asciiTheme="minorEastAsia" w:hAnsiTheme="minorEastAsia" w:eastAsiaTheme="minorEastAsia" w:cstheme="minorEastAsia"/>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val="0"/>
            <w:vAlign w:val="center"/>
          </w:tcPr>
          <w:p>
            <w:pPr>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项目</w:t>
            </w:r>
          </w:p>
        </w:tc>
        <w:tc>
          <w:tcPr>
            <w:tcW w:w="2251" w:type="pct"/>
            <w:gridSpan w:val="3"/>
            <w:noWrap w:val="0"/>
            <w:vAlign w:val="center"/>
          </w:tcPr>
          <w:p>
            <w:pPr>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考核内容</w:t>
            </w:r>
          </w:p>
        </w:tc>
        <w:tc>
          <w:tcPr>
            <w:tcW w:w="914" w:type="pct"/>
            <w:gridSpan w:val="2"/>
            <w:noWrap w:val="0"/>
            <w:vAlign w:val="center"/>
          </w:tcPr>
          <w:p>
            <w:pPr>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检查及扣分</w:t>
            </w:r>
          </w:p>
          <w:p>
            <w:pPr>
              <w:jc w:val="center"/>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auto"/>
                <w:sz w:val="24"/>
                <w:szCs w:val="24"/>
                <w:highlight w:val="none"/>
                <w:vertAlign w:val="baseline"/>
                <w:lang w:eastAsia="zh-CN"/>
              </w:rPr>
              <w:t>情况</w:t>
            </w:r>
          </w:p>
        </w:tc>
        <w:tc>
          <w:tcPr>
            <w:tcW w:w="419" w:type="pct"/>
            <w:noWrap w:val="0"/>
            <w:vAlign w:val="center"/>
          </w:tcPr>
          <w:p>
            <w:pPr>
              <w:jc w:val="center"/>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auto"/>
                <w:sz w:val="24"/>
                <w:szCs w:val="24"/>
                <w:highlight w:val="none"/>
                <w:vertAlign w:val="baseline"/>
                <w:lang w:eastAsia="zh-CN"/>
              </w:rPr>
              <w:t>扣分值</w:t>
            </w:r>
          </w:p>
        </w:tc>
        <w:tc>
          <w:tcPr>
            <w:tcW w:w="378" w:type="pct"/>
            <w:noWrap w:val="0"/>
            <w:vAlign w:val="center"/>
          </w:tcPr>
          <w:p>
            <w:pPr>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评分</w:t>
            </w:r>
          </w:p>
        </w:tc>
        <w:tc>
          <w:tcPr>
            <w:tcW w:w="364" w:type="pct"/>
            <w:noWrap w:val="0"/>
            <w:vAlign w:val="center"/>
          </w:tcPr>
          <w:p>
            <w:pPr>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672" w:type="pct"/>
            <w:noWrap w:val="0"/>
            <w:vAlign w:val="center"/>
          </w:tcPr>
          <w:p>
            <w:pPr>
              <w:jc w:val="both"/>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工作总结</w:t>
            </w:r>
          </w:p>
        </w:tc>
        <w:tc>
          <w:tcPr>
            <w:tcW w:w="2251" w:type="pct"/>
            <w:gridSpan w:val="3"/>
            <w:noWrap w:val="0"/>
            <w:vAlign w:val="center"/>
          </w:tcPr>
          <w:p>
            <w:pPr>
              <w:jc w:val="both"/>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不按规定提交当月工作总结，考核表及设备状况报告书扣2分；不按规定每年的12月中旬前向提供负责维保电梯状况报告扣4分。</w:t>
            </w:r>
          </w:p>
        </w:tc>
        <w:tc>
          <w:tcPr>
            <w:tcW w:w="914" w:type="pct"/>
            <w:gridSpan w:val="2"/>
            <w:noWrap w:val="0"/>
            <w:vAlign w:val="center"/>
          </w:tcPr>
          <w:p>
            <w:pPr>
              <w:jc w:val="both"/>
              <w:rPr>
                <w:rFonts w:hint="eastAsia" w:asciiTheme="minorEastAsia" w:hAnsiTheme="minorEastAsia" w:eastAsiaTheme="minorEastAsia" w:cstheme="minorEastAsia"/>
                <w:color w:val="auto"/>
                <w:sz w:val="24"/>
                <w:szCs w:val="24"/>
                <w:highlight w:val="none"/>
                <w:vertAlign w:val="baseline"/>
                <w:lang w:eastAsia="zh-CN"/>
              </w:rPr>
            </w:pPr>
          </w:p>
        </w:tc>
        <w:tc>
          <w:tcPr>
            <w:tcW w:w="419" w:type="pct"/>
            <w:noWrap w:val="0"/>
            <w:vAlign w:val="center"/>
          </w:tcPr>
          <w:p>
            <w:pPr>
              <w:jc w:val="cente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val="en-US" w:eastAsia="zh-CN"/>
              </w:rPr>
              <w:t>20</w:t>
            </w:r>
          </w:p>
        </w:tc>
        <w:tc>
          <w:tcPr>
            <w:tcW w:w="378" w:type="pct"/>
            <w:noWrap w:val="0"/>
            <w:vAlign w:val="center"/>
          </w:tcPr>
          <w:p>
            <w:pPr>
              <w:jc w:val="both"/>
              <w:rPr>
                <w:rFonts w:hint="eastAsia" w:asciiTheme="minorEastAsia" w:hAnsiTheme="minorEastAsia" w:eastAsiaTheme="minorEastAsia" w:cstheme="minorEastAsia"/>
                <w:color w:val="auto"/>
                <w:sz w:val="24"/>
                <w:szCs w:val="24"/>
                <w:highlight w:val="none"/>
                <w:vertAlign w:val="baseline"/>
                <w:lang w:val="en-US" w:eastAsia="zh-CN"/>
              </w:rPr>
            </w:pPr>
          </w:p>
        </w:tc>
        <w:tc>
          <w:tcPr>
            <w:tcW w:w="364" w:type="pct"/>
            <w:vMerge w:val="restart"/>
            <w:noWrap w:val="0"/>
            <w:vAlign w:val="center"/>
          </w:tcPr>
          <w:p>
            <w:pPr>
              <w:jc w:val="both"/>
              <w:rPr>
                <w:rFonts w:hint="eastAsia" w:asciiTheme="minorEastAsia" w:hAnsiTheme="minorEastAsia" w:eastAsiaTheme="minorEastAsia" w:cstheme="minorEastAsia"/>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val="0"/>
            <w:vAlign w:val="center"/>
          </w:tcPr>
          <w:p>
            <w:pPr>
              <w:jc w:val="both"/>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及时率</w:t>
            </w:r>
          </w:p>
        </w:tc>
        <w:tc>
          <w:tcPr>
            <w:tcW w:w="2251" w:type="pct"/>
            <w:gridSpan w:val="3"/>
            <w:noWrap w:val="0"/>
            <w:vAlign w:val="center"/>
          </w:tcPr>
          <w:p>
            <w:pPr>
              <w:jc w:val="both"/>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在接到故障申报后，不按合同规定的时间内(</w:t>
            </w:r>
            <w:r>
              <w:rPr>
                <w:rFonts w:hint="eastAsia" w:asciiTheme="minorEastAsia" w:hAnsiTheme="minorEastAsia" w:eastAsiaTheme="minorEastAsia" w:cstheme="minorEastAsia"/>
                <w:color w:val="auto"/>
                <w:sz w:val="24"/>
                <w:szCs w:val="24"/>
                <w:highlight w:val="none"/>
                <w:vertAlign w:val="baseline"/>
                <w:lang w:val="en-US" w:eastAsia="zh-CN"/>
              </w:rPr>
              <w:t>20</w:t>
            </w:r>
            <w:r>
              <w:rPr>
                <w:rFonts w:hint="eastAsia" w:asciiTheme="minorEastAsia" w:hAnsiTheme="minorEastAsia" w:eastAsiaTheme="minorEastAsia" w:cstheme="minorEastAsia"/>
                <w:color w:val="auto"/>
                <w:sz w:val="24"/>
                <w:szCs w:val="24"/>
                <w:highlight w:val="none"/>
                <w:vertAlign w:val="baseline"/>
                <w:lang w:eastAsia="zh-CN"/>
              </w:rPr>
              <w:t>分钟)到场每出现一次扣2分；不到场每出现一次扣10分。</w:t>
            </w:r>
          </w:p>
        </w:tc>
        <w:tc>
          <w:tcPr>
            <w:tcW w:w="914" w:type="pct"/>
            <w:gridSpan w:val="2"/>
            <w:noWrap w:val="0"/>
            <w:vAlign w:val="center"/>
          </w:tcPr>
          <w:p>
            <w:pPr>
              <w:jc w:val="both"/>
              <w:rPr>
                <w:rFonts w:hint="eastAsia" w:asciiTheme="minorEastAsia" w:hAnsiTheme="minorEastAsia" w:eastAsiaTheme="minorEastAsia" w:cstheme="minorEastAsia"/>
                <w:color w:val="auto"/>
                <w:sz w:val="24"/>
                <w:szCs w:val="24"/>
                <w:highlight w:val="none"/>
                <w:vertAlign w:val="baseline"/>
                <w:lang w:eastAsia="zh-CN"/>
              </w:rPr>
            </w:pPr>
          </w:p>
        </w:tc>
        <w:tc>
          <w:tcPr>
            <w:tcW w:w="419" w:type="pct"/>
            <w:noWrap w:val="0"/>
            <w:vAlign w:val="center"/>
          </w:tcPr>
          <w:p>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20</w:t>
            </w:r>
          </w:p>
        </w:tc>
        <w:tc>
          <w:tcPr>
            <w:tcW w:w="378" w:type="pct"/>
            <w:noWrap w:val="0"/>
            <w:vAlign w:val="center"/>
          </w:tcPr>
          <w:p>
            <w:pPr>
              <w:jc w:val="both"/>
              <w:rPr>
                <w:rFonts w:hint="eastAsia" w:asciiTheme="minorEastAsia" w:hAnsiTheme="minorEastAsia" w:eastAsiaTheme="minorEastAsia" w:cstheme="minorEastAsia"/>
                <w:color w:val="auto"/>
                <w:sz w:val="24"/>
                <w:szCs w:val="24"/>
                <w:highlight w:val="none"/>
                <w:vertAlign w:val="baseline"/>
                <w:lang w:val="en-US" w:eastAsia="zh-CN"/>
              </w:rPr>
            </w:pPr>
          </w:p>
        </w:tc>
        <w:tc>
          <w:tcPr>
            <w:tcW w:w="364" w:type="pct"/>
            <w:vMerge w:val="continue"/>
            <w:noWrap w:val="0"/>
            <w:vAlign w:val="center"/>
          </w:tcPr>
          <w:p>
            <w:pPr>
              <w:jc w:val="both"/>
              <w:rPr>
                <w:rFonts w:hint="eastAsia" w:asciiTheme="minorEastAsia" w:hAnsiTheme="minorEastAsia" w:eastAsiaTheme="minorEastAsia" w:cstheme="minorEastAsia"/>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val="0"/>
            <w:vAlign w:val="center"/>
          </w:tcPr>
          <w:p>
            <w:pPr>
              <w:jc w:val="both"/>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故障处理情况</w:t>
            </w:r>
          </w:p>
        </w:tc>
        <w:tc>
          <w:tcPr>
            <w:tcW w:w="2251" w:type="pct"/>
            <w:gridSpan w:val="3"/>
            <w:noWrap w:val="0"/>
            <w:vAlign w:val="center"/>
          </w:tcPr>
          <w:p>
            <w:pPr>
              <w:jc w:val="both"/>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1、对一般故障不在规定时间(2个小时)内排除出现一次扣2分；2、对重大故障排除不在承诺时间内完成每发生一次扣5分；3、单台梯月故障超5%每出现1台扣5分</w:t>
            </w:r>
          </w:p>
        </w:tc>
        <w:tc>
          <w:tcPr>
            <w:tcW w:w="914" w:type="pct"/>
            <w:gridSpan w:val="2"/>
            <w:noWrap w:val="0"/>
            <w:vAlign w:val="center"/>
          </w:tcPr>
          <w:p>
            <w:pPr>
              <w:jc w:val="both"/>
              <w:rPr>
                <w:rFonts w:hint="eastAsia" w:asciiTheme="minorEastAsia" w:hAnsiTheme="minorEastAsia" w:eastAsiaTheme="minorEastAsia" w:cstheme="minorEastAsia"/>
                <w:color w:val="auto"/>
                <w:sz w:val="24"/>
                <w:szCs w:val="24"/>
                <w:highlight w:val="none"/>
                <w:vertAlign w:val="baseline"/>
                <w:lang w:eastAsia="zh-CN"/>
              </w:rPr>
            </w:pPr>
          </w:p>
        </w:tc>
        <w:tc>
          <w:tcPr>
            <w:tcW w:w="419" w:type="pct"/>
            <w:noWrap w:val="0"/>
            <w:vAlign w:val="center"/>
          </w:tcPr>
          <w:p>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10</w:t>
            </w:r>
          </w:p>
        </w:tc>
        <w:tc>
          <w:tcPr>
            <w:tcW w:w="378" w:type="pct"/>
            <w:noWrap w:val="0"/>
            <w:vAlign w:val="center"/>
          </w:tcPr>
          <w:p>
            <w:pPr>
              <w:jc w:val="both"/>
              <w:rPr>
                <w:rFonts w:hint="eastAsia" w:asciiTheme="minorEastAsia" w:hAnsiTheme="minorEastAsia" w:eastAsiaTheme="minorEastAsia" w:cstheme="minorEastAsia"/>
                <w:color w:val="auto"/>
                <w:sz w:val="24"/>
                <w:szCs w:val="24"/>
                <w:highlight w:val="none"/>
                <w:vertAlign w:val="baseline"/>
                <w:lang w:val="en-US" w:eastAsia="zh-CN"/>
              </w:rPr>
            </w:pPr>
          </w:p>
        </w:tc>
        <w:tc>
          <w:tcPr>
            <w:tcW w:w="364" w:type="pct"/>
            <w:vMerge w:val="continue"/>
            <w:noWrap w:val="0"/>
            <w:vAlign w:val="center"/>
          </w:tcPr>
          <w:p>
            <w:pPr>
              <w:jc w:val="both"/>
              <w:rPr>
                <w:rFonts w:hint="eastAsia" w:asciiTheme="minorEastAsia" w:hAnsiTheme="minorEastAsia" w:eastAsiaTheme="minorEastAsia" w:cstheme="minorEastAsia"/>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val="0"/>
            <w:vAlign w:val="center"/>
          </w:tcPr>
          <w:p>
            <w:pPr>
              <w:jc w:val="both"/>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维护保养</w:t>
            </w:r>
          </w:p>
        </w:tc>
        <w:tc>
          <w:tcPr>
            <w:tcW w:w="2251" w:type="pct"/>
            <w:gridSpan w:val="3"/>
            <w:noWrap w:val="0"/>
            <w:vAlign w:val="center"/>
          </w:tcPr>
          <w:p>
            <w:pPr>
              <w:jc w:val="both"/>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1、每半月进行一次例行保养，不按要求进行保养扣4分；2、进行保养不填写相关记录每出现一次扣2分；3、按合同约定的维保项目达不到标准，每发现1处扣2分；4、每次维保检测工作完成后，不及时清理工作现场每发生一次扣2分；5、乙方维保人员不服从甲方人员管理每人/次扣2分</w:t>
            </w:r>
          </w:p>
        </w:tc>
        <w:tc>
          <w:tcPr>
            <w:tcW w:w="914" w:type="pct"/>
            <w:gridSpan w:val="2"/>
            <w:noWrap w:val="0"/>
            <w:vAlign w:val="center"/>
          </w:tcPr>
          <w:p>
            <w:pPr>
              <w:jc w:val="both"/>
              <w:rPr>
                <w:rFonts w:hint="eastAsia" w:asciiTheme="minorEastAsia" w:hAnsiTheme="minorEastAsia" w:eastAsiaTheme="minorEastAsia" w:cstheme="minorEastAsia"/>
                <w:color w:val="auto"/>
                <w:sz w:val="24"/>
                <w:szCs w:val="24"/>
                <w:highlight w:val="none"/>
                <w:vertAlign w:val="baseline"/>
                <w:lang w:eastAsia="zh-CN"/>
              </w:rPr>
            </w:pPr>
          </w:p>
        </w:tc>
        <w:tc>
          <w:tcPr>
            <w:tcW w:w="419" w:type="pct"/>
            <w:noWrap w:val="0"/>
            <w:vAlign w:val="center"/>
          </w:tcPr>
          <w:p>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20</w:t>
            </w:r>
          </w:p>
        </w:tc>
        <w:tc>
          <w:tcPr>
            <w:tcW w:w="378" w:type="pct"/>
            <w:noWrap w:val="0"/>
            <w:vAlign w:val="center"/>
          </w:tcPr>
          <w:p>
            <w:pPr>
              <w:jc w:val="both"/>
              <w:rPr>
                <w:rFonts w:hint="eastAsia" w:asciiTheme="minorEastAsia" w:hAnsiTheme="minorEastAsia" w:eastAsiaTheme="minorEastAsia" w:cstheme="minorEastAsia"/>
                <w:color w:val="auto"/>
                <w:sz w:val="24"/>
                <w:szCs w:val="24"/>
                <w:highlight w:val="none"/>
                <w:vertAlign w:val="baseline"/>
                <w:lang w:val="en-US" w:eastAsia="zh-CN"/>
              </w:rPr>
            </w:pPr>
          </w:p>
        </w:tc>
        <w:tc>
          <w:tcPr>
            <w:tcW w:w="364" w:type="pct"/>
            <w:vMerge w:val="continue"/>
            <w:noWrap w:val="0"/>
            <w:vAlign w:val="center"/>
          </w:tcPr>
          <w:p>
            <w:pPr>
              <w:jc w:val="both"/>
              <w:rPr>
                <w:rFonts w:hint="eastAsia" w:asciiTheme="minorEastAsia" w:hAnsiTheme="minorEastAsia" w:eastAsiaTheme="minorEastAsia" w:cstheme="minorEastAsia"/>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val="0"/>
            <w:vAlign w:val="center"/>
          </w:tcPr>
          <w:p>
            <w:pPr>
              <w:jc w:val="both"/>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环境卫生</w:t>
            </w:r>
          </w:p>
        </w:tc>
        <w:tc>
          <w:tcPr>
            <w:tcW w:w="2251" w:type="pct"/>
            <w:gridSpan w:val="3"/>
            <w:noWrap w:val="0"/>
            <w:vAlign w:val="center"/>
          </w:tcPr>
          <w:p>
            <w:pPr>
              <w:jc w:val="both"/>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机房，轿内顶棚，轿顶，底坑每发现一处不清洁扣1分</w:t>
            </w:r>
          </w:p>
        </w:tc>
        <w:tc>
          <w:tcPr>
            <w:tcW w:w="914" w:type="pct"/>
            <w:gridSpan w:val="2"/>
            <w:noWrap w:val="0"/>
            <w:vAlign w:val="center"/>
          </w:tcPr>
          <w:p>
            <w:pPr>
              <w:jc w:val="both"/>
              <w:rPr>
                <w:rFonts w:hint="eastAsia" w:asciiTheme="minorEastAsia" w:hAnsiTheme="minorEastAsia" w:eastAsiaTheme="minorEastAsia" w:cstheme="minorEastAsia"/>
                <w:color w:val="auto"/>
                <w:sz w:val="24"/>
                <w:szCs w:val="24"/>
                <w:highlight w:val="none"/>
                <w:vertAlign w:val="baseline"/>
                <w:lang w:eastAsia="zh-CN"/>
              </w:rPr>
            </w:pPr>
          </w:p>
        </w:tc>
        <w:tc>
          <w:tcPr>
            <w:tcW w:w="419" w:type="pct"/>
            <w:noWrap w:val="0"/>
            <w:vAlign w:val="center"/>
          </w:tcPr>
          <w:p>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10</w:t>
            </w:r>
          </w:p>
        </w:tc>
        <w:tc>
          <w:tcPr>
            <w:tcW w:w="378" w:type="pct"/>
            <w:noWrap w:val="0"/>
            <w:vAlign w:val="center"/>
          </w:tcPr>
          <w:p>
            <w:pPr>
              <w:jc w:val="both"/>
              <w:rPr>
                <w:rFonts w:hint="eastAsia" w:asciiTheme="minorEastAsia" w:hAnsiTheme="minorEastAsia" w:eastAsiaTheme="minorEastAsia" w:cstheme="minorEastAsia"/>
                <w:color w:val="auto"/>
                <w:sz w:val="24"/>
                <w:szCs w:val="24"/>
                <w:highlight w:val="none"/>
                <w:vertAlign w:val="baseline"/>
                <w:lang w:val="en-US" w:eastAsia="zh-CN"/>
              </w:rPr>
            </w:pPr>
          </w:p>
        </w:tc>
        <w:tc>
          <w:tcPr>
            <w:tcW w:w="364" w:type="pct"/>
            <w:vMerge w:val="continue"/>
            <w:noWrap w:val="0"/>
            <w:vAlign w:val="center"/>
          </w:tcPr>
          <w:p>
            <w:pPr>
              <w:jc w:val="both"/>
              <w:rPr>
                <w:rFonts w:hint="eastAsia" w:asciiTheme="minorEastAsia" w:hAnsiTheme="minorEastAsia" w:eastAsiaTheme="minorEastAsia" w:cstheme="minorEastAsia"/>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val="0"/>
            <w:vAlign w:val="center"/>
          </w:tcPr>
          <w:p>
            <w:pPr>
              <w:jc w:val="both"/>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auto"/>
                <w:sz w:val="24"/>
                <w:szCs w:val="24"/>
                <w:highlight w:val="none"/>
                <w:vertAlign w:val="baseline"/>
                <w:lang w:eastAsia="zh-CN"/>
              </w:rPr>
              <w:t>整改项目</w:t>
            </w:r>
          </w:p>
        </w:tc>
        <w:tc>
          <w:tcPr>
            <w:tcW w:w="2251" w:type="pct"/>
            <w:gridSpan w:val="3"/>
            <w:noWrap w:val="0"/>
            <w:vAlign w:val="center"/>
          </w:tcPr>
          <w:p>
            <w:pPr>
              <w:jc w:val="both"/>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auto"/>
                <w:sz w:val="24"/>
                <w:szCs w:val="24"/>
                <w:highlight w:val="none"/>
                <w:vertAlign w:val="baseline"/>
                <w:lang w:eastAsia="zh-CN"/>
              </w:rPr>
              <w:t>对连聚物业公司巡视提出的整改项目的维修通知，每少完成一项扣2分</w:t>
            </w:r>
          </w:p>
        </w:tc>
        <w:tc>
          <w:tcPr>
            <w:tcW w:w="914" w:type="pct"/>
            <w:gridSpan w:val="2"/>
            <w:noWrap w:val="0"/>
            <w:vAlign w:val="center"/>
          </w:tcPr>
          <w:p>
            <w:pPr>
              <w:jc w:val="both"/>
              <w:rPr>
                <w:rFonts w:hint="eastAsia" w:asciiTheme="minorEastAsia" w:hAnsiTheme="minorEastAsia" w:eastAsiaTheme="minorEastAsia" w:cstheme="minorEastAsia"/>
                <w:color w:val="auto"/>
                <w:sz w:val="24"/>
                <w:szCs w:val="24"/>
                <w:highlight w:val="none"/>
                <w:vertAlign w:val="baseline"/>
                <w:lang w:eastAsia="zh-CN"/>
              </w:rPr>
            </w:pPr>
          </w:p>
        </w:tc>
        <w:tc>
          <w:tcPr>
            <w:tcW w:w="419" w:type="pct"/>
            <w:noWrap w:val="0"/>
            <w:vAlign w:val="center"/>
          </w:tcPr>
          <w:p>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10</w:t>
            </w:r>
          </w:p>
        </w:tc>
        <w:tc>
          <w:tcPr>
            <w:tcW w:w="378" w:type="pct"/>
            <w:noWrap w:val="0"/>
            <w:vAlign w:val="center"/>
          </w:tcPr>
          <w:p>
            <w:pPr>
              <w:jc w:val="both"/>
              <w:rPr>
                <w:rFonts w:hint="eastAsia" w:asciiTheme="minorEastAsia" w:hAnsiTheme="minorEastAsia" w:eastAsiaTheme="minorEastAsia" w:cstheme="minorEastAsia"/>
                <w:color w:val="auto"/>
                <w:sz w:val="24"/>
                <w:szCs w:val="24"/>
                <w:highlight w:val="none"/>
                <w:vertAlign w:val="baseline"/>
                <w:lang w:val="en-US" w:eastAsia="zh-CN"/>
              </w:rPr>
            </w:pPr>
          </w:p>
        </w:tc>
        <w:tc>
          <w:tcPr>
            <w:tcW w:w="364" w:type="pct"/>
            <w:vMerge w:val="continue"/>
            <w:noWrap w:val="0"/>
            <w:vAlign w:val="center"/>
          </w:tcPr>
          <w:p>
            <w:pPr>
              <w:jc w:val="both"/>
              <w:rPr>
                <w:rFonts w:hint="eastAsia" w:asciiTheme="minorEastAsia" w:hAnsiTheme="minorEastAsia" w:eastAsiaTheme="minorEastAsia" w:cstheme="minorEastAsia"/>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2" w:type="pct"/>
            <w:noWrap w:val="0"/>
            <w:vAlign w:val="center"/>
          </w:tcPr>
          <w:p>
            <w:pPr>
              <w:jc w:val="both"/>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auto"/>
                <w:sz w:val="24"/>
                <w:szCs w:val="24"/>
                <w:highlight w:val="none"/>
                <w:vertAlign w:val="baseline"/>
                <w:lang w:eastAsia="zh-CN"/>
              </w:rPr>
              <w:t>服务质量</w:t>
            </w:r>
          </w:p>
        </w:tc>
        <w:tc>
          <w:tcPr>
            <w:tcW w:w="2251" w:type="pct"/>
            <w:gridSpan w:val="3"/>
            <w:noWrap w:val="0"/>
            <w:vAlign w:val="center"/>
          </w:tcPr>
          <w:p>
            <w:pPr>
              <w:jc w:val="both"/>
              <w:rPr>
                <w:rFonts w:hint="eastAsia" w:asciiTheme="minorEastAsia" w:hAnsiTheme="minorEastAsia" w:eastAsiaTheme="minorEastAsia" w:cstheme="minorEastAsia"/>
                <w:color w:val="auto"/>
                <w:kern w:val="2"/>
                <w:sz w:val="24"/>
                <w:szCs w:val="24"/>
                <w:highlight w:val="none"/>
                <w:vertAlign w:val="baseline"/>
                <w:lang w:val="en-US" w:eastAsia="zh-CN" w:bidi="ar-SA"/>
              </w:rPr>
            </w:pPr>
            <w:r>
              <w:rPr>
                <w:rFonts w:hint="eastAsia" w:asciiTheme="minorEastAsia" w:hAnsiTheme="minorEastAsia" w:eastAsiaTheme="minorEastAsia" w:cstheme="minorEastAsia"/>
                <w:color w:val="auto"/>
                <w:sz w:val="24"/>
                <w:szCs w:val="24"/>
                <w:highlight w:val="none"/>
                <w:vertAlign w:val="baseline"/>
                <w:lang w:eastAsia="zh-CN"/>
              </w:rPr>
              <w:t>因维护保养不当造成设备不能正常使用的，除扣除该季度30%的维保费，且当月效益10分全扣。</w:t>
            </w:r>
          </w:p>
        </w:tc>
        <w:tc>
          <w:tcPr>
            <w:tcW w:w="914" w:type="pct"/>
            <w:gridSpan w:val="2"/>
            <w:noWrap w:val="0"/>
            <w:vAlign w:val="center"/>
          </w:tcPr>
          <w:p>
            <w:pPr>
              <w:jc w:val="both"/>
              <w:rPr>
                <w:rFonts w:hint="eastAsia" w:asciiTheme="minorEastAsia" w:hAnsiTheme="minorEastAsia" w:eastAsiaTheme="minorEastAsia" w:cstheme="minorEastAsia"/>
                <w:color w:val="auto"/>
                <w:sz w:val="24"/>
                <w:szCs w:val="24"/>
                <w:highlight w:val="none"/>
                <w:vertAlign w:val="baseline"/>
                <w:lang w:eastAsia="zh-CN"/>
              </w:rPr>
            </w:pPr>
          </w:p>
        </w:tc>
        <w:tc>
          <w:tcPr>
            <w:tcW w:w="419" w:type="pct"/>
            <w:noWrap w:val="0"/>
            <w:vAlign w:val="center"/>
          </w:tcPr>
          <w:p>
            <w:pPr>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10</w:t>
            </w:r>
          </w:p>
        </w:tc>
        <w:tc>
          <w:tcPr>
            <w:tcW w:w="378" w:type="pct"/>
            <w:noWrap w:val="0"/>
            <w:vAlign w:val="center"/>
          </w:tcPr>
          <w:p>
            <w:pPr>
              <w:jc w:val="both"/>
              <w:rPr>
                <w:rFonts w:hint="eastAsia" w:asciiTheme="minorEastAsia" w:hAnsiTheme="minorEastAsia" w:eastAsiaTheme="minorEastAsia" w:cstheme="minorEastAsia"/>
                <w:color w:val="auto"/>
                <w:sz w:val="24"/>
                <w:szCs w:val="24"/>
                <w:highlight w:val="none"/>
                <w:vertAlign w:val="baseline"/>
                <w:lang w:val="en-US" w:eastAsia="zh-CN"/>
              </w:rPr>
            </w:pPr>
          </w:p>
        </w:tc>
        <w:tc>
          <w:tcPr>
            <w:tcW w:w="364" w:type="pct"/>
            <w:vMerge w:val="continue"/>
            <w:noWrap w:val="0"/>
            <w:vAlign w:val="center"/>
          </w:tcPr>
          <w:p>
            <w:pPr>
              <w:jc w:val="both"/>
              <w:rPr>
                <w:rFonts w:hint="eastAsia" w:asciiTheme="minorEastAsia" w:hAnsiTheme="minorEastAsia" w:eastAsiaTheme="minorEastAsia" w:cstheme="minorEastAsia"/>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72" w:type="pct"/>
            <w:noWrap w:val="0"/>
            <w:vAlign w:val="center"/>
          </w:tcPr>
          <w:p>
            <w:pPr>
              <w:jc w:val="both"/>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问题提出</w:t>
            </w:r>
          </w:p>
        </w:tc>
        <w:tc>
          <w:tcPr>
            <w:tcW w:w="4327" w:type="pct"/>
            <w:gridSpan w:val="8"/>
            <w:noWrap w:val="0"/>
            <w:vAlign w:val="center"/>
          </w:tcPr>
          <w:p>
            <w:pPr>
              <w:jc w:val="both"/>
              <w:rPr>
                <w:rFonts w:hint="eastAsia" w:asciiTheme="minorEastAsia" w:hAnsiTheme="minorEastAsia" w:eastAsiaTheme="minorEastAsia" w:cstheme="minorEastAsia"/>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72" w:type="pct"/>
            <w:noWrap w:val="0"/>
            <w:vAlign w:val="center"/>
          </w:tcPr>
          <w:p>
            <w:pPr>
              <w:jc w:val="both"/>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上月问题整改情况</w:t>
            </w:r>
          </w:p>
        </w:tc>
        <w:tc>
          <w:tcPr>
            <w:tcW w:w="4327" w:type="pct"/>
            <w:gridSpan w:val="8"/>
            <w:noWrap w:val="0"/>
            <w:vAlign w:val="center"/>
          </w:tcPr>
          <w:p>
            <w:pPr>
              <w:jc w:val="both"/>
              <w:rPr>
                <w:rFonts w:hint="eastAsia" w:asciiTheme="minorEastAsia" w:hAnsiTheme="minorEastAsia" w:eastAsiaTheme="minorEastAsia" w:cstheme="minorEastAsia"/>
                <w:color w:val="auto"/>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1669" w:type="pct"/>
            <w:gridSpan w:val="2"/>
            <w:noWrap w:val="0"/>
            <w:vAlign w:val="top"/>
          </w:tcPr>
          <w:p>
            <w:pP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vertAlign w:val="baseline"/>
                <w:lang w:eastAsia="zh-CN"/>
              </w:rPr>
              <w:t>维保单位：</w:t>
            </w:r>
          </w:p>
          <w:p>
            <w:pPr>
              <w:pStyle w:val="5"/>
              <w:ind w:left="0" w:leftChars="0" w:firstLine="0" w:firstLineChars="0"/>
              <w:rPr>
                <w:rFonts w:hint="eastAsia" w:asciiTheme="minorEastAsia" w:hAnsiTheme="minorEastAsia" w:eastAsiaTheme="minorEastAsia" w:cstheme="minorEastAsia"/>
                <w:color w:val="auto"/>
                <w:sz w:val="24"/>
                <w:szCs w:val="24"/>
                <w:highlight w:val="none"/>
                <w:vertAlign w:val="baseline"/>
                <w:lang w:eastAsia="zh-CN"/>
              </w:rPr>
            </w:pPr>
          </w:p>
          <w:p>
            <w:pPr>
              <w:pStyle w:val="5"/>
              <w:rPr>
                <w:rFonts w:hint="eastAsia" w:asciiTheme="minorEastAsia" w:hAnsiTheme="minorEastAsia" w:eastAsiaTheme="minorEastAsia" w:cstheme="minorEastAsia"/>
                <w:color w:val="auto"/>
                <w:sz w:val="24"/>
                <w:szCs w:val="24"/>
                <w:highlight w:val="none"/>
                <w:vertAlign w:val="baseline"/>
                <w:lang w:eastAsia="zh-CN"/>
              </w:rPr>
            </w:pPr>
          </w:p>
          <w:p>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vertAlign w:val="baseline"/>
                <w:lang w:eastAsia="zh-CN"/>
              </w:rPr>
              <w:t>签字</w:t>
            </w:r>
            <w:r>
              <w:rPr>
                <w:rFonts w:hint="eastAsia" w:asciiTheme="minorEastAsia" w:hAnsiTheme="minorEastAsia" w:eastAsiaTheme="minorEastAsia" w:cstheme="minorEastAsia"/>
                <w:color w:val="auto"/>
                <w:sz w:val="24"/>
                <w:szCs w:val="24"/>
                <w:highlight w:val="none"/>
                <w:vertAlign w:val="baseline"/>
                <w:lang w:val="en-US" w:eastAsia="zh-CN"/>
              </w:rPr>
              <w:t xml:space="preserve"> ：        </w:t>
            </w:r>
            <w:r>
              <w:rPr>
                <w:rFonts w:hint="eastAsia" w:asciiTheme="minorEastAsia" w:hAnsiTheme="minorEastAsia" w:eastAsiaTheme="minorEastAsia" w:cstheme="minorEastAsia"/>
                <w:color w:val="auto"/>
                <w:sz w:val="24"/>
                <w:szCs w:val="24"/>
                <w:highlight w:val="none"/>
                <w:vertAlign w:val="baseline"/>
                <w:lang w:eastAsia="zh-CN"/>
              </w:rPr>
              <w:t>日期：</w:t>
            </w:r>
          </w:p>
        </w:tc>
        <w:tc>
          <w:tcPr>
            <w:tcW w:w="1736" w:type="pct"/>
            <w:gridSpan w:val="3"/>
            <w:noWrap w:val="0"/>
            <w:vAlign w:val="top"/>
          </w:tcPr>
          <w:p>
            <w:pPr>
              <w:spacing w:line="360" w:lineRule="auto"/>
              <w:ind w:right="12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客服：</w:t>
            </w:r>
          </w:p>
          <w:p>
            <w:pPr>
              <w:spacing w:line="360" w:lineRule="auto"/>
              <w:ind w:right="120" w:rightChars="0"/>
              <w:rPr>
                <w:rFonts w:hint="eastAsia" w:asciiTheme="minorEastAsia" w:hAnsiTheme="minorEastAsia" w:eastAsiaTheme="minorEastAsia" w:cstheme="minorEastAsia"/>
                <w:color w:val="auto"/>
                <w:sz w:val="24"/>
                <w:szCs w:val="24"/>
                <w:highlight w:val="none"/>
                <w:lang w:val="en-US" w:eastAsia="zh-CN"/>
              </w:rPr>
            </w:pPr>
          </w:p>
          <w:p>
            <w:pPr>
              <w:pStyle w:val="5"/>
              <w:ind w:left="0" w:leftChars="0"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签字：               日期：</w:t>
            </w:r>
          </w:p>
        </w:tc>
        <w:tc>
          <w:tcPr>
            <w:tcW w:w="1593" w:type="pct"/>
            <w:gridSpan w:val="4"/>
            <w:noWrap w:val="0"/>
            <w:vAlign w:val="top"/>
          </w:tcPr>
          <w:p>
            <w:pPr>
              <w:spacing w:line="360" w:lineRule="auto"/>
              <w:ind w:right="12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小区物业服务中心负责人：</w:t>
            </w:r>
          </w:p>
          <w:p>
            <w:pPr>
              <w:pStyle w:val="12"/>
              <w:ind w:left="0" w:leftChars="0" w:firstLine="0" w:firstLineChars="0"/>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vertAlign w:val="baseline"/>
                <w:lang w:eastAsia="zh-CN"/>
              </w:rPr>
            </w:pPr>
            <w:r>
              <w:rPr>
                <w:rFonts w:hint="eastAsia" w:asciiTheme="minorEastAsia" w:hAnsiTheme="minorEastAsia" w:eastAsiaTheme="minorEastAsia" w:cstheme="minorEastAsia"/>
                <w:color w:val="auto"/>
                <w:sz w:val="24"/>
                <w:szCs w:val="24"/>
                <w:highlight w:val="none"/>
              </w:rPr>
              <w:t>签字：        日期：</w:t>
            </w:r>
          </w:p>
        </w:tc>
      </w:tr>
    </w:tbl>
    <w:p>
      <w:pPr>
        <w:pageBreakBefore w:val="0"/>
        <w:kinsoku/>
        <w:overflowPunct/>
        <w:topLinePunct w:val="0"/>
        <w:autoSpaceDE/>
        <w:autoSpaceDN/>
        <w:bidi w:val="0"/>
        <w:adjustRightInd/>
        <w:snapToGrid/>
        <w:spacing w:before="0" w:beforeAutospacing="0" w:after="0" w:afterAutospacing="0" w:line="360" w:lineRule="auto"/>
        <w:ind w:left="0" w:right="0"/>
        <w:outlineLvl w:val="9"/>
        <w:rPr>
          <w:rFonts w:hint="eastAsia" w:asciiTheme="minorEastAsia" w:hAnsiTheme="minorEastAsia" w:eastAsiaTheme="minorEastAsia" w:cstheme="minorEastAsia"/>
          <w:b w:val="0"/>
          <w:bCs w:val="0"/>
          <w:color w:val="auto"/>
          <w:sz w:val="24"/>
          <w:szCs w:val="24"/>
          <w:highlight w:val="none"/>
        </w:rPr>
      </w:pPr>
    </w:p>
    <w:tbl>
      <w:tblPr>
        <w:tblStyle w:val="22"/>
        <w:tblpPr w:leftFromText="180" w:rightFromText="180" w:vertAnchor="text" w:horzAnchor="page" w:tblpX="1080" w:tblpY="1107"/>
        <w:tblOverlap w:val="never"/>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511"/>
        <w:gridCol w:w="1611"/>
        <w:gridCol w:w="1852"/>
        <w:gridCol w:w="1239"/>
        <w:gridCol w:w="967"/>
        <w:gridCol w:w="511"/>
        <w:gridCol w:w="511"/>
        <w:gridCol w:w="513"/>
        <w:gridCol w:w="569"/>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98" w:type="pct"/>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序号</w:t>
            </w:r>
          </w:p>
        </w:tc>
        <w:tc>
          <w:tcPr>
            <w:tcW w:w="257" w:type="pct"/>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梯号</w:t>
            </w:r>
          </w:p>
        </w:tc>
        <w:tc>
          <w:tcPr>
            <w:tcW w:w="810" w:type="pct"/>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出厂编号</w:t>
            </w:r>
          </w:p>
        </w:tc>
        <w:tc>
          <w:tcPr>
            <w:tcW w:w="931" w:type="pct"/>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规格型号</w:t>
            </w:r>
          </w:p>
        </w:tc>
        <w:tc>
          <w:tcPr>
            <w:tcW w:w="623" w:type="pct"/>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（层/站/门）</w:t>
            </w:r>
          </w:p>
        </w:tc>
        <w:tc>
          <w:tcPr>
            <w:tcW w:w="486" w:type="pct"/>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安装地点</w:t>
            </w:r>
          </w:p>
        </w:tc>
        <w:tc>
          <w:tcPr>
            <w:tcW w:w="1055"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保养时间(分钟)</w:t>
            </w:r>
          </w:p>
        </w:tc>
        <w:tc>
          <w:tcPr>
            <w:tcW w:w="436" w:type="pct"/>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保养金额（元/月）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98" w:type="pct"/>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57" w:type="pct"/>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810" w:type="pct"/>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931" w:type="pct"/>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623" w:type="pct"/>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486" w:type="pct"/>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半月</w:t>
            </w:r>
          </w:p>
        </w:tc>
        <w:tc>
          <w:tcPr>
            <w:tcW w:w="2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季度</w:t>
            </w:r>
          </w:p>
        </w:tc>
        <w:tc>
          <w:tcPr>
            <w:tcW w:w="25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半年</w:t>
            </w:r>
          </w:p>
        </w:tc>
        <w:tc>
          <w:tcPr>
            <w:tcW w:w="281"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一年</w:t>
            </w:r>
          </w:p>
        </w:tc>
        <w:tc>
          <w:tcPr>
            <w:tcW w:w="436" w:type="pct"/>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1</w:t>
            </w:r>
          </w:p>
        </w:tc>
        <w:tc>
          <w:tcPr>
            <w:tcW w:w="2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810"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623"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48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5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81"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2</w:t>
            </w:r>
          </w:p>
        </w:tc>
        <w:tc>
          <w:tcPr>
            <w:tcW w:w="2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810"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623"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48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5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81"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3</w:t>
            </w:r>
          </w:p>
        </w:tc>
        <w:tc>
          <w:tcPr>
            <w:tcW w:w="2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810"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623"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48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5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81"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4</w:t>
            </w:r>
          </w:p>
        </w:tc>
        <w:tc>
          <w:tcPr>
            <w:tcW w:w="2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810"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623"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48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5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81"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5</w:t>
            </w:r>
          </w:p>
        </w:tc>
        <w:tc>
          <w:tcPr>
            <w:tcW w:w="2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810"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623"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48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5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81"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6</w:t>
            </w:r>
          </w:p>
        </w:tc>
        <w:tc>
          <w:tcPr>
            <w:tcW w:w="2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810"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623"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48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5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81"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7</w:t>
            </w:r>
          </w:p>
        </w:tc>
        <w:tc>
          <w:tcPr>
            <w:tcW w:w="2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810"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623"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48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5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81"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9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w:t>
            </w:r>
          </w:p>
        </w:tc>
        <w:tc>
          <w:tcPr>
            <w:tcW w:w="2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810"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931"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623"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48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57"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58"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281"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c>
          <w:tcPr>
            <w:tcW w:w="43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63" w:type="pct"/>
            <w:gridSpan w:val="10"/>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left"/>
              <w:outlineLvl w:val="9"/>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 xml:space="preserve">共 </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台，保养金额合计：</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元整</w:t>
            </w:r>
          </w:p>
        </w:tc>
        <w:tc>
          <w:tcPr>
            <w:tcW w:w="436" w:type="pc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autoSpaceDE/>
              <w:autoSpaceDN/>
              <w:bidi w:val="0"/>
              <w:adjustRightInd/>
              <w:snapToGrid/>
              <w:spacing w:before="0" w:beforeAutospacing="0" w:after="0" w:afterAutospacing="0" w:line="360" w:lineRule="auto"/>
              <w:ind w:left="0" w:right="0"/>
              <w:jc w:val="center"/>
              <w:outlineLvl w:val="9"/>
              <w:rPr>
                <w:rFonts w:hint="eastAsia" w:asciiTheme="minorEastAsia" w:hAnsiTheme="minorEastAsia" w:eastAsiaTheme="minorEastAsia" w:cstheme="minorEastAsia"/>
                <w:b w:val="0"/>
                <w:bCs w:val="0"/>
                <w:color w:val="auto"/>
                <w:sz w:val="24"/>
                <w:szCs w:val="24"/>
                <w:highlight w:val="none"/>
                <w:lang w:eastAsia="zh-CN"/>
              </w:rPr>
            </w:pPr>
          </w:p>
        </w:tc>
      </w:tr>
    </w:tbl>
    <w:p>
      <w:pPr>
        <w:pageBreakBefore w:val="0"/>
        <w:kinsoku/>
        <w:overflowPunct/>
        <w:topLinePunct w:val="0"/>
        <w:autoSpaceDE/>
        <w:autoSpaceDN/>
        <w:bidi w:val="0"/>
        <w:adjustRightInd/>
        <w:snapToGrid/>
        <w:spacing w:before="0" w:beforeAutospacing="0" w:after="0" w:afterAutospacing="0" w:line="360" w:lineRule="auto"/>
        <w:ind w:left="0" w:right="0"/>
        <w:outlineLvl w:val="9"/>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附件3：</w:t>
      </w:r>
      <w:r>
        <w:rPr>
          <w:rFonts w:hint="eastAsia" w:asciiTheme="minorEastAsia" w:hAnsiTheme="minorEastAsia" w:eastAsiaTheme="minorEastAsia" w:cstheme="minorEastAsia"/>
          <w:b w:val="0"/>
          <w:bCs w:val="0"/>
          <w:color w:val="auto"/>
          <w:sz w:val="24"/>
          <w:szCs w:val="24"/>
          <w:highlight w:val="none"/>
        </w:rPr>
        <w:t>电梯保养时间及保养费明细表</w:t>
      </w:r>
    </w:p>
    <w:p>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kern w:val="2"/>
          <w:sz w:val="24"/>
          <w:szCs w:val="24"/>
          <w:highlight w:val="none"/>
          <w:shd w:val="clear"/>
          <w:lang w:val="en-US" w:eastAsia="zh-CN"/>
        </w:rPr>
        <w:sectPr>
          <w:headerReference r:id="rId7" w:type="default"/>
          <w:footerReference r:id="rId8" w:type="default"/>
          <w:pgSz w:w="11906" w:h="16838"/>
          <w:pgMar w:top="1440" w:right="1080" w:bottom="1440" w:left="1080" w:header="851" w:footer="992" w:gutter="0"/>
          <w:cols w:space="425" w:num="1"/>
          <w:docGrid w:type="lines" w:linePitch="312" w:charSpace="0"/>
        </w:sectPr>
      </w:pPr>
    </w:p>
    <w:p>
      <w:pPr>
        <w:widowControl/>
        <w:spacing w:before="75" w:after="75" w:line="360" w:lineRule="auto"/>
        <w:jc w:val="left"/>
        <w:rPr>
          <w:rFonts w:hint="eastAsia" w:ascii="宋体" w:hAnsi="宋体" w:cs="宋体"/>
          <w:color w:val="auto"/>
          <w:kern w:val="0"/>
          <w:sz w:val="24"/>
        </w:rPr>
      </w:pPr>
    </w:p>
    <w:p>
      <w:pPr>
        <w:pStyle w:val="3"/>
        <w:ind w:firstLine="2173" w:firstLineChars="494"/>
        <w:jc w:val="center"/>
        <w:textAlignment w:val="baseline"/>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第五章磋商响应文件格式</w:t>
      </w:r>
      <w:bookmarkEnd w:id="13"/>
    </w:p>
    <w:p>
      <w:pPr>
        <w:pStyle w:val="35"/>
        <w:spacing w:line="360" w:lineRule="auto"/>
        <w:ind w:firstLine="480" w:firstLineChars="200"/>
        <w:jc w:val="center"/>
        <w:textAlignment w:val="baseline"/>
        <w:rPr>
          <w:rFonts w:asciiTheme="minorEastAsia" w:hAnsiTheme="minorEastAsia" w:eastAsiaTheme="minorEastAsia" w:cstheme="minorEastAsia"/>
          <w:color w:val="auto"/>
        </w:rPr>
      </w:pPr>
    </w:p>
    <w:tbl>
      <w:tblPr>
        <w:tblStyle w:val="22"/>
        <w:tblW w:w="42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5000" w:type="pct"/>
            <w:noWrap/>
          </w:tcPr>
          <w:p>
            <w:pPr>
              <w:spacing w:before="120" w:line="360" w:lineRule="auto"/>
              <w:ind w:firstLine="480" w:firstLineChars="200"/>
              <w:jc w:val="center"/>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注释：</w:t>
            </w:r>
          </w:p>
          <w:p>
            <w:pPr>
              <w:spacing w:before="120" w:line="360" w:lineRule="auto"/>
              <w:ind w:right="132" w:firstLine="235" w:firstLineChars="98"/>
              <w:jc w:val="center"/>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《竞争性磋商响应文件格式》是竞争性磋商供应商的部分竞争性磋商响应文件格式和签订合同时所需文件的格式。竞争性磋商供应商应参照这些格式文件制作竞争性磋商响应文件。</w:t>
            </w:r>
          </w:p>
          <w:p>
            <w:pPr>
              <w:spacing w:before="120" w:line="360" w:lineRule="auto"/>
              <w:ind w:right="132" w:firstLine="232" w:firstLineChars="97"/>
              <w:jc w:val="center"/>
              <w:textAlignment w:val="baseline"/>
              <w:rPr>
                <w:rFonts w:asciiTheme="minorEastAsia" w:hAnsiTheme="minorEastAsia" w:eastAsiaTheme="minorEastAsia" w:cstheme="minorEastAsia"/>
                <w:color w:val="auto"/>
                <w:sz w:val="24"/>
                <w:szCs w:val="24"/>
              </w:rPr>
            </w:pPr>
          </w:p>
        </w:tc>
      </w:tr>
    </w:tbl>
    <w:p>
      <w:pPr>
        <w:spacing w:line="360" w:lineRule="auto"/>
        <w:ind w:firstLine="2589" w:firstLineChars="498"/>
        <w:jc w:val="center"/>
        <w:textAlignment w:val="baseline"/>
        <w:rPr>
          <w:rFonts w:asciiTheme="minorEastAsia" w:hAnsiTheme="minorEastAsia" w:eastAsiaTheme="minorEastAsia" w:cstheme="minorEastAsia"/>
          <w:b/>
          <w:bCs/>
          <w:color w:val="auto"/>
          <w:sz w:val="52"/>
          <w:szCs w:val="52"/>
        </w:rPr>
      </w:pPr>
    </w:p>
    <w:p>
      <w:pPr>
        <w:pStyle w:val="36"/>
        <w:spacing w:line="360" w:lineRule="auto"/>
        <w:ind w:firstLine="1040" w:firstLineChars="200"/>
        <w:jc w:val="center"/>
        <w:textAlignment w:val="baseline"/>
        <w:rPr>
          <w:rFonts w:asciiTheme="minorEastAsia" w:hAnsiTheme="minorEastAsia" w:eastAsiaTheme="minorEastAsia" w:cstheme="minorEastAsia"/>
          <w:b/>
          <w:bCs/>
          <w:color w:val="auto"/>
          <w:sz w:val="52"/>
          <w:szCs w:val="52"/>
        </w:rPr>
      </w:pPr>
      <w:r>
        <w:rPr>
          <w:rFonts w:hint="eastAsia" w:asciiTheme="minorEastAsia" w:hAnsiTheme="minorEastAsia" w:eastAsiaTheme="minorEastAsia" w:cstheme="minorEastAsia"/>
          <w:b/>
          <w:bCs/>
          <w:color w:val="auto"/>
          <w:sz w:val="52"/>
          <w:szCs w:val="52"/>
        </w:rPr>
        <w:br w:type="page"/>
      </w:r>
    </w:p>
    <w:p>
      <w:pPr>
        <w:pStyle w:val="36"/>
        <w:spacing w:line="360" w:lineRule="auto"/>
        <w:ind w:firstLine="1040" w:firstLineChars="200"/>
        <w:jc w:val="center"/>
        <w:textAlignment w:val="baseline"/>
        <w:rPr>
          <w:rFonts w:asciiTheme="minorEastAsia" w:hAnsiTheme="minorEastAsia" w:eastAsiaTheme="minorEastAsia" w:cstheme="minorEastAsia"/>
          <w:b/>
          <w:bCs/>
          <w:color w:val="auto"/>
          <w:sz w:val="52"/>
          <w:szCs w:val="52"/>
        </w:rPr>
      </w:pPr>
    </w:p>
    <w:p>
      <w:pPr>
        <w:pStyle w:val="36"/>
        <w:spacing w:line="360" w:lineRule="auto"/>
        <w:ind w:firstLine="1040" w:firstLineChars="200"/>
        <w:jc w:val="center"/>
        <w:textAlignment w:val="baseline"/>
        <w:rPr>
          <w:rFonts w:asciiTheme="minorEastAsia" w:hAnsiTheme="minorEastAsia" w:eastAsiaTheme="minorEastAsia" w:cstheme="minorEastAsia"/>
          <w:b/>
          <w:bCs/>
          <w:color w:val="auto"/>
          <w:sz w:val="52"/>
          <w:szCs w:val="52"/>
        </w:rPr>
      </w:pPr>
    </w:p>
    <w:p>
      <w:pPr>
        <w:pStyle w:val="36"/>
        <w:spacing w:line="360" w:lineRule="auto"/>
        <w:jc w:val="center"/>
        <w:textAlignment w:val="baseline"/>
        <w:rPr>
          <w:rStyle w:val="26"/>
          <w:rFonts w:asciiTheme="minorEastAsia" w:hAnsiTheme="minorEastAsia" w:eastAsiaTheme="minorEastAsia" w:cstheme="minorEastAsia"/>
          <w:b/>
          <w:bCs/>
          <w:color w:val="auto"/>
          <w:sz w:val="72"/>
          <w:szCs w:val="72"/>
        </w:rPr>
      </w:pPr>
      <w:r>
        <w:rPr>
          <w:rStyle w:val="26"/>
          <w:rFonts w:hint="eastAsia" w:asciiTheme="minorEastAsia" w:hAnsiTheme="minorEastAsia" w:eastAsiaTheme="minorEastAsia" w:cstheme="minorEastAsia"/>
          <w:b/>
          <w:bCs/>
          <w:color w:val="auto"/>
          <w:sz w:val="72"/>
          <w:szCs w:val="72"/>
        </w:rPr>
        <w:t>竞争性磋商响应文件</w:t>
      </w:r>
    </w:p>
    <w:p>
      <w:pPr>
        <w:jc w:val="center"/>
        <w:textAlignment w:val="baseline"/>
        <w:rPr>
          <w:rStyle w:val="26"/>
          <w:rFonts w:asciiTheme="minorEastAsia" w:hAnsiTheme="minorEastAsia" w:eastAsiaTheme="minorEastAsia" w:cstheme="minorEastAsia"/>
          <w:color w:val="auto"/>
          <w:sz w:val="44"/>
          <w:szCs w:val="44"/>
        </w:rPr>
      </w:pPr>
    </w:p>
    <w:p>
      <w:pPr>
        <w:spacing w:line="360" w:lineRule="auto"/>
        <w:ind w:firstLine="2173" w:firstLineChars="494"/>
        <w:textAlignment w:val="baseline"/>
        <w:rPr>
          <w:rStyle w:val="26"/>
          <w:rFonts w:asciiTheme="minorEastAsia" w:hAnsiTheme="minorEastAsia" w:eastAsiaTheme="minorEastAsia" w:cstheme="minorEastAsia"/>
          <w:b/>
          <w:bCs/>
          <w:color w:val="auto"/>
          <w:sz w:val="44"/>
          <w:szCs w:val="44"/>
        </w:rPr>
      </w:pPr>
    </w:p>
    <w:p>
      <w:pPr>
        <w:spacing w:line="360" w:lineRule="auto"/>
        <w:ind w:firstLine="3691" w:firstLineChars="839"/>
        <w:textAlignment w:val="baseline"/>
        <w:rPr>
          <w:rStyle w:val="26"/>
          <w:rFonts w:asciiTheme="minorEastAsia" w:hAnsiTheme="minorEastAsia" w:eastAsiaTheme="minorEastAsia" w:cstheme="minorEastAsia"/>
          <w:b/>
          <w:bCs/>
          <w:color w:val="auto"/>
          <w:sz w:val="44"/>
          <w:szCs w:val="44"/>
        </w:rPr>
      </w:pPr>
    </w:p>
    <w:p>
      <w:pPr>
        <w:jc w:val="center"/>
        <w:textAlignment w:val="baseline"/>
        <w:rPr>
          <w:rStyle w:val="26"/>
          <w:rFonts w:asciiTheme="minorEastAsia" w:hAnsiTheme="minorEastAsia" w:eastAsiaTheme="minorEastAsia" w:cstheme="minorEastAsia"/>
          <w:color w:val="auto"/>
          <w:sz w:val="44"/>
          <w:szCs w:val="44"/>
        </w:rPr>
      </w:pPr>
      <w:r>
        <w:rPr>
          <w:rStyle w:val="26"/>
          <w:rFonts w:hint="eastAsia" w:asciiTheme="minorEastAsia" w:hAnsiTheme="minorEastAsia" w:eastAsiaTheme="minorEastAsia" w:cstheme="minorEastAsia"/>
          <w:color w:val="auto"/>
          <w:sz w:val="44"/>
          <w:szCs w:val="44"/>
        </w:rPr>
        <w:t>（请在此注明正本或副本）</w:t>
      </w:r>
    </w:p>
    <w:p>
      <w:pPr>
        <w:spacing w:line="360" w:lineRule="auto"/>
        <w:ind w:firstLine="3036" w:firstLineChars="690"/>
        <w:textAlignment w:val="baseline"/>
        <w:rPr>
          <w:rStyle w:val="26"/>
          <w:rFonts w:asciiTheme="minorEastAsia" w:hAnsiTheme="minorEastAsia" w:eastAsiaTheme="minorEastAsia" w:cstheme="minorEastAsia"/>
          <w:b/>
          <w:bCs/>
          <w:color w:val="auto"/>
          <w:sz w:val="44"/>
          <w:szCs w:val="44"/>
        </w:rPr>
      </w:pPr>
    </w:p>
    <w:p>
      <w:pPr>
        <w:spacing w:line="360" w:lineRule="auto"/>
        <w:ind w:firstLine="720" w:firstLineChars="200"/>
        <w:jc w:val="center"/>
        <w:textAlignment w:val="baseline"/>
        <w:rPr>
          <w:rStyle w:val="26"/>
          <w:rFonts w:asciiTheme="minorEastAsia" w:hAnsiTheme="minorEastAsia" w:eastAsiaTheme="minorEastAsia" w:cstheme="minorEastAsia"/>
          <w:b/>
          <w:bCs/>
          <w:color w:val="auto"/>
          <w:sz w:val="36"/>
          <w:szCs w:val="36"/>
        </w:rPr>
      </w:pPr>
    </w:p>
    <w:p>
      <w:pPr>
        <w:spacing w:line="360" w:lineRule="auto"/>
        <w:ind w:firstLine="720" w:firstLineChars="200"/>
        <w:jc w:val="center"/>
        <w:textAlignment w:val="baseline"/>
        <w:rPr>
          <w:rStyle w:val="26"/>
          <w:rFonts w:asciiTheme="minorEastAsia" w:hAnsiTheme="minorEastAsia" w:eastAsiaTheme="minorEastAsia" w:cstheme="minorEastAsia"/>
          <w:b/>
          <w:bCs/>
          <w:color w:val="auto"/>
          <w:sz w:val="36"/>
          <w:szCs w:val="36"/>
        </w:rPr>
      </w:pPr>
    </w:p>
    <w:p>
      <w:pPr>
        <w:spacing w:line="360" w:lineRule="auto"/>
        <w:ind w:firstLine="720" w:firstLineChars="200"/>
        <w:textAlignment w:val="baseline"/>
        <w:rPr>
          <w:rStyle w:val="26"/>
          <w:rFonts w:asciiTheme="minorEastAsia" w:hAnsiTheme="minorEastAsia" w:eastAsiaTheme="minorEastAsia" w:cstheme="minorEastAsia"/>
          <w:b/>
          <w:bCs/>
          <w:color w:val="auto"/>
          <w:sz w:val="36"/>
          <w:szCs w:val="36"/>
        </w:rPr>
      </w:pPr>
      <w:r>
        <w:rPr>
          <w:rStyle w:val="26"/>
          <w:rFonts w:hint="eastAsia" w:asciiTheme="minorEastAsia" w:hAnsiTheme="minorEastAsia" w:eastAsiaTheme="minorEastAsia" w:cstheme="minorEastAsia"/>
          <w:b/>
          <w:bCs/>
          <w:color w:val="auto"/>
          <w:sz w:val="36"/>
          <w:szCs w:val="36"/>
        </w:rPr>
        <w:t>项目名称：</w:t>
      </w:r>
    </w:p>
    <w:p>
      <w:pPr>
        <w:spacing w:line="360" w:lineRule="auto"/>
        <w:ind w:firstLine="720" w:firstLineChars="200"/>
        <w:textAlignment w:val="baseline"/>
        <w:rPr>
          <w:rStyle w:val="26"/>
          <w:rFonts w:asciiTheme="minorEastAsia" w:hAnsiTheme="minorEastAsia" w:eastAsiaTheme="minorEastAsia" w:cstheme="minorEastAsia"/>
          <w:b/>
          <w:bCs/>
          <w:color w:val="auto"/>
          <w:sz w:val="36"/>
          <w:szCs w:val="36"/>
          <w:u w:val="single"/>
        </w:rPr>
      </w:pPr>
      <w:r>
        <w:rPr>
          <w:rStyle w:val="26"/>
          <w:rFonts w:hint="eastAsia" w:asciiTheme="minorEastAsia" w:hAnsiTheme="minorEastAsia" w:eastAsiaTheme="minorEastAsia" w:cstheme="minorEastAsia"/>
          <w:b/>
          <w:bCs/>
          <w:color w:val="auto"/>
          <w:sz w:val="36"/>
          <w:szCs w:val="36"/>
        </w:rPr>
        <w:t>采购编号：</w:t>
      </w:r>
    </w:p>
    <w:p>
      <w:pPr>
        <w:spacing w:line="360" w:lineRule="auto"/>
        <w:ind w:firstLine="720" w:firstLineChars="200"/>
        <w:textAlignment w:val="baseline"/>
        <w:rPr>
          <w:rStyle w:val="26"/>
          <w:rFonts w:asciiTheme="minorEastAsia" w:hAnsiTheme="minorEastAsia" w:eastAsiaTheme="minorEastAsia" w:cstheme="minorEastAsia"/>
          <w:b/>
          <w:bCs/>
          <w:color w:val="auto"/>
          <w:sz w:val="36"/>
          <w:szCs w:val="36"/>
        </w:rPr>
      </w:pPr>
    </w:p>
    <w:p>
      <w:pPr>
        <w:spacing w:line="360" w:lineRule="auto"/>
        <w:ind w:firstLine="720" w:firstLineChars="200"/>
        <w:textAlignment w:val="baseline"/>
        <w:rPr>
          <w:rStyle w:val="26"/>
          <w:rFonts w:asciiTheme="minorEastAsia" w:hAnsiTheme="minorEastAsia" w:eastAsiaTheme="minorEastAsia" w:cstheme="minorEastAsia"/>
          <w:b/>
          <w:bCs/>
          <w:color w:val="auto"/>
          <w:sz w:val="36"/>
          <w:szCs w:val="36"/>
        </w:rPr>
      </w:pPr>
    </w:p>
    <w:p>
      <w:pPr>
        <w:spacing w:line="360" w:lineRule="auto"/>
        <w:ind w:firstLine="720" w:firstLineChars="200"/>
        <w:textAlignment w:val="baseline"/>
        <w:rPr>
          <w:rStyle w:val="26"/>
          <w:rFonts w:asciiTheme="minorEastAsia" w:hAnsiTheme="minorEastAsia" w:eastAsiaTheme="minorEastAsia" w:cstheme="minorEastAsia"/>
          <w:b/>
          <w:bCs/>
          <w:color w:val="auto"/>
          <w:sz w:val="36"/>
          <w:szCs w:val="36"/>
        </w:rPr>
      </w:pPr>
    </w:p>
    <w:p>
      <w:pPr>
        <w:spacing w:line="360" w:lineRule="auto"/>
        <w:ind w:firstLine="720" w:firstLineChars="200"/>
        <w:textAlignment w:val="baseline"/>
        <w:rPr>
          <w:rStyle w:val="26"/>
          <w:rFonts w:asciiTheme="minorEastAsia" w:hAnsiTheme="minorEastAsia" w:eastAsiaTheme="minorEastAsia" w:cstheme="minorEastAsia"/>
          <w:b/>
          <w:bCs/>
          <w:color w:val="auto"/>
          <w:sz w:val="36"/>
          <w:szCs w:val="36"/>
        </w:rPr>
      </w:pPr>
    </w:p>
    <w:p>
      <w:pPr>
        <w:spacing w:line="360" w:lineRule="auto"/>
        <w:ind w:firstLine="720" w:firstLineChars="200"/>
        <w:textAlignment w:val="baseline"/>
        <w:rPr>
          <w:rStyle w:val="26"/>
          <w:rFonts w:asciiTheme="minorEastAsia" w:hAnsiTheme="minorEastAsia" w:eastAsiaTheme="minorEastAsia" w:cstheme="minorEastAsia"/>
          <w:b/>
          <w:bCs/>
          <w:color w:val="auto"/>
          <w:sz w:val="36"/>
          <w:szCs w:val="36"/>
          <w:u w:val="single"/>
        </w:rPr>
      </w:pPr>
      <w:r>
        <w:rPr>
          <w:rStyle w:val="26"/>
          <w:rFonts w:hint="eastAsia" w:asciiTheme="minorEastAsia" w:hAnsiTheme="minorEastAsia" w:eastAsiaTheme="minorEastAsia" w:cstheme="minorEastAsia"/>
          <w:b/>
          <w:bCs/>
          <w:color w:val="auto"/>
          <w:sz w:val="36"/>
          <w:szCs w:val="36"/>
        </w:rPr>
        <w:t>供应商名称：</w:t>
      </w:r>
    </w:p>
    <w:p>
      <w:pPr>
        <w:pStyle w:val="11"/>
        <w:spacing w:line="360" w:lineRule="auto"/>
        <w:ind w:firstLine="1800" w:firstLineChars="500"/>
        <w:textAlignment w:val="baseline"/>
        <w:rPr>
          <w:rStyle w:val="26"/>
          <w:rFonts w:asciiTheme="minorEastAsia" w:hAnsiTheme="minorEastAsia" w:eastAsiaTheme="minorEastAsia" w:cstheme="minorEastAsia"/>
          <w:b/>
          <w:bCs/>
          <w:color w:val="auto"/>
          <w:sz w:val="36"/>
          <w:szCs w:val="36"/>
        </w:rPr>
      </w:pPr>
      <w:r>
        <w:rPr>
          <w:rStyle w:val="26"/>
          <w:rFonts w:hint="eastAsia" w:asciiTheme="minorEastAsia" w:hAnsiTheme="minorEastAsia" w:eastAsiaTheme="minorEastAsia" w:cstheme="minorEastAsia"/>
          <w:b/>
          <w:bCs/>
          <w:color w:val="auto"/>
          <w:sz w:val="36"/>
          <w:szCs w:val="36"/>
        </w:rPr>
        <w:t>日期：</w:t>
      </w:r>
    </w:p>
    <w:p>
      <w:pPr>
        <w:widowControl/>
        <w:jc w:val="left"/>
        <w:textAlignment w:val="baseline"/>
        <w:rPr>
          <w:rStyle w:val="26"/>
          <w:rFonts w:asciiTheme="minorEastAsia" w:hAnsiTheme="minorEastAsia" w:eastAsiaTheme="minorEastAsia" w:cstheme="minorEastAsia"/>
          <w:b/>
          <w:bCs/>
          <w:color w:val="auto"/>
          <w:sz w:val="36"/>
          <w:szCs w:val="36"/>
        </w:rPr>
      </w:pPr>
      <w:r>
        <w:rPr>
          <w:rStyle w:val="26"/>
          <w:rFonts w:hint="eastAsia" w:asciiTheme="minorEastAsia" w:hAnsiTheme="minorEastAsia" w:eastAsiaTheme="minorEastAsia" w:cstheme="minorEastAsia"/>
          <w:b/>
          <w:bCs/>
          <w:color w:val="auto"/>
          <w:sz w:val="36"/>
          <w:szCs w:val="36"/>
        </w:rPr>
        <w:br w:type="page"/>
      </w:r>
    </w:p>
    <w:p>
      <w:pPr>
        <w:pStyle w:val="11"/>
        <w:spacing w:line="360" w:lineRule="auto"/>
        <w:jc w:val="center"/>
        <w:textAlignment w:val="baseline"/>
        <w:rPr>
          <w:rFonts w:asciiTheme="minorEastAsia" w:hAnsiTheme="minorEastAsia" w:eastAsiaTheme="minorEastAsia" w:cstheme="minorEastAsia"/>
          <w:b/>
          <w:bCs/>
          <w:color w:val="auto"/>
          <w:kern w:val="0"/>
          <w:sz w:val="36"/>
          <w:szCs w:val="36"/>
        </w:rPr>
      </w:pPr>
      <w:r>
        <w:rPr>
          <w:rFonts w:hint="eastAsia" w:asciiTheme="minorEastAsia" w:hAnsiTheme="minorEastAsia" w:eastAsiaTheme="minorEastAsia" w:cstheme="minorEastAsia"/>
          <w:b/>
          <w:bCs/>
          <w:color w:val="auto"/>
          <w:kern w:val="0"/>
          <w:sz w:val="36"/>
          <w:szCs w:val="36"/>
        </w:rPr>
        <w:t>一、响应函</w:t>
      </w:r>
    </w:p>
    <w:p>
      <w:pPr>
        <w:widowControl/>
        <w:shd w:val="clear" w:color="auto" w:fill="FFFFFF"/>
        <w:spacing w:before="75" w:after="75" w:line="435" w:lineRule="atLeast"/>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致：     (采购人或采购代理机构)      </w:t>
      </w:r>
    </w:p>
    <w:p>
      <w:pPr>
        <w:widowControl/>
        <w:shd w:val="clear" w:color="auto" w:fill="FFFFFF"/>
        <w:spacing w:before="75" w:after="75" w:line="435" w:lineRule="atLeast"/>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1.根据贵方为</w:t>
      </w:r>
      <w:r>
        <w:rPr>
          <w:rFonts w:hint="eastAsia" w:asciiTheme="minorEastAsia" w:hAnsiTheme="minorEastAsia" w:eastAsiaTheme="minorEastAsia" w:cstheme="minorEastAsia"/>
          <w:color w:val="auto"/>
          <w:kern w:val="0"/>
          <w:sz w:val="24"/>
          <w:szCs w:val="24"/>
          <w:u w:val="single" w:color="000000"/>
        </w:rPr>
        <w:t>                </w:t>
      </w:r>
      <w:r>
        <w:rPr>
          <w:rFonts w:hint="eastAsia" w:asciiTheme="minorEastAsia" w:hAnsiTheme="minorEastAsia" w:eastAsiaTheme="minorEastAsia" w:cstheme="minorEastAsia"/>
          <w:color w:val="auto"/>
          <w:kern w:val="0"/>
          <w:sz w:val="24"/>
          <w:szCs w:val="24"/>
        </w:rPr>
        <w:t>项目（项目编号: </w:t>
      </w:r>
      <w:r>
        <w:rPr>
          <w:rFonts w:hint="eastAsia" w:asciiTheme="minorEastAsia" w:hAnsiTheme="minorEastAsia" w:eastAsiaTheme="minorEastAsia" w:cstheme="minorEastAsia"/>
          <w:color w:val="auto"/>
          <w:kern w:val="0"/>
          <w:sz w:val="24"/>
          <w:szCs w:val="24"/>
          <w:u w:val="single" w:color="000000"/>
        </w:rPr>
        <w:t>            </w:t>
      </w:r>
      <w:r>
        <w:rPr>
          <w:rFonts w:hint="eastAsia" w:asciiTheme="minorEastAsia" w:hAnsiTheme="minorEastAsia" w:eastAsiaTheme="minorEastAsia" w:cstheme="minorEastAsia"/>
          <w:color w:val="auto"/>
          <w:kern w:val="0"/>
          <w:sz w:val="24"/>
          <w:szCs w:val="24"/>
        </w:rPr>
        <w:t>）的采购公告（或采购邀请书），我方签字代表</w:t>
      </w:r>
      <w:r>
        <w:rPr>
          <w:rFonts w:hint="eastAsia" w:asciiTheme="minorEastAsia" w:hAnsiTheme="minorEastAsia" w:eastAsiaTheme="minorEastAsia" w:cstheme="minorEastAsia"/>
          <w:color w:val="auto"/>
          <w:kern w:val="0"/>
          <w:sz w:val="24"/>
          <w:szCs w:val="24"/>
          <w:u w:val="single" w:color="000000"/>
        </w:rPr>
        <w:t>                   </w:t>
      </w:r>
      <w:r>
        <w:rPr>
          <w:rFonts w:hint="eastAsia" w:asciiTheme="minorEastAsia" w:hAnsiTheme="minorEastAsia" w:eastAsiaTheme="minorEastAsia" w:cstheme="minorEastAsia"/>
          <w:color w:val="auto"/>
          <w:kern w:val="0"/>
          <w:sz w:val="24"/>
          <w:szCs w:val="24"/>
        </w:rPr>
        <w:t>（全名、职务）经正式授权并代表的供应商</w:t>
      </w:r>
      <w:r>
        <w:rPr>
          <w:rFonts w:hint="eastAsia" w:asciiTheme="minorEastAsia" w:hAnsiTheme="minorEastAsia" w:eastAsiaTheme="minorEastAsia" w:cstheme="minorEastAsia"/>
          <w:color w:val="auto"/>
          <w:kern w:val="0"/>
          <w:sz w:val="24"/>
          <w:szCs w:val="24"/>
          <w:u w:val="single" w:color="000000"/>
        </w:rPr>
        <w:t>                   </w:t>
      </w:r>
      <w:r>
        <w:rPr>
          <w:rFonts w:hint="eastAsia" w:asciiTheme="minorEastAsia" w:hAnsiTheme="minorEastAsia" w:eastAsiaTheme="minorEastAsia" w:cstheme="minorEastAsia"/>
          <w:color w:val="auto"/>
          <w:kern w:val="0"/>
          <w:sz w:val="24"/>
          <w:szCs w:val="24"/>
        </w:rPr>
        <w:t>（供应商名称、地址）提交包含下述内容的首次响应文件电子投标文件一份，纸质文本正本一套，副本三套。</w:t>
      </w:r>
    </w:p>
    <w:p>
      <w:pPr>
        <w:widowControl/>
        <w:shd w:val="clear" w:color="auto" w:fill="FFFFFF"/>
        <w:spacing w:before="75" w:after="75" w:line="435" w:lineRule="atLeast"/>
        <w:ind w:firstLine="480"/>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（1）响应函</w:t>
      </w:r>
    </w:p>
    <w:p>
      <w:pPr>
        <w:widowControl/>
        <w:shd w:val="clear" w:color="auto" w:fill="FFFFFF"/>
        <w:spacing w:before="75" w:after="75" w:line="435" w:lineRule="atLeast"/>
        <w:ind w:firstLine="480"/>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（2）报价一览表</w:t>
      </w:r>
    </w:p>
    <w:p>
      <w:pPr>
        <w:widowControl/>
        <w:shd w:val="clear" w:color="auto" w:fill="FFFFFF"/>
        <w:spacing w:before="75" w:after="75" w:line="435" w:lineRule="atLeast"/>
        <w:ind w:firstLine="480"/>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（3）资格证明文件</w:t>
      </w:r>
    </w:p>
    <w:p>
      <w:pPr>
        <w:widowControl/>
        <w:shd w:val="clear" w:color="auto" w:fill="FFFFFF"/>
        <w:spacing w:before="75" w:after="75" w:line="435" w:lineRule="atLeast"/>
        <w:ind w:firstLine="480" w:firstLineChars="200"/>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（4）对采购项目内容及要求承诺函</w:t>
      </w:r>
    </w:p>
    <w:p>
      <w:pPr>
        <w:widowControl/>
        <w:shd w:val="clear" w:color="auto" w:fill="FFFFFF"/>
        <w:spacing w:before="75" w:after="75" w:line="435" w:lineRule="atLeast"/>
        <w:ind w:firstLine="480"/>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（5）供应商提交的其他资料（若有）</w:t>
      </w:r>
    </w:p>
    <w:p>
      <w:pPr>
        <w:widowControl/>
        <w:shd w:val="clear" w:color="auto" w:fill="FFFFFF"/>
        <w:spacing w:before="75" w:after="75" w:line="435" w:lineRule="atLeast"/>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2.据此函，我方宣布响应承诺如下：</w:t>
      </w:r>
    </w:p>
    <w:p>
      <w:pPr>
        <w:widowControl/>
        <w:shd w:val="clear" w:color="auto" w:fill="FFFFFF"/>
        <w:spacing w:before="75" w:after="75" w:line="435" w:lineRule="atLeast"/>
        <w:ind w:firstLine="480"/>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pPr>
        <w:widowControl/>
        <w:shd w:val="clear" w:color="auto" w:fill="FFFFFF"/>
        <w:spacing w:before="75" w:after="75" w:line="435" w:lineRule="atLeast"/>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widowControl/>
        <w:shd w:val="clear" w:color="auto" w:fill="FFFFFF"/>
        <w:spacing w:before="75" w:after="75" w:line="435" w:lineRule="atLeast"/>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2.3我方承诺：递交的所有响应文件（包括首次响应文件、补充澄清、最后报价等响应文件）在竞争性磋商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widowControl/>
        <w:shd w:val="clear" w:color="auto" w:fill="FFFFFF"/>
        <w:spacing w:before="75" w:after="75" w:line="435" w:lineRule="atLeast"/>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2.4我方已经按照磋商文件要求提交磋商保证金。我方如果发生任何竞争性磋商文件中所述不予退还磋商保证金的情况，则我方的磋商保证金将被贵方不予退还，我方对此无异议。</w:t>
      </w:r>
    </w:p>
    <w:p>
      <w:pPr>
        <w:widowControl/>
        <w:shd w:val="clear" w:color="auto" w:fill="FFFFFF"/>
        <w:spacing w:before="75" w:after="75" w:line="435" w:lineRule="atLeast"/>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2.5我方愿意向贵方提供任何与本项目磋商采购有关的数据或资料。若贵方需要，我方愿意提供我方作出的一切承诺的证明材料。</w:t>
      </w:r>
    </w:p>
    <w:p>
      <w:pPr>
        <w:widowControl/>
        <w:shd w:val="clear" w:color="auto" w:fill="FFFFFF"/>
        <w:spacing w:before="75" w:after="75" w:line="435" w:lineRule="atLeast"/>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widowControl/>
        <w:shd w:val="clear" w:color="auto" w:fill="FFFFFF"/>
        <w:spacing w:before="75" w:after="75" w:line="435" w:lineRule="atLeast"/>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p>
      <w:pPr>
        <w:widowControl/>
        <w:spacing w:line="324" w:lineRule="auto"/>
        <w:ind w:firstLine="420"/>
        <w:jc w:val="left"/>
        <w:rPr>
          <w:rFonts w:cs="宋体" w:asciiTheme="minorEastAsia" w:hAnsiTheme="minorEastAsia"/>
          <w:color w:val="auto"/>
          <w:kern w:val="0"/>
          <w:sz w:val="24"/>
          <w:szCs w:val="24"/>
        </w:rPr>
      </w:pPr>
      <w:r>
        <w:rPr>
          <w:rStyle w:val="26"/>
          <w:rFonts w:hint="eastAsia" w:asciiTheme="minorEastAsia" w:hAnsiTheme="minorEastAsia" w:eastAsiaTheme="minorEastAsia" w:cstheme="minorEastAsia"/>
          <w:color w:val="auto"/>
          <w:szCs w:val="24"/>
        </w:rPr>
        <w:t>通信地址：</w:t>
      </w:r>
      <w:r>
        <w:rPr>
          <w:rFonts w:hint="eastAsia" w:cs="宋体" w:asciiTheme="minorEastAsia" w:hAnsiTheme="minorEastAsia"/>
          <w:color w:val="auto"/>
          <w:kern w:val="0"/>
          <w:u w:val="single"/>
        </w:rPr>
        <w:t>                  </w:t>
      </w:r>
      <w:r>
        <w:rPr>
          <w:rStyle w:val="26"/>
          <w:rFonts w:hint="eastAsia" w:asciiTheme="minorEastAsia" w:hAnsiTheme="minorEastAsia" w:eastAsiaTheme="minorEastAsia" w:cstheme="minorEastAsia"/>
          <w:color w:val="auto"/>
          <w:szCs w:val="24"/>
        </w:rPr>
        <w:t>邮编：</w:t>
      </w:r>
      <w:r>
        <w:rPr>
          <w:rFonts w:hint="eastAsia" w:cs="宋体" w:asciiTheme="minorEastAsia" w:hAnsiTheme="minorEastAsia"/>
          <w:color w:val="auto"/>
          <w:kern w:val="0"/>
          <w:u w:val="single"/>
        </w:rPr>
        <w:t>       </w:t>
      </w:r>
    </w:p>
    <w:p>
      <w:pPr>
        <w:widowControl/>
        <w:spacing w:line="324" w:lineRule="auto"/>
        <w:ind w:firstLine="420"/>
        <w:jc w:val="left"/>
        <w:rPr>
          <w:rStyle w:val="26"/>
          <w:rFonts w:asciiTheme="minorEastAsia" w:hAnsiTheme="minorEastAsia" w:eastAsiaTheme="minorEastAsia" w:cstheme="minorEastAsia"/>
          <w:color w:val="auto"/>
          <w:szCs w:val="24"/>
        </w:rPr>
      </w:pPr>
    </w:p>
    <w:p>
      <w:pPr>
        <w:widowControl/>
        <w:spacing w:line="324" w:lineRule="auto"/>
        <w:ind w:firstLine="420"/>
        <w:jc w:val="left"/>
        <w:rPr>
          <w:rFonts w:cs="宋体" w:asciiTheme="minorEastAsia" w:hAnsiTheme="minorEastAsia"/>
          <w:color w:val="auto"/>
          <w:kern w:val="0"/>
          <w:sz w:val="24"/>
          <w:szCs w:val="24"/>
          <w:u w:val="single"/>
        </w:rPr>
      </w:pPr>
      <w:r>
        <w:rPr>
          <w:rStyle w:val="26"/>
          <w:rFonts w:hint="eastAsia" w:asciiTheme="minorEastAsia" w:hAnsiTheme="minorEastAsia" w:eastAsiaTheme="minorEastAsia" w:cstheme="minorEastAsia"/>
          <w:color w:val="auto"/>
          <w:szCs w:val="24"/>
        </w:rPr>
        <w:t>联系方法：</w:t>
      </w:r>
      <w:r>
        <w:rPr>
          <w:rFonts w:hint="eastAsia" w:cs="宋体" w:asciiTheme="minorEastAsia" w:hAnsiTheme="minorEastAsia"/>
          <w:color w:val="auto"/>
          <w:kern w:val="0"/>
          <w:u w:val="single"/>
        </w:rPr>
        <w:t>（</w:t>
      </w:r>
      <w:r>
        <w:rPr>
          <w:rStyle w:val="26"/>
          <w:rFonts w:hint="eastAsia" w:asciiTheme="minorEastAsia" w:hAnsiTheme="minorEastAsia" w:eastAsiaTheme="minorEastAsia" w:cstheme="minorEastAsia"/>
          <w:color w:val="auto"/>
          <w:szCs w:val="24"/>
          <w:u w:val="single"/>
        </w:rPr>
        <w:t>包括但不限于：联系人、联系电话、手机、传真、电子邮箱等</w:t>
      </w:r>
      <w:r>
        <w:rPr>
          <w:rFonts w:hint="eastAsia" w:cs="宋体" w:asciiTheme="minorEastAsia" w:hAnsiTheme="minorEastAsia"/>
          <w:color w:val="auto"/>
          <w:kern w:val="0"/>
          <w:u w:val="single"/>
        </w:rPr>
        <w:t>）</w:t>
      </w:r>
    </w:p>
    <w:p>
      <w:pPr>
        <w:spacing w:line="360" w:lineRule="auto"/>
        <w:ind w:firstLine="480" w:firstLineChars="200"/>
        <w:textAlignment w:val="baseline"/>
        <w:rPr>
          <w:rStyle w:val="26"/>
          <w:rFonts w:asciiTheme="minorEastAsia" w:hAnsiTheme="minorEastAsia" w:eastAsiaTheme="minorEastAsia" w:cstheme="minorEastAsia"/>
          <w:color w:val="auto"/>
          <w:szCs w:val="24"/>
        </w:rPr>
      </w:pPr>
    </w:p>
    <w:p>
      <w:pPr>
        <w:spacing w:line="360" w:lineRule="auto"/>
        <w:ind w:firstLine="480" w:firstLineChars="200"/>
        <w:textAlignment w:val="baseline"/>
        <w:rPr>
          <w:rStyle w:val="26"/>
          <w:rFonts w:asciiTheme="minorEastAsia" w:hAnsiTheme="minorEastAsia" w:eastAsiaTheme="minorEastAsia" w:cstheme="minorEastAsia"/>
          <w:color w:val="auto"/>
          <w:szCs w:val="24"/>
          <w:u w:val="single"/>
        </w:rPr>
      </w:pPr>
      <w:r>
        <w:rPr>
          <w:rStyle w:val="26"/>
          <w:rFonts w:hint="eastAsia" w:asciiTheme="minorEastAsia" w:hAnsiTheme="minorEastAsia" w:eastAsiaTheme="minorEastAsia" w:cstheme="minorEastAsia"/>
          <w:color w:val="auto"/>
          <w:szCs w:val="24"/>
        </w:rPr>
        <w:t>供应商代表签字或盖章：</w:t>
      </w:r>
    </w:p>
    <w:p>
      <w:pPr>
        <w:spacing w:line="360" w:lineRule="auto"/>
        <w:ind w:firstLine="480" w:firstLineChars="200"/>
        <w:textAlignment w:val="baseline"/>
        <w:rPr>
          <w:rStyle w:val="26"/>
          <w:rFonts w:asciiTheme="minorEastAsia" w:hAnsiTheme="minorEastAsia" w:eastAsiaTheme="minorEastAsia" w:cstheme="minorEastAsia"/>
          <w:color w:val="auto"/>
          <w:szCs w:val="24"/>
        </w:rPr>
      </w:pPr>
    </w:p>
    <w:p>
      <w:pPr>
        <w:spacing w:line="360" w:lineRule="auto"/>
        <w:ind w:firstLine="480" w:firstLineChars="200"/>
        <w:textAlignment w:val="baseline"/>
        <w:rPr>
          <w:rStyle w:val="26"/>
          <w:rFonts w:asciiTheme="minorEastAsia" w:hAnsiTheme="minorEastAsia" w:eastAsiaTheme="minorEastAsia" w:cstheme="minorEastAsia"/>
          <w:color w:val="auto"/>
          <w:szCs w:val="24"/>
        </w:rPr>
      </w:pPr>
      <w:r>
        <w:rPr>
          <w:rStyle w:val="26"/>
          <w:rFonts w:hint="eastAsia" w:asciiTheme="minorEastAsia" w:hAnsiTheme="minorEastAsia" w:eastAsiaTheme="minorEastAsia" w:cstheme="minorEastAsia"/>
          <w:color w:val="auto"/>
          <w:szCs w:val="24"/>
        </w:rPr>
        <w:t>供应商（全称并加盖公章）：</w:t>
      </w:r>
    </w:p>
    <w:p>
      <w:pPr>
        <w:spacing w:line="360" w:lineRule="auto"/>
        <w:ind w:firstLine="480" w:firstLineChars="200"/>
        <w:textAlignment w:val="baseline"/>
        <w:rPr>
          <w:rStyle w:val="26"/>
          <w:rFonts w:asciiTheme="minorEastAsia" w:hAnsiTheme="minorEastAsia" w:eastAsiaTheme="minorEastAsia" w:cstheme="minorEastAsia"/>
          <w:color w:val="auto"/>
          <w:szCs w:val="24"/>
        </w:rPr>
      </w:pPr>
    </w:p>
    <w:p>
      <w:pPr>
        <w:spacing w:line="360" w:lineRule="auto"/>
        <w:ind w:firstLine="480" w:firstLineChars="200"/>
        <w:textAlignment w:val="baseline"/>
        <w:rPr>
          <w:rStyle w:val="26"/>
          <w:rFonts w:asciiTheme="minorEastAsia" w:hAnsiTheme="minorEastAsia" w:eastAsiaTheme="minorEastAsia" w:cstheme="minorEastAsia"/>
          <w:color w:val="auto"/>
          <w:szCs w:val="24"/>
        </w:rPr>
      </w:pPr>
      <w:r>
        <w:rPr>
          <w:rStyle w:val="26"/>
          <w:rFonts w:hint="eastAsia" w:asciiTheme="minorEastAsia" w:hAnsiTheme="minorEastAsia" w:eastAsiaTheme="minorEastAsia" w:cstheme="minorEastAsia"/>
          <w:color w:val="auto"/>
          <w:szCs w:val="24"/>
        </w:rPr>
        <w:t>日期：  年  月  日</w:t>
      </w:r>
    </w:p>
    <w:p>
      <w:pPr>
        <w:widowControl/>
        <w:spacing w:before="75" w:after="75" w:line="495" w:lineRule="atLeast"/>
        <w:ind w:firstLine="2862" w:firstLineChars="795"/>
        <w:jc w:val="left"/>
        <w:textAlignment w:val="baseline"/>
        <w:rPr>
          <w:rFonts w:asciiTheme="minorEastAsia" w:hAnsiTheme="minorEastAsia" w:eastAsiaTheme="minorEastAsia" w:cstheme="minorEastAsia"/>
          <w:b/>
          <w:bCs/>
          <w:color w:val="auto"/>
          <w:kern w:val="0"/>
          <w:sz w:val="36"/>
          <w:szCs w:val="36"/>
        </w:rPr>
      </w:pPr>
    </w:p>
    <w:p>
      <w:pPr>
        <w:widowControl/>
        <w:spacing w:before="75" w:after="75" w:line="495" w:lineRule="atLeast"/>
        <w:ind w:firstLine="2862" w:firstLineChars="795"/>
        <w:jc w:val="left"/>
        <w:textAlignment w:val="baseline"/>
        <w:rPr>
          <w:rFonts w:asciiTheme="minorEastAsia" w:hAnsiTheme="minorEastAsia" w:eastAsiaTheme="minorEastAsia" w:cstheme="minorEastAsia"/>
          <w:b/>
          <w:bCs/>
          <w:color w:val="auto"/>
          <w:kern w:val="0"/>
          <w:sz w:val="36"/>
          <w:szCs w:val="36"/>
        </w:rPr>
      </w:pPr>
    </w:p>
    <w:p>
      <w:pPr>
        <w:widowControl/>
        <w:spacing w:before="75" w:after="75" w:line="495" w:lineRule="atLeast"/>
        <w:ind w:firstLine="2862" w:firstLineChars="795"/>
        <w:jc w:val="left"/>
        <w:textAlignment w:val="baseline"/>
        <w:rPr>
          <w:rFonts w:asciiTheme="minorEastAsia" w:hAnsiTheme="minorEastAsia" w:eastAsiaTheme="minorEastAsia" w:cstheme="minorEastAsia"/>
          <w:b/>
          <w:bCs/>
          <w:color w:val="auto"/>
          <w:kern w:val="0"/>
          <w:sz w:val="36"/>
          <w:szCs w:val="36"/>
        </w:rPr>
      </w:pPr>
    </w:p>
    <w:p>
      <w:pPr>
        <w:widowControl/>
        <w:spacing w:before="75" w:after="75" w:line="495" w:lineRule="atLeast"/>
        <w:ind w:firstLine="2862" w:firstLineChars="795"/>
        <w:jc w:val="left"/>
        <w:textAlignment w:val="baseline"/>
        <w:rPr>
          <w:rFonts w:asciiTheme="minorEastAsia" w:hAnsiTheme="minorEastAsia" w:eastAsiaTheme="minorEastAsia" w:cstheme="minorEastAsia"/>
          <w:b/>
          <w:bCs/>
          <w:color w:val="auto"/>
          <w:kern w:val="0"/>
          <w:sz w:val="36"/>
          <w:szCs w:val="36"/>
        </w:rPr>
      </w:pPr>
    </w:p>
    <w:p>
      <w:pPr>
        <w:spacing w:line="360" w:lineRule="auto"/>
        <w:jc w:val="both"/>
        <w:textAlignment w:val="baseline"/>
        <w:rPr>
          <w:rFonts w:asciiTheme="minorEastAsia" w:hAnsiTheme="minorEastAsia" w:eastAsiaTheme="minorEastAsia" w:cstheme="minorEastAsia"/>
          <w:color w:val="auto"/>
          <w:kern w:val="0"/>
          <w:sz w:val="29"/>
          <w:szCs w:val="29"/>
        </w:rPr>
      </w:pPr>
    </w:p>
    <w:p>
      <w:pPr>
        <w:numPr>
          <w:ilvl w:val="0"/>
          <w:numId w:val="11"/>
        </w:numPr>
        <w:spacing w:line="360" w:lineRule="auto"/>
        <w:jc w:val="center"/>
        <w:textAlignment w:val="baseline"/>
        <w:rPr>
          <w:rStyle w:val="26"/>
          <w:rFonts w:asciiTheme="minorEastAsia" w:hAnsiTheme="minorEastAsia" w:eastAsiaTheme="minorEastAsia" w:cstheme="minorEastAsia"/>
          <w:b/>
          <w:bCs/>
          <w:color w:val="auto"/>
          <w:sz w:val="32"/>
          <w:szCs w:val="32"/>
        </w:rPr>
      </w:pPr>
      <w:r>
        <w:rPr>
          <w:rStyle w:val="26"/>
          <w:rFonts w:hint="eastAsia" w:asciiTheme="minorEastAsia" w:hAnsiTheme="minorEastAsia" w:eastAsiaTheme="minorEastAsia" w:cstheme="minorEastAsia"/>
          <w:b/>
          <w:bCs/>
          <w:color w:val="auto"/>
          <w:sz w:val="32"/>
          <w:szCs w:val="32"/>
        </w:rPr>
        <w:t>报价一览表</w:t>
      </w:r>
    </w:p>
    <w:p>
      <w:pPr>
        <w:pStyle w:val="37"/>
        <w:ind w:firstLine="0"/>
        <w:rPr>
          <w:rFonts w:asciiTheme="minorEastAsia" w:hAnsiTheme="minorEastAsia" w:eastAsiaTheme="minorEastAsia" w:cstheme="minorEastAsia"/>
          <w:color w:val="auto"/>
        </w:rPr>
      </w:pPr>
    </w:p>
    <w:p>
      <w:pPr>
        <w:spacing w:line="360" w:lineRule="auto"/>
        <w:ind w:firstLine="480" w:firstLineChars="200"/>
        <w:textAlignment w:val="baseline"/>
        <w:rPr>
          <w:rStyle w:val="26"/>
          <w:rFonts w:asciiTheme="minorEastAsia" w:hAnsiTheme="minorEastAsia" w:eastAsiaTheme="minorEastAsia" w:cstheme="minorEastAsia"/>
          <w:color w:val="auto"/>
          <w:szCs w:val="24"/>
        </w:rPr>
      </w:pPr>
      <w:r>
        <w:rPr>
          <w:rStyle w:val="26"/>
          <w:rFonts w:hint="eastAsia" w:asciiTheme="minorEastAsia" w:hAnsiTheme="minorEastAsia" w:eastAsiaTheme="minorEastAsia" w:cstheme="minorEastAsia"/>
          <w:color w:val="auto"/>
          <w:szCs w:val="24"/>
        </w:rPr>
        <w:t>供应商名称：（全称并加盖公章）项目编号∶货币单位：元</w:t>
      </w:r>
    </w:p>
    <w:p>
      <w:pPr>
        <w:spacing w:line="360" w:lineRule="auto"/>
        <w:textAlignment w:val="baseline"/>
        <w:rPr>
          <w:rStyle w:val="26"/>
          <w:rFonts w:asciiTheme="minorEastAsia" w:hAnsiTheme="minorEastAsia" w:eastAsiaTheme="minorEastAsia" w:cstheme="minorEastAsia"/>
          <w:color w:val="auto"/>
          <w:szCs w:val="24"/>
        </w:rPr>
      </w:pPr>
    </w:p>
    <w:tbl>
      <w:tblPr>
        <w:tblStyle w:val="22"/>
        <w:tblW w:w="9240"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6" w:hRule="atLeast"/>
        </w:trPr>
        <w:tc>
          <w:tcPr>
            <w:tcW w:w="9240" w:type="dxa"/>
            <w:noWrap/>
            <w:vAlign w:val="center"/>
          </w:tcPr>
          <w:p>
            <w:pPr>
              <w:spacing w:line="360" w:lineRule="auto"/>
              <w:ind w:firstLine="480" w:firstLineChars="200"/>
              <w:textAlignment w:val="baseline"/>
              <w:rPr>
                <w:rStyle w:val="26"/>
                <w:rFonts w:asciiTheme="minorEastAsia" w:hAnsiTheme="minorEastAsia" w:eastAsiaTheme="minorEastAsia" w:cstheme="minorEastAsia"/>
                <w:color w:val="auto"/>
                <w:szCs w:val="24"/>
              </w:rPr>
            </w:pPr>
            <w:r>
              <w:rPr>
                <w:rStyle w:val="26"/>
                <w:rFonts w:hint="eastAsia" w:asciiTheme="minorEastAsia" w:hAnsiTheme="minorEastAsia" w:eastAsiaTheme="minorEastAsia" w:cstheme="minorEastAsia"/>
                <w:color w:val="auto"/>
                <w:szCs w:val="24"/>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6" w:hRule="atLeast"/>
        </w:trPr>
        <w:tc>
          <w:tcPr>
            <w:tcW w:w="9240" w:type="dxa"/>
            <w:noWrap/>
            <w:vAlign w:val="center"/>
          </w:tcPr>
          <w:p>
            <w:pPr>
              <w:spacing w:line="360" w:lineRule="auto"/>
              <w:ind w:firstLine="480" w:firstLineChars="200"/>
              <w:textAlignment w:val="baseline"/>
              <w:rPr>
                <w:rStyle w:val="26"/>
                <w:rFonts w:asciiTheme="minorEastAsia" w:hAnsiTheme="minorEastAsia" w:eastAsiaTheme="minorEastAsia" w:cstheme="minorEastAsia"/>
                <w:color w:val="auto"/>
                <w:szCs w:val="24"/>
              </w:rPr>
            </w:pPr>
            <w:r>
              <w:rPr>
                <w:rStyle w:val="26"/>
                <w:rFonts w:hint="eastAsia" w:asciiTheme="minorEastAsia" w:hAnsiTheme="minorEastAsia" w:eastAsiaTheme="minorEastAsia" w:cstheme="minorEastAsia"/>
                <w:color w:val="auto"/>
                <w:szCs w:val="24"/>
              </w:rPr>
              <w:t>投报总价：</w:t>
            </w:r>
          </w:p>
          <w:p>
            <w:pPr>
              <w:spacing w:line="360" w:lineRule="auto"/>
              <w:ind w:firstLine="480" w:firstLineChars="200"/>
              <w:textAlignment w:val="baseline"/>
              <w:rPr>
                <w:rStyle w:val="26"/>
                <w:rFonts w:hint="default" w:asciiTheme="minorEastAsia" w:hAnsiTheme="minorEastAsia" w:eastAsiaTheme="minorEastAsia" w:cstheme="minorEastAsia"/>
                <w:color w:val="auto"/>
                <w:szCs w:val="24"/>
                <w:u w:val="single"/>
                <w:lang w:val="en-US"/>
              </w:rPr>
            </w:pPr>
            <w:r>
              <w:rPr>
                <w:rStyle w:val="26"/>
                <w:rFonts w:hint="eastAsia" w:asciiTheme="minorEastAsia" w:hAnsiTheme="minorEastAsia" w:eastAsiaTheme="minorEastAsia" w:cstheme="minorEastAsia"/>
                <w:color w:val="auto"/>
                <w:szCs w:val="24"/>
              </w:rPr>
              <w:t>大写：</w:t>
            </w:r>
            <w:r>
              <w:rPr>
                <w:rStyle w:val="26"/>
                <w:rFonts w:hint="eastAsia" w:asciiTheme="minorEastAsia" w:hAnsiTheme="minorEastAsia" w:eastAsiaTheme="minorEastAsia" w:cstheme="minorEastAsia"/>
                <w:color w:val="auto"/>
                <w:szCs w:val="24"/>
                <w:u w:val="single"/>
              </w:rPr>
              <w:t xml:space="preserve">               </w:t>
            </w:r>
            <w:r>
              <w:rPr>
                <w:rStyle w:val="26"/>
                <w:rFonts w:hint="eastAsia" w:asciiTheme="minorEastAsia" w:hAnsiTheme="minorEastAsia" w:eastAsiaTheme="minorEastAsia" w:cstheme="minorEastAsia"/>
                <w:color w:val="auto"/>
                <w:szCs w:val="24"/>
                <w:u w:val="single"/>
                <w:lang w:val="en-US"/>
              </w:rPr>
              <w:t xml:space="preserve">    </w:t>
            </w:r>
          </w:p>
          <w:p>
            <w:pPr>
              <w:spacing w:line="360" w:lineRule="auto"/>
              <w:ind w:firstLine="480" w:firstLineChars="200"/>
              <w:textAlignment w:val="baseline"/>
              <w:rPr>
                <w:rStyle w:val="26"/>
                <w:rFonts w:asciiTheme="minorEastAsia" w:hAnsiTheme="minorEastAsia" w:eastAsiaTheme="minorEastAsia" w:cstheme="minorEastAsia"/>
                <w:color w:val="auto"/>
                <w:szCs w:val="24"/>
                <w:u w:val="single"/>
              </w:rPr>
            </w:pPr>
            <w:r>
              <w:rPr>
                <w:rStyle w:val="26"/>
                <w:rFonts w:hint="eastAsia" w:asciiTheme="minorEastAsia" w:hAnsiTheme="minorEastAsia" w:eastAsiaTheme="minorEastAsia" w:cstheme="minorEastAsia"/>
                <w:color w:val="auto"/>
                <w:szCs w:val="24"/>
              </w:rPr>
              <w:t>小写：</w:t>
            </w:r>
            <w:r>
              <w:rPr>
                <w:rStyle w:val="26"/>
                <w:rFonts w:hint="eastAsia" w:asciiTheme="minorEastAsia" w:hAnsiTheme="minorEastAsia" w:eastAsiaTheme="minorEastAsia" w:cstheme="minorEastAsia"/>
                <w:color w:val="auto"/>
                <w:szCs w:val="24"/>
                <w:u w:val="single"/>
              </w:rPr>
              <w:t xml:space="preserve">  ￥      </w:t>
            </w:r>
            <w:r>
              <w:rPr>
                <w:rStyle w:val="26"/>
                <w:rFonts w:hint="eastAsia" w:asciiTheme="minorEastAsia" w:hAnsiTheme="minorEastAsia" w:eastAsiaTheme="minorEastAsia" w:cstheme="minorEastAsia"/>
                <w:color w:val="auto"/>
                <w:szCs w:val="24"/>
                <w:u w:val="single"/>
                <w:lang w:val="en-US"/>
              </w:rPr>
              <w:t xml:space="preserve">   </w:t>
            </w:r>
            <w:r>
              <w:rPr>
                <w:rStyle w:val="26"/>
                <w:rFonts w:hint="eastAsia" w:asciiTheme="minorEastAsia" w:hAnsiTheme="minorEastAsia" w:eastAsiaTheme="minorEastAsia" w:cstheme="minorEastAsia"/>
                <w:color w:val="auto"/>
                <w:szCs w:val="24"/>
                <w:u w:val="single"/>
              </w:rPr>
              <w:t xml:space="preserve">       </w:t>
            </w:r>
          </w:p>
        </w:tc>
      </w:tr>
    </w:tbl>
    <w:p>
      <w:pPr>
        <w:spacing w:line="360" w:lineRule="auto"/>
        <w:ind w:firstLine="480" w:firstLineChars="200"/>
        <w:textAlignment w:val="baseline"/>
        <w:rPr>
          <w:rStyle w:val="26"/>
          <w:rFonts w:asciiTheme="minorEastAsia" w:hAnsiTheme="minorEastAsia" w:eastAsiaTheme="minorEastAsia" w:cstheme="minorEastAsia"/>
          <w:color w:val="auto"/>
          <w:szCs w:val="24"/>
        </w:rPr>
      </w:pPr>
    </w:p>
    <w:p>
      <w:pPr>
        <w:spacing w:line="360" w:lineRule="auto"/>
        <w:ind w:firstLine="480" w:firstLineChars="200"/>
        <w:textAlignment w:val="baseline"/>
        <w:rPr>
          <w:rStyle w:val="26"/>
          <w:rFonts w:asciiTheme="minorEastAsia" w:hAnsiTheme="minorEastAsia" w:eastAsiaTheme="minorEastAsia" w:cstheme="minorEastAsia"/>
          <w:color w:val="auto"/>
          <w:szCs w:val="24"/>
        </w:rPr>
      </w:pPr>
    </w:p>
    <w:p>
      <w:pPr>
        <w:spacing w:line="360" w:lineRule="auto"/>
        <w:ind w:firstLine="480" w:firstLineChars="200"/>
        <w:textAlignment w:val="baseline"/>
        <w:rPr>
          <w:rStyle w:val="26"/>
          <w:rFonts w:asciiTheme="minorEastAsia" w:hAnsiTheme="minorEastAsia" w:eastAsiaTheme="minorEastAsia" w:cstheme="minorEastAsia"/>
          <w:color w:val="auto"/>
          <w:szCs w:val="24"/>
          <w:u w:val="single"/>
        </w:rPr>
      </w:pPr>
      <w:r>
        <w:rPr>
          <w:rStyle w:val="26"/>
          <w:rFonts w:hint="eastAsia" w:asciiTheme="minorEastAsia" w:hAnsiTheme="minorEastAsia" w:eastAsiaTheme="minorEastAsia" w:cstheme="minorEastAsia"/>
          <w:color w:val="auto"/>
          <w:szCs w:val="24"/>
        </w:rPr>
        <w:t>供应商代表签字或盖章：</w:t>
      </w:r>
    </w:p>
    <w:p>
      <w:pPr>
        <w:spacing w:line="360" w:lineRule="auto"/>
        <w:ind w:firstLine="480" w:firstLineChars="200"/>
        <w:textAlignment w:val="baseline"/>
        <w:rPr>
          <w:rStyle w:val="26"/>
          <w:rFonts w:asciiTheme="minorEastAsia" w:hAnsiTheme="minorEastAsia" w:eastAsiaTheme="minorEastAsia" w:cstheme="minorEastAsia"/>
          <w:color w:val="auto"/>
          <w:szCs w:val="24"/>
        </w:rPr>
      </w:pPr>
    </w:p>
    <w:p>
      <w:pPr>
        <w:spacing w:line="360" w:lineRule="auto"/>
        <w:ind w:firstLine="480" w:firstLineChars="200"/>
        <w:textAlignment w:val="baseline"/>
        <w:rPr>
          <w:rStyle w:val="26"/>
          <w:rFonts w:asciiTheme="minorEastAsia" w:hAnsiTheme="minorEastAsia" w:eastAsiaTheme="minorEastAsia" w:cstheme="minorEastAsia"/>
          <w:color w:val="auto"/>
          <w:szCs w:val="24"/>
        </w:rPr>
      </w:pPr>
      <w:r>
        <w:rPr>
          <w:rStyle w:val="26"/>
          <w:rFonts w:hint="eastAsia" w:asciiTheme="minorEastAsia" w:hAnsiTheme="minorEastAsia" w:eastAsiaTheme="minorEastAsia" w:cstheme="minorEastAsia"/>
          <w:color w:val="auto"/>
          <w:szCs w:val="24"/>
        </w:rPr>
        <w:t>供应商（全称并加盖公章）：</w:t>
      </w:r>
    </w:p>
    <w:p>
      <w:pPr>
        <w:spacing w:line="360" w:lineRule="auto"/>
        <w:ind w:firstLine="480" w:firstLineChars="200"/>
        <w:textAlignment w:val="baseline"/>
        <w:rPr>
          <w:rStyle w:val="26"/>
          <w:rFonts w:asciiTheme="minorEastAsia" w:hAnsiTheme="minorEastAsia" w:eastAsiaTheme="minorEastAsia" w:cstheme="minorEastAsia"/>
          <w:color w:val="auto"/>
          <w:szCs w:val="24"/>
        </w:rPr>
      </w:pPr>
    </w:p>
    <w:p>
      <w:pPr>
        <w:spacing w:line="360" w:lineRule="auto"/>
        <w:ind w:firstLine="480" w:firstLineChars="200"/>
        <w:textAlignment w:val="baseline"/>
        <w:rPr>
          <w:rStyle w:val="26"/>
          <w:rFonts w:asciiTheme="minorEastAsia" w:hAnsiTheme="minorEastAsia" w:eastAsiaTheme="minorEastAsia" w:cstheme="minorEastAsia"/>
          <w:color w:val="auto"/>
          <w:szCs w:val="24"/>
        </w:rPr>
      </w:pPr>
      <w:r>
        <w:rPr>
          <w:rStyle w:val="26"/>
          <w:rFonts w:hint="eastAsia" w:asciiTheme="minorEastAsia" w:hAnsiTheme="minorEastAsia" w:eastAsiaTheme="minorEastAsia" w:cstheme="minorEastAsia"/>
          <w:color w:val="auto"/>
          <w:szCs w:val="24"/>
        </w:rPr>
        <w:t>日期：  年  月  日</w:t>
      </w:r>
    </w:p>
    <w:p>
      <w:pPr>
        <w:spacing w:line="360" w:lineRule="auto"/>
        <w:ind w:firstLine="480" w:firstLineChars="200"/>
        <w:textAlignment w:val="baseline"/>
        <w:rPr>
          <w:rStyle w:val="26"/>
          <w:rFonts w:asciiTheme="minorEastAsia" w:hAnsiTheme="minorEastAsia" w:eastAsiaTheme="minorEastAsia" w:cstheme="minorEastAsia"/>
          <w:color w:val="auto"/>
          <w:szCs w:val="24"/>
        </w:rPr>
        <w:sectPr>
          <w:headerReference r:id="rId9" w:type="default"/>
          <w:footerReference r:id="rId10" w:type="default"/>
          <w:pgSz w:w="11907" w:h="16840"/>
          <w:pgMar w:top="1440" w:right="1800" w:bottom="1440" w:left="1800" w:header="851" w:footer="992" w:gutter="0"/>
          <w:cols w:space="720" w:num="1"/>
          <w:docGrid w:type="linesAndChars" w:linePitch="323" w:charSpace="-2"/>
        </w:sectPr>
      </w:pPr>
    </w:p>
    <w:p>
      <w:pPr>
        <w:widowControl/>
        <w:shd w:val="clear" w:color="auto" w:fill="FFFFFF"/>
        <w:spacing w:before="75" w:after="75" w:line="435" w:lineRule="atLeast"/>
        <w:ind w:firstLine="3534" w:firstLineChars="1100"/>
        <w:jc w:val="left"/>
        <w:textAlignment w:val="baseline"/>
        <w:rPr>
          <w:rFonts w:asciiTheme="minorEastAsia" w:hAnsiTheme="minorEastAsia" w:eastAsiaTheme="minorEastAsia" w:cstheme="minorEastAsia"/>
          <w:b/>
          <w:bCs/>
          <w:color w:val="auto"/>
          <w:kern w:val="0"/>
          <w:sz w:val="32"/>
          <w:szCs w:val="32"/>
        </w:rPr>
      </w:pPr>
      <w:r>
        <w:rPr>
          <w:rStyle w:val="26"/>
          <w:rFonts w:hint="eastAsia" w:asciiTheme="minorEastAsia" w:hAnsiTheme="minorEastAsia" w:eastAsiaTheme="minorEastAsia" w:cstheme="minorEastAsia"/>
          <w:b/>
          <w:bCs/>
          <w:color w:val="auto"/>
          <w:sz w:val="32"/>
          <w:szCs w:val="32"/>
        </w:rPr>
        <w:t>分项报价表</w:t>
      </w:r>
    </w:p>
    <w:p>
      <w:pPr>
        <w:pStyle w:val="18"/>
        <w:shd w:val="clear" w:color="auto" w:fill="FFFFFF"/>
        <w:spacing w:before="75" w:beforeAutospacing="0" w:after="75" w:afterAutospacing="0"/>
        <w:textAlignment w:val="baseline"/>
        <w:rPr>
          <w:rFonts w:asciiTheme="minorEastAsia" w:hAnsiTheme="minorEastAsia" w:eastAsiaTheme="minorEastAsia" w:cstheme="minorEastAsia"/>
          <w:color w:val="auto"/>
          <w:sz w:val="19"/>
          <w:szCs w:val="19"/>
        </w:rPr>
      </w:pPr>
      <w:r>
        <w:rPr>
          <w:rFonts w:hint="eastAsia" w:asciiTheme="minorEastAsia" w:hAnsiTheme="minorEastAsia" w:eastAsiaTheme="minorEastAsia" w:cstheme="minorEastAsia"/>
          <w:color w:val="auto"/>
          <w:shd w:val="clear" w:color="auto" w:fill="FFFFFF"/>
        </w:rPr>
        <w:t> </w:t>
      </w:r>
    </w:p>
    <w:p>
      <w:pPr>
        <w:pStyle w:val="18"/>
        <w:shd w:val="clear" w:color="auto" w:fill="FFFFFF"/>
        <w:spacing w:before="75" w:beforeAutospacing="0" w:after="75" w:afterAutospacing="0"/>
        <w:textAlignment w:val="baseline"/>
        <w:rPr>
          <w:rFonts w:asciiTheme="minorEastAsia" w:hAnsiTheme="minorEastAsia" w:eastAsiaTheme="minorEastAsia" w:cstheme="minorEastAsia"/>
          <w:color w:val="auto"/>
          <w:sz w:val="19"/>
          <w:szCs w:val="19"/>
        </w:rPr>
      </w:pPr>
      <w:r>
        <w:rPr>
          <w:rFonts w:hint="eastAsia" w:asciiTheme="minorEastAsia" w:hAnsiTheme="minorEastAsia" w:eastAsiaTheme="minorEastAsia" w:cstheme="minorEastAsia"/>
          <w:color w:val="auto"/>
          <w:shd w:val="clear" w:color="auto" w:fill="FFFFFF"/>
        </w:rPr>
        <w:t>项目编号：</w:t>
      </w:r>
      <w:r>
        <w:rPr>
          <w:rFonts w:hint="eastAsia" w:asciiTheme="minorEastAsia" w:hAnsiTheme="minorEastAsia" w:eastAsiaTheme="minorEastAsia" w:cstheme="minorEastAsia"/>
          <w:color w:val="auto"/>
          <w:u w:val="single" w:color="000000"/>
          <w:shd w:val="clear" w:color="auto" w:fill="FFFFFF"/>
        </w:rPr>
        <w:t>                   </w:t>
      </w:r>
    </w:p>
    <w:p>
      <w:pPr>
        <w:pStyle w:val="18"/>
        <w:shd w:val="clear" w:color="auto" w:fill="FFFFFF"/>
        <w:spacing w:before="75" w:beforeAutospacing="0" w:after="75" w:afterAutospacing="0"/>
        <w:ind w:right="840"/>
        <w:textAlignment w:val="baseline"/>
        <w:rPr>
          <w:rFonts w:asciiTheme="minorEastAsia" w:hAnsiTheme="minorEastAsia" w:eastAsiaTheme="minorEastAsia" w:cstheme="minorEastAsia"/>
          <w:color w:val="auto"/>
          <w:sz w:val="19"/>
          <w:szCs w:val="19"/>
        </w:rPr>
      </w:pPr>
      <w:r>
        <w:rPr>
          <w:rFonts w:hint="eastAsia" w:asciiTheme="minorEastAsia" w:hAnsiTheme="minorEastAsia" w:eastAsiaTheme="minorEastAsia" w:cstheme="minorEastAsia"/>
          <w:color w:val="auto"/>
          <w:shd w:val="clear" w:color="auto" w:fill="FFFFFF"/>
        </w:rPr>
        <w:t>货币单位：人民币元</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752"/>
        <w:gridCol w:w="444"/>
        <w:gridCol w:w="883"/>
        <w:gridCol w:w="1158"/>
        <w:gridCol w:w="646"/>
        <w:gridCol w:w="1086"/>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614" w:type="pct"/>
            <w:shd w:val="clear" w:color="auto" w:fill="auto"/>
            <w:noWrap/>
            <w:vAlign w:val="center"/>
          </w:tcPr>
          <w:p>
            <w:pPr>
              <w:pageBreakBefore w:val="0"/>
              <w:kinsoku/>
              <w:overflowPunct/>
              <w:topLinePunct w:val="0"/>
              <w:autoSpaceDE/>
              <w:autoSpaceDN/>
              <w:bidi w:val="0"/>
              <w:adjustRightInd/>
              <w:snapToGrid/>
              <w:spacing w:beforeAutospacing="0" w:afterAutospacing="0"/>
              <w:ind w:left="0" w:leftChars="0" w:right="0" w:rightChars="0"/>
              <w:jc w:val="center"/>
              <w:outlineLvl w:val="9"/>
              <w:rPr>
                <w:rFonts w:ascii="宋体" w:hAnsi="宋体" w:eastAsia="宋体" w:cs="宋体"/>
                <w:b/>
                <w:bCs/>
                <w:i w:val="0"/>
                <w:iCs w:val="0"/>
                <w:color w:val="auto"/>
                <w:sz w:val="21"/>
                <w:szCs w:val="21"/>
                <w:highlight w:val="none"/>
                <w:u w:val="none"/>
              </w:rPr>
            </w:pPr>
            <w:r>
              <w:rPr>
                <w:rFonts w:hint="eastAsia" w:asciiTheme="minorEastAsia" w:hAnsiTheme="minorEastAsia" w:eastAsiaTheme="minorEastAsia" w:cstheme="minorEastAsia"/>
                <w:color w:val="auto"/>
                <w:sz w:val="24"/>
                <w:szCs w:val="24"/>
                <w:highlight w:val="none"/>
              </w:rPr>
              <w:t>项目名称</w:t>
            </w:r>
          </w:p>
        </w:tc>
        <w:tc>
          <w:tcPr>
            <w:tcW w:w="260" w:type="pct"/>
            <w:shd w:val="clear" w:color="auto" w:fill="auto"/>
            <w:noWrap/>
            <w:vAlign w:val="center"/>
          </w:tcPr>
          <w:p>
            <w:pPr>
              <w:pageBreakBefore w:val="0"/>
              <w:kinsoku/>
              <w:overflowPunct/>
              <w:topLinePunct w:val="0"/>
              <w:autoSpaceDE/>
              <w:autoSpaceDN/>
              <w:bidi w:val="0"/>
              <w:adjustRightInd/>
              <w:snapToGrid/>
              <w:spacing w:beforeAutospacing="0" w:afterAutospacing="0"/>
              <w:ind w:left="0" w:leftChars="0" w:right="0" w:rightChars="0"/>
              <w:jc w:val="center"/>
              <w:outlineLvl w:val="9"/>
              <w:rPr>
                <w:rFonts w:ascii="宋体" w:hAnsi="宋体" w:eastAsia="宋体" w:cs="宋体"/>
                <w:b/>
                <w:bCs/>
                <w:i w:val="0"/>
                <w:iCs w:val="0"/>
                <w:color w:val="auto"/>
                <w:sz w:val="21"/>
                <w:szCs w:val="21"/>
                <w:highlight w:val="none"/>
                <w:u w:val="none"/>
              </w:rPr>
            </w:pPr>
            <w:r>
              <w:rPr>
                <w:rFonts w:hint="eastAsia" w:asciiTheme="minorEastAsia" w:hAnsiTheme="minorEastAsia" w:eastAsiaTheme="minorEastAsia" w:cstheme="minorEastAsia"/>
                <w:color w:val="auto"/>
                <w:sz w:val="24"/>
                <w:szCs w:val="24"/>
                <w:highlight w:val="none"/>
                <w:lang w:eastAsia="zh-CN"/>
              </w:rPr>
              <w:t>维保标准</w:t>
            </w:r>
          </w:p>
        </w:tc>
        <w:tc>
          <w:tcPr>
            <w:tcW w:w="518" w:type="pct"/>
            <w:shd w:val="clear" w:color="auto" w:fill="auto"/>
            <w:noWrap/>
            <w:vAlign w:val="center"/>
          </w:tcPr>
          <w:p>
            <w:pPr>
              <w:pageBreakBefore w:val="0"/>
              <w:kinsoku/>
              <w:overflowPunct/>
              <w:topLinePunct w:val="0"/>
              <w:autoSpaceDE/>
              <w:autoSpaceDN/>
              <w:bidi w:val="0"/>
              <w:adjustRightInd/>
              <w:snapToGrid/>
              <w:spacing w:beforeAutospacing="0" w:afterAutospacing="0"/>
              <w:ind w:left="0" w:leftChars="0" w:right="0" w:rightChars="0"/>
              <w:jc w:val="center"/>
              <w:outlineLvl w:val="9"/>
              <w:rPr>
                <w:rFonts w:ascii="宋体" w:hAnsi="宋体" w:eastAsia="宋体" w:cs="宋体"/>
                <w:b/>
                <w:bCs/>
                <w:i w:val="0"/>
                <w:iCs w:val="0"/>
                <w:color w:val="auto"/>
                <w:sz w:val="21"/>
                <w:szCs w:val="21"/>
                <w:highlight w:val="none"/>
                <w:u w:val="none"/>
              </w:rPr>
            </w:pPr>
            <w:r>
              <w:rPr>
                <w:rFonts w:hint="eastAsia" w:asciiTheme="minorEastAsia" w:hAnsiTheme="minorEastAsia" w:eastAsiaTheme="minorEastAsia" w:cstheme="minorEastAsia"/>
                <w:color w:val="auto"/>
                <w:sz w:val="24"/>
                <w:szCs w:val="24"/>
                <w:highlight w:val="none"/>
                <w:lang w:val="en-US" w:eastAsia="zh-CN"/>
              </w:rPr>
              <w:t>数量（台）</w:t>
            </w:r>
          </w:p>
        </w:tc>
        <w:tc>
          <w:tcPr>
            <w:tcW w:w="679" w:type="pct"/>
            <w:shd w:val="clear" w:color="auto" w:fill="auto"/>
            <w:noWrap/>
            <w:vAlign w:val="center"/>
          </w:tcPr>
          <w:p>
            <w:pPr>
              <w:pageBreakBefore w:val="0"/>
              <w:kinsoku/>
              <w:overflowPunct/>
              <w:topLinePunct w:val="0"/>
              <w:autoSpaceDE/>
              <w:autoSpaceDN/>
              <w:bidi w:val="0"/>
              <w:adjustRightInd/>
              <w:snapToGrid/>
              <w:spacing w:beforeAutospacing="0" w:afterAutospacing="0"/>
              <w:ind w:left="0" w:right="0"/>
              <w:jc w:val="center"/>
              <w:outlineLvl w:val="9"/>
              <w:rPr>
                <w:rFonts w:ascii="宋体" w:hAnsi="宋体" w:eastAsia="宋体" w:cs="宋体"/>
                <w:b/>
                <w:bCs/>
                <w:i w:val="0"/>
                <w:iCs w:val="0"/>
                <w:color w:val="auto"/>
                <w:sz w:val="21"/>
                <w:szCs w:val="21"/>
                <w:highlight w:val="none"/>
                <w:u w:val="none"/>
              </w:rPr>
            </w:pPr>
            <w:r>
              <w:rPr>
                <w:rFonts w:hint="eastAsia" w:asciiTheme="minorEastAsia" w:hAnsiTheme="minorEastAsia" w:eastAsiaTheme="minorEastAsia" w:cstheme="minorEastAsia"/>
                <w:color w:val="auto"/>
                <w:sz w:val="24"/>
                <w:szCs w:val="24"/>
                <w:highlight w:val="none"/>
                <w:lang w:val="en-US" w:eastAsia="zh-CN"/>
              </w:rPr>
              <w:t>投报单价</w:t>
            </w:r>
            <w:r>
              <w:rPr>
                <w:rFonts w:hint="eastAsia" w:asciiTheme="minorEastAsia" w:hAnsiTheme="minorEastAsia" w:eastAsiaTheme="minorEastAsia" w:cstheme="minorEastAsia"/>
                <w:color w:val="auto"/>
                <w:sz w:val="24"/>
                <w:szCs w:val="24"/>
                <w:highlight w:val="none"/>
                <w:lang w:eastAsia="zh-CN"/>
              </w:rPr>
              <w:t>（元</w:t>
            </w:r>
            <w:r>
              <w:rPr>
                <w:rFonts w:hint="eastAsia" w:asciiTheme="minorEastAsia" w:hAnsiTheme="minorEastAsia" w:eastAsiaTheme="minorEastAsia" w:cstheme="minorEastAsia"/>
                <w:color w:val="auto"/>
                <w:sz w:val="24"/>
                <w:szCs w:val="24"/>
                <w:highlight w:val="none"/>
                <w:lang w:val="en-US" w:eastAsia="zh-CN"/>
              </w:rPr>
              <w:t>/台/月）</w:t>
            </w:r>
          </w:p>
        </w:tc>
        <w:tc>
          <w:tcPr>
            <w:tcW w:w="379" w:type="pct"/>
            <w:shd w:val="clear" w:color="auto" w:fill="auto"/>
            <w:noWrap/>
            <w:vAlign w:val="center"/>
          </w:tcPr>
          <w:p>
            <w:pPr>
              <w:pageBreakBefore w:val="0"/>
              <w:kinsoku/>
              <w:overflowPunct/>
              <w:topLinePunct w:val="0"/>
              <w:autoSpaceDE/>
              <w:autoSpaceDN/>
              <w:bidi w:val="0"/>
              <w:adjustRightInd/>
              <w:snapToGrid/>
              <w:spacing w:beforeAutospacing="0" w:afterAutospacing="0"/>
              <w:ind w:left="0" w:leftChars="0" w:right="0" w:rightChars="0"/>
              <w:jc w:val="center"/>
              <w:outlineLvl w:val="9"/>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服务期限</w:t>
            </w:r>
          </w:p>
        </w:tc>
        <w:tc>
          <w:tcPr>
            <w:tcW w:w="637" w:type="pct"/>
            <w:shd w:val="clear" w:color="auto" w:fill="auto"/>
            <w:noWrap/>
            <w:vAlign w:val="center"/>
          </w:tcPr>
          <w:p>
            <w:pPr>
              <w:pageBreakBefore w:val="0"/>
              <w:kinsoku/>
              <w:overflowPunct/>
              <w:topLinePunct w:val="0"/>
              <w:autoSpaceDE/>
              <w:autoSpaceDN/>
              <w:bidi w:val="0"/>
              <w:adjustRightInd/>
              <w:snapToGrid/>
              <w:spacing w:beforeAutospacing="0" w:afterAutospacing="0"/>
              <w:ind w:left="0" w:leftChars="0" w:right="0" w:rightChars="0"/>
              <w:jc w:val="center"/>
              <w:outlineLvl w:val="9"/>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合计</w:t>
            </w:r>
            <w:r>
              <w:rPr>
                <w:rFonts w:hint="eastAsia" w:asciiTheme="minorEastAsia" w:hAnsiTheme="minorEastAsia" w:eastAsiaTheme="minorEastAsia" w:cstheme="minorEastAsia"/>
                <w:color w:val="auto"/>
                <w:sz w:val="24"/>
                <w:szCs w:val="24"/>
                <w:highlight w:val="none"/>
                <w:lang w:eastAsia="zh-CN"/>
              </w:rPr>
              <w:t>（元</w:t>
            </w:r>
            <w:r>
              <w:rPr>
                <w:rFonts w:hint="eastAsia" w:asciiTheme="minorEastAsia" w:hAnsiTheme="minorEastAsia" w:eastAsiaTheme="minorEastAsia" w:cstheme="minorEastAsia"/>
                <w:color w:val="auto"/>
                <w:sz w:val="24"/>
                <w:szCs w:val="24"/>
                <w:highlight w:val="none"/>
                <w:lang w:val="en-US" w:eastAsia="zh-CN"/>
              </w:rPr>
              <w:t>）</w:t>
            </w:r>
          </w:p>
        </w:tc>
        <w:tc>
          <w:tcPr>
            <w:tcW w:w="911" w:type="pct"/>
            <w:shd w:val="clear" w:color="auto" w:fill="auto"/>
            <w:noWrap/>
            <w:vAlign w:val="center"/>
          </w:tcPr>
          <w:p>
            <w:pPr>
              <w:pageBreakBefore w:val="0"/>
              <w:kinsoku/>
              <w:overflowPunct/>
              <w:topLinePunct w:val="0"/>
              <w:autoSpaceDE/>
              <w:autoSpaceDN/>
              <w:bidi w:val="0"/>
              <w:adjustRightInd/>
              <w:snapToGrid/>
              <w:spacing w:beforeAutospacing="0" w:afterAutospacing="0"/>
              <w:ind w:left="0" w:leftChars="0" w:right="0" w:rightChars="0"/>
              <w:jc w:val="center"/>
              <w:outlineLvl w:val="9"/>
              <w:rPr>
                <w:rFonts w:ascii="宋体" w:hAnsi="宋体" w:eastAsia="宋体" w:cs="宋体"/>
                <w:b/>
                <w:bCs/>
                <w:i w:val="0"/>
                <w:iCs w:val="0"/>
                <w:color w:val="auto"/>
                <w:sz w:val="21"/>
                <w:szCs w:val="21"/>
                <w:highlight w:val="none"/>
                <w:u w:val="none"/>
              </w:rPr>
            </w:pPr>
            <w:r>
              <w:rPr>
                <w:rFonts w:hint="eastAsia" w:asciiTheme="minorEastAsia" w:hAnsiTheme="minorEastAsia" w:eastAsiaTheme="minorEastAsia" w:cstheme="minorEastAsia"/>
                <w:color w:val="auto"/>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6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right="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百花金城：</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00" w:lineRule="exact"/>
              <w:ind w:left="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楼层：13层-16层</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00" w:lineRule="exact"/>
              <w:ind w:left="0" w:right="0" w:rightChars="0"/>
              <w:jc w:val="left"/>
              <w:textAlignment w:val="auto"/>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电梯品牌：三菱</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使用日期：</w:t>
            </w:r>
            <w:r>
              <w:rPr>
                <w:rFonts w:hint="eastAsia" w:asciiTheme="minorEastAsia" w:hAnsiTheme="minorEastAsia" w:eastAsiaTheme="minorEastAsia" w:cstheme="minorEastAsia"/>
                <w:color w:val="auto"/>
                <w:sz w:val="24"/>
                <w:szCs w:val="24"/>
                <w:highlight w:val="none"/>
                <w:lang w:val="en-US" w:eastAsia="zh-CN"/>
              </w:rPr>
              <w:t>2012年</w:t>
            </w:r>
          </w:p>
          <w:p>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ascii="宋体" w:hAnsi="宋体" w:eastAsia="宋体" w:cs="宋体"/>
                <w:i w:val="0"/>
                <w:iCs w:val="0"/>
                <w:color w:val="auto"/>
                <w:sz w:val="21"/>
                <w:szCs w:val="21"/>
                <w:highlight w:val="none"/>
                <w:u w:val="none"/>
              </w:rPr>
            </w:pPr>
            <w:r>
              <w:rPr>
                <w:rFonts w:hint="eastAsia" w:asciiTheme="minorEastAsia" w:hAnsiTheme="minorEastAsia" w:eastAsiaTheme="minorEastAsia" w:cstheme="minorEastAsia"/>
                <w:color w:val="auto"/>
                <w:sz w:val="24"/>
                <w:szCs w:val="24"/>
                <w:highlight w:val="none"/>
                <w:lang w:val="en-US" w:eastAsia="zh-CN"/>
              </w:rPr>
              <w:t>地址：</w:t>
            </w:r>
            <w:r>
              <w:rPr>
                <w:rFonts w:hint="eastAsia" w:ascii="宋体" w:hAnsi="宋体" w:eastAsia="宋体" w:cs="宋体"/>
                <w:b w:val="0"/>
                <w:bCs/>
                <w:color w:val="auto"/>
                <w:sz w:val="24"/>
                <w:szCs w:val="24"/>
                <w:highlight w:val="none"/>
                <w:vertAlign w:val="baseline"/>
                <w:lang w:val="en-US" w:eastAsia="zh-CN"/>
              </w:rPr>
              <w:t>连城县莲峰镇百花金城小区</w:t>
            </w:r>
          </w:p>
        </w:tc>
        <w:tc>
          <w:tcPr>
            <w:tcW w:w="26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ascii="宋体" w:hAnsi="宋体" w:eastAsia="宋体" w:cs="宋体"/>
                <w:i w:val="0"/>
                <w:iCs w:val="0"/>
                <w:color w:val="auto"/>
                <w:sz w:val="21"/>
                <w:szCs w:val="21"/>
                <w:highlight w:val="none"/>
                <w:u w:val="none"/>
              </w:rPr>
            </w:pPr>
            <w:r>
              <w:rPr>
                <w:rFonts w:hint="eastAsia" w:asciiTheme="minorEastAsia" w:hAnsiTheme="minorEastAsia" w:eastAsiaTheme="minorEastAsia" w:cstheme="minorEastAsia"/>
                <w:color w:val="auto"/>
                <w:sz w:val="24"/>
                <w:szCs w:val="24"/>
                <w:highlight w:val="none"/>
                <w:lang w:val="en-US" w:eastAsia="zh-CN"/>
              </w:rPr>
              <w:t>全包</w:t>
            </w:r>
          </w:p>
        </w:tc>
        <w:tc>
          <w:tcPr>
            <w:tcW w:w="5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ind w:left="0" w:leftChars="0" w:right="0" w:rightChars="0"/>
              <w:jc w:val="center"/>
              <w:textAlignment w:val="auto"/>
              <w:outlineLvl w:val="9"/>
              <w:rPr>
                <w:rFonts w:ascii="新宋体" w:hAnsi="新宋体" w:eastAsia="新宋体" w:cs="新宋体"/>
                <w:i w:val="0"/>
                <w:iCs w:val="0"/>
                <w:color w:val="auto"/>
                <w:sz w:val="21"/>
                <w:szCs w:val="21"/>
                <w:highlight w:val="none"/>
                <w:u w:val="none"/>
              </w:rPr>
            </w:pPr>
            <w:r>
              <w:rPr>
                <w:rFonts w:hint="eastAsia" w:asciiTheme="minorEastAsia" w:hAnsiTheme="minorEastAsia" w:eastAsiaTheme="minorEastAsia" w:cstheme="minorEastAsia"/>
                <w:color w:val="auto"/>
                <w:sz w:val="24"/>
                <w:szCs w:val="24"/>
                <w:highlight w:val="none"/>
                <w:lang w:val="en-US" w:eastAsia="zh-CN"/>
              </w:rPr>
              <w:t>21</w:t>
            </w:r>
          </w:p>
        </w:tc>
        <w:tc>
          <w:tcPr>
            <w:tcW w:w="67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ind w:left="0" w:leftChars="0" w:right="0" w:rightChars="0"/>
              <w:jc w:val="center"/>
              <w:textAlignment w:val="auto"/>
              <w:outlineLvl w:val="9"/>
              <w:rPr>
                <w:rFonts w:ascii="宋体" w:hAnsi="宋体" w:eastAsia="宋体" w:cs="宋体"/>
                <w:i w:val="0"/>
                <w:iCs w:val="0"/>
                <w:color w:val="auto"/>
                <w:sz w:val="21"/>
                <w:szCs w:val="21"/>
                <w:highlight w:val="none"/>
                <w:u w:val="none"/>
              </w:rPr>
            </w:pPr>
          </w:p>
        </w:tc>
        <w:tc>
          <w:tcPr>
            <w:tcW w:w="37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12个月</w:t>
            </w:r>
          </w:p>
        </w:tc>
        <w:tc>
          <w:tcPr>
            <w:tcW w:w="6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p>
        </w:tc>
        <w:tc>
          <w:tcPr>
            <w:tcW w:w="91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ascii="宋体" w:hAnsi="宋体" w:eastAsia="宋体" w:cs="宋体"/>
                <w:i w:val="0"/>
                <w:iCs w:val="0"/>
                <w:color w:val="auto"/>
                <w:sz w:val="21"/>
                <w:szCs w:val="21"/>
                <w:highlight w:val="none"/>
                <w:u w:val="none"/>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提供维保所需工具、电梯零部件和劳务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614" w:type="pct"/>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鹧鸪花园</w:t>
            </w:r>
          </w:p>
          <w:p>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300" w:lineRule="exact"/>
              <w:ind w:left="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楼层：13层</w:t>
            </w:r>
          </w:p>
          <w:p>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300" w:lineRule="exact"/>
              <w:ind w:left="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电梯品牌：通力电梯</w:t>
            </w:r>
          </w:p>
          <w:p>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300" w:lineRule="exact"/>
              <w:ind w:left="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使用日期：2023年</w:t>
            </w:r>
          </w:p>
          <w:p>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300" w:lineRule="exact"/>
              <w:ind w:left="0" w:leftChars="0" w:right="0" w:rightChars="0"/>
              <w:jc w:val="left"/>
              <w:textAlignment w:val="auto"/>
              <w:outlineLvl w:val="9"/>
              <w:rPr>
                <w:rFonts w:ascii="宋体" w:hAnsi="宋体" w:eastAsia="宋体" w:cs="宋体"/>
                <w:i w:val="0"/>
                <w:iCs w:val="0"/>
                <w:color w:val="auto"/>
                <w:sz w:val="21"/>
                <w:szCs w:val="21"/>
                <w:highlight w:val="none"/>
                <w:u w:val="none"/>
              </w:rPr>
            </w:pPr>
            <w:r>
              <w:rPr>
                <w:rFonts w:hint="eastAsia" w:ascii="宋体" w:hAnsi="宋体" w:cs="宋体"/>
                <w:b w:val="0"/>
                <w:bCs/>
                <w:color w:val="auto"/>
                <w:sz w:val="24"/>
                <w:szCs w:val="24"/>
                <w:highlight w:val="none"/>
                <w:vertAlign w:val="baseline"/>
                <w:lang w:val="en-US" w:eastAsia="zh-CN"/>
              </w:rPr>
              <w:t>地址：</w:t>
            </w:r>
            <w:r>
              <w:rPr>
                <w:rFonts w:hint="eastAsia" w:ascii="宋体" w:hAnsi="宋体" w:eastAsia="宋体" w:cs="宋体"/>
                <w:b w:val="0"/>
                <w:bCs/>
                <w:color w:val="auto"/>
                <w:sz w:val="24"/>
                <w:szCs w:val="24"/>
                <w:highlight w:val="none"/>
                <w:vertAlign w:val="baseline"/>
                <w:lang w:val="en-US" w:eastAsia="zh-CN"/>
              </w:rPr>
              <w:t>连城县莲峰镇西台路98号鹧鸪花园</w:t>
            </w:r>
          </w:p>
        </w:tc>
        <w:tc>
          <w:tcPr>
            <w:tcW w:w="260"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ascii="宋体" w:hAnsi="宋体" w:eastAsia="宋体" w:cs="宋体"/>
                <w:i w:val="0"/>
                <w:iCs w:val="0"/>
                <w:color w:val="auto"/>
                <w:sz w:val="21"/>
                <w:szCs w:val="21"/>
                <w:highlight w:val="none"/>
                <w:u w:val="none"/>
              </w:rPr>
            </w:pPr>
            <w:r>
              <w:rPr>
                <w:rFonts w:hint="eastAsia" w:asciiTheme="minorEastAsia" w:hAnsiTheme="minorEastAsia" w:eastAsiaTheme="minorEastAsia" w:cstheme="minorEastAsia"/>
                <w:color w:val="auto"/>
                <w:sz w:val="24"/>
                <w:szCs w:val="24"/>
                <w:highlight w:val="none"/>
                <w:lang w:val="en-US" w:eastAsia="zh-CN"/>
              </w:rPr>
              <w:t>半包</w:t>
            </w:r>
          </w:p>
        </w:tc>
        <w:tc>
          <w:tcPr>
            <w:tcW w:w="518"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ind w:left="0" w:leftChars="0" w:right="0" w:rightChars="0"/>
              <w:jc w:val="center"/>
              <w:textAlignment w:val="auto"/>
              <w:outlineLvl w:val="9"/>
              <w:rPr>
                <w:rFonts w:ascii="宋体" w:hAnsi="宋体" w:eastAsia="宋体" w:cs="宋体"/>
                <w:i w:val="0"/>
                <w:iCs w:val="0"/>
                <w:color w:val="auto"/>
                <w:sz w:val="21"/>
                <w:szCs w:val="21"/>
                <w:highlight w:val="none"/>
                <w:u w:val="none"/>
              </w:rPr>
            </w:pPr>
            <w:r>
              <w:rPr>
                <w:rFonts w:hint="eastAsia" w:asciiTheme="minorEastAsia" w:hAnsiTheme="minorEastAsia" w:eastAsiaTheme="minorEastAsia" w:cstheme="minorEastAsia"/>
                <w:color w:val="auto"/>
                <w:sz w:val="24"/>
                <w:szCs w:val="24"/>
                <w:highlight w:val="none"/>
                <w:lang w:val="en-US" w:eastAsia="zh-CN"/>
              </w:rPr>
              <w:t>10</w:t>
            </w:r>
          </w:p>
        </w:tc>
        <w:tc>
          <w:tcPr>
            <w:tcW w:w="679"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ind w:left="0" w:leftChars="0" w:right="0" w:rightChars="0"/>
              <w:jc w:val="center"/>
              <w:textAlignment w:val="auto"/>
              <w:outlineLvl w:val="9"/>
              <w:rPr>
                <w:rFonts w:ascii="宋体" w:hAnsi="宋体" w:eastAsia="宋体" w:cs="宋体"/>
                <w:i w:val="0"/>
                <w:iCs w:val="0"/>
                <w:color w:val="auto"/>
                <w:sz w:val="21"/>
                <w:szCs w:val="21"/>
                <w:highlight w:val="none"/>
                <w:u w:val="none"/>
              </w:rPr>
            </w:pPr>
          </w:p>
        </w:tc>
        <w:tc>
          <w:tcPr>
            <w:tcW w:w="379"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12个月</w:t>
            </w:r>
          </w:p>
        </w:tc>
        <w:tc>
          <w:tcPr>
            <w:tcW w:w="63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p>
        </w:tc>
        <w:tc>
          <w:tcPr>
            <w:tcW w:w="91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ascii="宋体" w:hAnsi="宋体" w:eastAsia="宋体" w:cs="宋体"/>
                <w:i w:val="0"/>
                <w:iCs w:val="0"/>
                <w:color w:val="auto"/>
                <w:sz w:val="21"/>
                <w:szCs w:val="21"/>
                <w:highlight w:val="none"/>
                <w:u w:val="none"/>
              </w:rPr>
            </w:pPr>
            <w:r>
              <w:rPr>
                <w:rFonts w:hint="eastAsia" w:asciiTheme="minorEastAsia" w:hAnsiTheme="minorEastAsia" w:eastAsiaTheme="minorEastAsia" w:cstheme="minorEastAsia"/>
                <w:b w:val="0"/>
                <w:bCs w:val="0"/>
                <w:i w:val="0"/>
                <w:iCs w:val="0"/>
                <w:caps w:val="0"/>
                <w:color w:val="auto"/>
                <w:spacing w:val="0"/>
                <w:kern w:val="0"/>
                <w:sz w:val="24"/>
                <w:szCs w:val="24"/>
                <w:highlight w:val="none"/>
                <w:shd w:val="clear" w:fill="FFFFFF"/>
                <w:lang w:val="en-US" w:eastAsia="zh-CN" w:bidi="ar"/>
              </w:rPr>
              <w:t>提供维保所需工具和劳务，并免费提供300元（含）以内电梯原厂零部件，进水及人为损坏除外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614" w:type="pct"/>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南前花园</w:t>
            </w: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3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楼层：11层</w:t>
            </w: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3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电梯品牌：江南嘉捷</w:t>
            </w: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3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使用日期：2022年</w:t>
            </w:r>
          </w:p>
          <w:p>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300" w:lineRule="exact"/>
              <w:ind w:left="0" w:leftChars="0" w:right="0" w:rightChars="0"/>
              <w:jc w:val="left"/>
              <w:textAlignment w:val="auto"/>
              <w:outlineLvl w:val="9"/>
              <w:rPr>
                <w:rFonts w:ascii="宋体" w:hAnsi="宋体" w:eastAsia="宋体" w:cs="宋体"/>
                <w:i w:val="0"/>
                <w:iCs w:val="0"/>
                <w:color w:val="auto"/>
                <w:sz w:val="21"/>
                <w:szCs w:val="21"/>
                <w:highlight w:val="none"/>
                <w:u w:val="none"/>
              </w:rPr>
            </w:pPr>
            <w:r>
              <w:rPr>
                <w:rFonts w:hint="eastAsia" w:asciiTheme="minorEastAsia" w:hAnsiTheme="minorEastAsia" w:eastAsiaTheme="minorEastAsia" w:cstheme="minorEastAsia"/>
                <w:color w:val="auto"/>
                <w:sz w:val="24"/>
                <w:szCs w:val="24"/>
                <w:highlight w:val="none"/>
                <w:lang w:val="en-US" w:eastAsia="zh-CN"/>
              </w:rPr>
              <w:t>地址：</w:t>
            </w:r>
            <w:r>
              <w:rPr>
                <w:rFonts w:hint="eastAsia" w:ascii="宋体" w:hAnsi="宋体" w:eastAsia="宋体" w:cs="宋体"/>
                <w:b w:val="0"/>
                <w:bCs/>
                <w:color w:val="auto"/>
                <w:sz w:val="24"/>
                <w:szCs w:val="24"/>
                <w:highlight w:val="none"/>
                <w:vertAlign w:val="baseline"/>
                <w:lang w:val="en-US" w:eastAsia="zh-CN"/>
              </w:rPr>
              <w:t>连城县莲峰镇南前村南前花园安置小区</w:t>
            </w:r>
          </w:p>
        </w:tc>
        <w:tc>
          <w:tcPr>
            <w:tcW w:w="2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ascii="宋体" w:hAnsi="宋体" w:eastAsia="宋体" w:cs="宋体"/>
                <w:i w:val="0"/>
                <w:iCs w:val="0"/>
                <w:color w:val="auto"/>
                <w:sz w:val="21"/>
                <w:szCs w:val="21"/>
                <w:highlight w:val="none"/>
                <w:u w:val="none"/>
              </w:rPr>
            </w:pPr>
            <w:r>
              <w:rPr>
                <w:rFonts w:hint="eastAsia" w:asciiTheme="minorEastAsia" w:hAnsiTheme="minorEastAsia" w:eastAsiaTheme="minorEastAsia" w:cstheme="minorEastAsia"/>
                <w:color w:val="auto"/>
                <w:sz w:val="24"/>
                <w:szCs w:val="24"/>
                <w:highlight w:val="none"/>
                <w:lang w:val="en-US" w:eastAsia="zh-CN"/>
              </w:rPr>
              <w:t>半包</w:t>
            </w:r>
          </w:p>
        </w:tc>
        <w:tc>
          <w:tcPr>
            <w:tcW w:w="518" w:type="pct"/>
            <w:shd w:val="clear" w:color="auto" w:fill="FFFFFF"/>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ind w:left="0" w:leftChars="0" w:right="0" w:rightChars="0"/>
              <w:jc w:val="center"/>
              <w:textAlignment w:val="auto"/>
              <w:outlineLvl w:val="9"/>
              <w:rPr>
                <w:rFonts w:ascii="宋体" w:hAnsi="宋体" w:eastAsia="宋体" w:cs="宋体"/>
                <w:i w:val="0"/>
                <w:iCs w:val="0"/>
                <w:color w:val="auto"/>
                <w:sz w:val="21"/>
                <w:szCs w:val="21"/>
                <w:highlight w:val="none"/>
                <w:u w:val="none"/>
              </w:rPr>
            </w:pPr>
            <w:r>
              <w:rPr>
                <w:rFonts w:hint="eastAsia" w:asciiTheme="minorEastAsia" w:hAnsiTheme="minorEastAsia" w:eastAsiaTheme="minorEastAsia" w:cstheme="minorEastAsia"/>
                <w:color w:val="auto"/>
                <w:sz w:val="24"/>
                <w:szCs w:val="24"/>
                <w:highlight w:val="none"/>
                <w:lang w:val="en-US" w:eastAsia="zh-CN"/>
              </w:rPr>
              <w:t>9</w:t>
            </w:r>
          </w:p>
        </w:tc>
        <w:tc>
          <w:tcPr>
            <w:tcW w:w="67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ind w:left="0" w:leftChars="0" w:right="0" w:rightChars="0"/>
              <w:jc w:val="center"/>
              <w:textAlignment w:val="auto"/>
              <w:outlineLvl w:val="9"/>
              <w:rPr>
                <w:rFonts w:ascii="宋体" w:hAnsi="宋体" w:eastAsia="宋体" w:cs="宋体"/>
                <w:i w:val="0"/>
                <w:iCs w:val="0"/>
                <w:color w:val="auto"/>
                <w:sz w:val="21"/>
                <w:szCs w:val="21"/>
                <w:highlight w:val="none"/>
                <w:u w:val="none"/>
              </w:rPr>
            </w:pPr>
          </w:p>
        </w:tc>
        <w:tc>
          <w:tcPr>
            <w:tcW w:w="379" w:type="pct"/>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p>
        </w:tc>
        <w:tc>
          <w:tcPr>
            <w:tcW w:w="6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p>
        </w:tc>
        <w:tc>
          <w:tcPr>
            <w:tcW w:w="911" w:type="pct"/>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1614" w:type="pct"/>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莲冠花园</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3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楼层：8-11层</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300" w:lineRule="exact"/>
              <w:ind w:left="0" w:leftChars="0" w:right="0" w:right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电梯品牌：通力电梯</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使用日期：2014年</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300" w:lineRule="exact"/>
              <w:ind w:left="0" w:leftChars="0" w:right="0" w:rightChars="0" w:firstLine="0" w:firstLineChars="0"/>
              <w:jc w:val="left"/>
              <w:textAlignment w:val="auto"/>
              <w:outlineLvl w:val="9"/>
              <w:rPr>
                <w:rFonts w:ascii="宋体" w:hAnsi="宋体" w:eastAsia="宋体" w:cs="宋体"/>
                <w:i w:val="0"/>
                <w:iCs w:val="0"/>
                <w:color w:val="auto"/>
                <w:sz w:val="21"/>
                <w:szCs w:val="21"/>
                <w:highlight w:val="none"/>
                <w:u w:val="none"/>
              </w:rPr>
            </w:pPr>
            <w:r>
              <w:rPr>
                <w:rFonts w:hint="eastAsia" w:asciiTheme="minorEastAsia" w:hAnsiTheme="minorEastAsia" w:eastAsiaTheme="minorEastAsia" w:cstheme="minorEastAsia"/>
                <w:color w:val="auto"/>
                <w:sz w:val="24"/>
                <w:szCs w:val="24"/>
                <w:highlight w:val="none"/>
                <w:lang w:val="en-US" w:eastAsia="zh-CN"/>
              </w:rPr>
              <w:t>地址：</w:t>
            </w:r>
            <w:r>
              <w:rPr>
                <w:rFonts w:hint="eastAsia" w:ascii="宋体" w:hAnsi="宋体" w:eastAsia="宋体" w:cs="宋体"/>
                <w:b w:val="0"/>
                <w:bCs/>
                <w:color w:val="auto"/>
                <w:sz w:val="24"/>
                <w:szCs w:val="24"/>
                <w:highlight w:val="none"/>
                <w:vertAlign w:val="baseline"/>
                <w:lang w:val="en-US" w:eastAsia="zh-CN"/>
              </w:rPr>
              <w:t>连城县莲峰镇莲北大道3号</w:t>
            </w:r>
          </w:p>
        </w:tc>
        <w:tc>
          <w:tcPr>
            <w:tcW w:w="260"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ascii="宋体" w:hAnsi="宋体" w:eastAsia="宋体" w:cs="宋体"/>
                <w:i w:val="0"/>
                <w:iCs w:val="0"/>
                <w:color w:val="auto"/>
                <w:sz w:val="21"/>
                <w:szCs w:val="21"/>
                <w:highlight w:val="none"/>
                <w:u w:val="none"/>
              </w:rPr>
            </w:pPr>
            <w:r>
              <w:rPr>
                <w:rFonts w:hint="eastAsia" w:asciiTheme="minorEastAsia" w:hAnsiTheme="minorEastAsia" w:eastAsiaTheme="minorEastAsia" w:cstheme="minorEastAsia"/>
                <w:color w:val="auto"/>
                <w:sz w:val="24"/>
                <w:szCs w:val="24"/>
                <w:highlight w:val="none"/>
                <w:lang w:val="en-US" w:eastAsia="zh-CN"/>
              </w:rPr>
              <w:t>半包</w:t>
            </w:r>
          </w:p>
        </w:tc>
        <w:tc>
          <w:tcPr>
            <w:tcW w:w="518" w:type="pct"/>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Autospacing="0" w:afterAutospacing="0"/>
              <w:ind w:left="0" w:leftChars="0" w:right="0" w:rightChars="0"/>
              <w:jc w:val="center"/>
              <w:textAlignment w:val="auto"/>
              <w:outlineLvl w:val="9"/>
              <w:rPr>
                <w:rFonts w:ascii="宋体" w:hAnsi="宋体" w:eastAsia="宋体" w:cs="宋体"/>
                <w:i w:val="0"/>
                <w:iCs w:val="0"/>
                <w:color w:val="auto"/>
                <w:sz w:val="21"/>
                <w:szCs w:val="21"/>
                <w:highlight w:val="none"/>
                <w:u w:val="none"/>
              </w:rPr>
            </w:pPr>
            <w:r>
              <w:rPr>
                <w:rFonts w:hint="eastAsia" w:asciiTheme="minorEastAsia" w:hAnsiTheme="minorEastAsia" w:eastAsiaTheme="minorEastAsia" w:cstheme="minorEastAsia"/>
                <w:color w:val="auto"/>
                <w:sz w:val="24"/>
                <w:szCs w:val="24"/>
                <w:highlight w:val="none"/>
                <w:lang w:val="en-US" w:eastAsia="zh-CN"/>
              </w:rPr>
              <w:t>13</w:t>
            </w:r>
          </w:p>
        </w:tc>
        <w:tc>
          <w:tcPr>
            <w:tcW w:w="679"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ind w:left="0" w:leftChars="0" w:right="0" w:rightChars="0"/>
              <w:jc w:val="center"/>
              <w:textAlignment w:val="auto"/>
              <w:outlineLvl w:val="9"/>
              <w:rPr>
                <w:rFonts w:ascii="宋体" w:hAnsi="宋体" w:eastAsia="宋体" w:cs="宋体"/>
                <w:i w:val="0"/>
                <w:iCs w:val="0"/>
                <w:color w:val="auto"/>
                <w:sz w:val="21"/>
                <w:szCs w:val="21"/>
                <w:highlight w:val="none"/>
                <w:u w:val="none"/>
              </w:rPr>
            </w:pPr>
          </w:p>
        </w:tc>
        <w:tc>
          <w:tcPr>
            <w:tcW w:w="379" w:type="pct"/>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p>
        </w:tc>
        <w:tc>
          <w:tcPr>
            <w:tcW w:w="637" w:type="pct"/>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hint="eastAsia" w:asciiTheme="minorEastAsia" w:hAnsiTheme="minorEastAsia" w:eastAsiaTheme="minorEastAsia" w:cstheme="minorEastAsia"/>
                <w:color w:val="auto"/>
                <w:sz w:val="24"/>
                <w:szCs w:val="24"/>
                <w:highlight w:val="none"/>
                <w:lang w:val="en-US" w:eastAsia="zh-CN"/>
              </w:rPr>
            </w:pPr>
          </w:p>
        </w:tc>
        <w:tc>
          <w:tcPr>
            <w:tcW w:w="911" w:type="pct"/>
            <w:vMerge w:val="continue"/>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rightChars="0"/>
              <w:jc w:val="center"/>
              <w:textAlignment w:val="auto"/>
              <w:outlineLvl w:val="9"/>
              <w:rPr>
                <w:rFonts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4" w:hRule="atLeast"/>
        </w:trPr>
        <w:tc>
          <w:tcPr>
            <w:tcW w:w="5000" w:type="pct"/>
            <w:gridSpan w:val="7"/>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sz w:val="21"/>
                <w:szCs w:val="21"/>
                <w:highlight w:val="none"/>
                <w:u w:val="none"/>
                <w:lang w:val="en-US" w:eastAsia="zh-CN"/>
              </w:rPr>
              <w:t>投标总价：大写</w:t>
            </w:r>
            <w:r>
              <w:rPr>
                <w:rFonts w:hint="eastAsia" w:ascii="宋体" w:hAnsi="宋体" w:cs="宋体"/>
                <w:i w:val="0"/>
                <w:iCs w:val="0"/>
                <w:color w:val="auto"/>
                <w:sz w:val="21"/>
                <w:szCs w:val="21"/>
                <w:highlight w:val="none"/>
                <w:u w:val="single"/>
                <w:lang w:val="en-US" w:eastAsia="zh-CN"/>
              </w:rPr>
              <w:t xml:space="preserve">                  元整小写￥         .00</w:t>
            </w:r>
          </w:p>
        </w:tc>
      </w:tr>
    </w:tbl>
    <w:p>
      <w:pPr>
        <w:spacing w:line="360" w:lineRule="auto"/>
        <w:ind w:firstLine="480" w:firstLineChars="200"/>
        <w:textAlignment w:val="baseline"/>
        <w:rPr>
          <w:rStyle w:val="26"/>
          <w:rFonts w:asciiTheme="minorEastAsia" w:hAnsiTheme="minorEastAsia" w:eastAsiaTheme="minorEastAsia" w:cstheme="minorEastAsia"/>
          <w:color w:val="auto"/>
          <w:szCs w:val="24"/>
          <w:u w:val="single"/>
        </w:rPr>
      </w:pPr>
      <w:r>
        <w:rPr>
          <w:rStyle w:val="26"/>
          <w:rFonts w:hint="eastAsia" w:asciiTheme="minorEastAsia" w:hAnsiTheme="minorEastAsia" w:eastAsiaTheme="minorEastAsia" w:cstheme="minorEastAsia"/>
          <w:color w:val="auto"/>
          <w:szCs w:val="24"/>
        </w:rPr>
        <w:t>供应商代表签字或盖章：</w:t>
      </w:r>
    </w:p>
    <w:p>
      <w:pPr>
        <w:spacing w:line="360" w:lineRule="auto"/>
        <w:ind w:firstLine="480" w:firstLineChars="200"/>
        <w:textAlignment w:val="baseline"/>
        <w:rPr>
          <w:rStyle w:val="26"/>
          <w:rFonts w:asciiTheme="minorEastAsia" w:hAnsiTheme="minorEastAsia" w:eastAsiaTheme="minorEastAsia" w:cstheme="minorEastAsia"/>
          <w:color w:val="auto"/>
          <w:szCs w:val="24"/>
        </w:rPr>
      </w:pPr>
    </w:p>
    <w:p>
      <w:pPr>
        <w:spacing w:line="360" w:lineRule="auto"/>
        <w:ind w:firstLine="480" w:firstLineChars="200"/>
        <w:textAlignment w:val="baseline"/>
        <w:rPr>
          <w:rStyle w:val="26"/>
          <w:rFonts w:asciiTheme="minorEastAsia" w:hAnsiTheme="minorEastAsia" w:eastAsiaTheme="minorEastAsia" w:cstheme="minorEastAsia"/>
          <w:color w:val="auto"/>
          <w:szCs w:val="24"/>
        </w:rPr>
      </w:pPr>
      <w:r>
        <w:rPr>
          <w:rStyle w:val="26"/>
          <w:rFonts w:hint="eastAsia" w:asciiTheme="minorEastAsia" w:hAnsiTheme="minorEastAsia" w:eastAsiaTheme="minorEastAsia" w:cstheme="minorEastAsia"/>
          <w:color w:val="auto"/>
          <w:szCs w:val="24"/>
        </w:rPr>
        <w:t>供应商（全称并加盖公章）：</w:t>
      </w:r>
    </w:p>
    <w:p>
      <w:pPr>
        <w:spacing w:line="360" w:lineRule="auto"/>
        <w:ind w:firstLine="480" w:firstLineChars="200"/>
        <w:textAlignment w:val="baseline"/>
        <w:rPr>
          <w:rStyle w:val="26"/>
          <w:rFonts w:asciiTheme="minorEastAsia" w:hAnsiTheme="minorEastAsia" w:eastAsiaTheme="minorEastAsia" w:cstheme="minorEastAsia"/>
          <w:color w:val="auto"/>
          <w:szCs w:val="24"/>
        </w:rPr>
      </w:pPr>
    </w:p>
    <w:p>
      <w:pPr>
        <w:spacing w:line="360" w:lineRule="auto"/>
        <w:ind w:firstLine="480" w:firstLineChars="200"/>
        <w:textAlignment w:val="baseline"/>
        <w:rPr>
          <w:rStyle w:val="26"/>
          <w:rFonts w:asciiTheme="minorEastAsia" w:hAnsiTheme="minorEastAsia" w:eastAsiaTheme="minorEastAsia" w:cstheme="minorEastAsia"/>
          <w:color w:val="auto"/>
          <w:szCs w:val="24"/>
        </w:rPr>
      </w:pPr>
      <w:r>
        <w:rPr>
          <w:rStyle w:val="26"/>
          <w:rFonts w:hint="eastAsia" w:asciiTheme="minorEastAsia" w:hAnsiTheme="minorEastAsia" w:eastAsiaTheme="minorEastAsia" w:cstheme="minorEastAsia"/>
          <w:color w:val="auto"/>
          <w:szCs w:val="24"/>
        </w:rPr>
        <w:t>日期： 年  月 日</w:t>
      </w:r>
    </w:p>
    <w:p>
      <w:pPr>
        <w:rPr>
          <w:rFonts w:asciiTheme="minorEastAsia" w:hAnsiTheme="minorEastAsia" w:eastAsiaTheme="minorEastAsia" w:cstheme="minorEastAsia"/>
          <w:b/>
          <w:bCs/>
          <w:color w:val="auto"/>
          <w:kern w:val="0"/>
          <w:sz w:val="32"/>
          <w:szCs w:val="32"/>
        </w:rPr>
      </w:pPr>
      <w:r>
        <w:rPr>
          <w:rFonts w:hint="eastAsia" w:asciiTheme="minorEastAsia" w:hAnsiTheme="minorEastAsia" w:eastAsiaTheme="minorEastAsia" w:cstheme="minorEastAsia"/>
          <w:b/>
          <w:bCs/>
          <w:color w:val="auto"/>
          <w:kern w:val="0"/>
          <w:sz w:val="32"/>
          <w:szCs w:val="32"/>
        </w:rPr>
        <w:br w:type="page"/>
      </w:r>
    </w:p>
    <w:p>
      <w:pPr>
        <w:pStyle w:val="6"/>
        <w:rPr>
          <w:color w:val="auto"/>
        </w:rPr>
      </w:pPr>
    </w:p>
    <w:p>
      <w:pPr>
        <w:widowControl/>
        <w:spacing w:before="75" w:after="75"/>
        <w:jc w:val="center"/>
        <w:textAlignment w:val="baseline"/>
        <w:rPr>
          <w:rFonts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b/>
          <w:bCs/>
          <w:color w:val="auto"/>
          <w:kern w:val="0"/>
          <w:sz w:val="32"/>
          <w:szCs w:val="32"/>
        </w:rPr>
        <w:t>三、资格证明文件</w:t>
      </w:r>
    </w:p>
    <w:p>
      <w:pPr>
        <w:widowControl/>
        <w:spacing w:before="75" w:after="75"/>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 1       </w:t>
      </w:r>
      <w:r>
        <w:rPr>
          <w:rFonts w:hint="eastAsia" w:asciiTheme="minorEastAsia" w:hAnsiTheme="minorEastAsia" w:eastAsiaTheme="minorEastAsia" w:cstheme="minorEastAsia"/>
          <w:b/>
          <w:bCs/>
          <w:color w:val="auto"/>
          <w:kern w:val="0"/>
          <w:sz w:val="24"/>
          <w:szCs w:val="24"/>
        </w:rPr>
        <w:t>参加竞争性磋商的声明函</w:t>
      </w:r>
      <w:r>
        <w:rPr>
          <w:rFonts w:hint="eastAsia" w:asciiTheme="minorEastAsia" w:hAnsiTheme="minorEastAsia" w:eastAsiaTheme="minorEastAsia" w:cstheme="minorEastAsia"/>
          <w:color w:val="auto"/>
          <w:kern w:val="0"/>
          <w:sz w:val="24"/>
          <w:szCs w:val="24"/>
        </w:rPr>
        <w:t> </w:t>
      </w:r>
    </w:p>
    <w:p>
      <w:pPr>
        <w:widowControl/>
        <w:spacing w:before="75" w:after="75" w:line="435" w:lineRule="atLeast"/>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 </w:t>
      </w:r>
    </w:p>
    <w:p>
      <w:pPr>
        <w:widowControl/>
        <w:spacing w:before="75" w:after="75" w:line="435" w:lineRule="atLeast"/>
        <w:ind w:firstLine="360" w:firstLineChars="150"/>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致：</w:t>
      </w:r>
      <w:r>
        <w:rPr>
          <w:rFonts w:hint="eastAsia" w:asciiTheme="minorEastAsia" w:hAnsiTheme="minorEastAsia" w:eastAsiaTheme="minorEastAsia" w:cstheme="minorEastAsia"/>
          <w:color w:val="auto"/>
          <w:kern w:val="0"/>
          <w:sz w:val="24"/>
          <w:szCs w:val="24"/>
          <w:u w:val="single" w:color="000000"/>
        </w:rPr>
        <w:t>     (采购人或采购代理机构)      </w:t>
      </w:r>
      <w:r>
        <w:rPr>
          <w:rFonts w:hint="eastAsia" w:asciiTheme="minorEastAsia" w:hAnsiTheme="minorEastAsia" w:eastAsiaTheme="minorEastAsia" w:cstheme="minorEastAsia"/>
          <w:color w:val="auto"/>
          <w:kern w:val="0"/>
          <w:sz w:val="24"/>
          <w:szCs w:val="24"/>
        </w:rPr>
        <w:t> </w:t>
      </w:r>
    </w:p>
    <w:p>
      <w:pPr>
        <w:widowControl/>
        <w:spacing w:before="75" w:after="75" w:line="435" w:lineRule="atLeast"/>
        <w:ind w:firstLine="360" w:firstLineChars="150"/>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1、关于贵方______年______月______日</w:t>
      </w:r>
      <w:r>
        <w:rPr>
          <w:rFonts w:hint="eastAsia" w:asciiTheme="minorEastAsia" w:hAnsiTheme="minorEastAsia" w:eastAsiaTheme="minorEastAsia" w:cstheme="minorEastAsia"/>
          <w:color w:val="auto"/>
          <w:kern w:val="0"/>
          <w:sz w:val="24"/>
          <w:szCs w:val="24"/>
          <w:u w:val="single" w:color="000000"/>
        </w:rPr>
        <w:t>            </w:t>
      </w:r>
      <w:r>
        <w:rPr>
          <w:rFonts w:hint="eastAsia" w:asciiTheme="minorEastAsia" w:hAnsiTheme="minorEastAsia" w:eastAsiaTheme="minorEastAsia" w:cstheme="minorEastAsia"/>
          <w:color w:val="auto"/>
          <w:kern w:val="0"/>
          <w:sz w:val="24"/>
          <w:szCs w:val="24"/>
        </w:rPr>
        <w:t>项目（项目编号:</w:t>
      </w:r>
      <w:r>
        <w:rPr>
          <w:rFonts w:hint="eastAsia" w:asciiTheme="minorEastAsia" w:hAnsiTheme="minorEastAsia" w:eastAsiaTheme="minorEastAsia" w:cstheme="minorEastAsia"/>
          <w:color w:val="auto"/>
          <w:kern w:val="0"/>
          <w:sz w:val="24"/>
          <w:szCs w:val="24"/>
          <w:u w:val="single" w:color="000000"/>
        </w:rPr>
        <w:t>        </w:t>
      </w:r>
      <w:r>
        <w:rPr>
          <w:rFonts w:hint="eastAsia" w:asciiTheme="minorEastAsia" w:hAnsiTheme="minorEastAsia" w:eastAsiaTheme="minorEastAsia" w:cstheme="minorEastAsia"/>
          <w:color w:val="auto"/>
          <w:kern w:val="0"/>
          <w:sz w:val="24"/>
          <w:szCs w:val="24"/>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widowControl/>
        <w:spacing w:before="75" w:after="75" w:line="435" w:lineRule="atLeast"/>
        <w:ind w:left="240" w:hanging="240" w:hangingChars="100"/>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2、供应商的基本概况：</w:t>
      </w:r>
    </w:p>
    <w:p>
      <w:pPr>
        <w:widowControl/>
        <w:spacing w:before="75" w:after="75" w:line="435" w:lineRule="atLeast"/>
        <w:ind w:left="239" w:leftChars="114" w:firstLine="240" w:firstLineChars="100"/>
        <w:jc w:val="left"/>
        <w:textAlignment w:val="baseline"/>
        <w:rPr>
          <w:rFonts w:asciiTheme="minorEastAsia" w:hAnsiTheme="minorEastAsia" w:eastAsiaTheme="minorEastAsia" w:cstheme="minorEastAsia"/>
          <w:color w:val="auto"/>
          <w:kern w:val="0"/>
          <w:sz w:val="24"/>
          <w:szCs w:val="24"/>
          <w:u w:val="single" w:color="000000"/>
        </w:rPr>
      </w:pPr>
      <w:r>
        <w:rPr>
          <w:rFonts w:hint="eastAsia" w:asciiTheme="minorEastAsia" w:hAnsiTheme="minorEastAsia" w:eastAsiaTheme="minorEastAsia" w:cstheme="minorEastAsia"/>
          <w:color w:val="auto"/>
          <w:kern w:val="0"/>
          <w:sz w:val="24"/>
          <w:szCs w:val="24"/>
        </w:rPr>
        <w:t>2.1供应商单位名称：</w:t>
      </w:r>
      <w:r>
        <w:rPr>
          <w:rFonts w:hint="eastAsia" w:asciiTheme="minorEastAsia" w:hAnsiTheme="minorEastAsia" w:eastAsiaTheme="minorEastAsia" w:cstheme="minorEastAsia"/>
          <w:color w:val="auto"/>
          <w:kern w:val="0"/>
          <w:sz w:val="24"/>
          <w:szCs w:val="24"/>
          <w:u w:val="single" w:color="000000"/>
        </w:rPr>
        <w:t>                       </w:t>
      </w:r>
    </w:p>
    <w:p>
      <w:pPr>
        <w:widowControl/>
        <w:spacing w:before="75" w:after="75" w:line="435" w:lineRule="atLeast"/>
        <w:ind w:left="239" w:leftChars="114" w:firstLine="240" w:firstLineChars="100"/>
        <w:jc w:val="left"/>
        <w:textAlignment w:val="baseline"/>
        <w:rPr>
          <w:rFonts w:asciiTheme="minorEastAsia" w:hAnsiTheme="minorEastAsia" w:eastAsiaTheme="minorEastAsia" w:cstheme="minorEastAsia"/>
          <w:color w:val="auto"/>
          <w:kern w:val="0"/>
          <w:sz w:val="24"/>
          <w:szCs w:val="24"/>
          <w:u w:val="single" w:color="000000"/>
        </w:rPr>
      </w:pPr>
      <w:r>
        <w:rPr>
          <w:rFonts w:hint="eastAsia" w:asciiTheme="minorEastAsia" w:hAnsiTheme="minorEastAsia" w:eastAsiaTheme="minorEastAsia" w:cstheme="minorEastAsia"/>
          <w:color w:val="auto"/>
          <w:kern w:val="0"/>
          <w:sz w:val="24"/>
          <w:szCs w:val="24"/>
        </w:rPr>
        <w:t>2.2注册地址：</w:t>
      </w:r>
      <w:r>
        <w:rPr>
          <w:rFonts w:hint="eastAsia" w:asciiTheme="minorEastAsia" w:hAnsiTheme="minorEastAsia" w:eastAsiaTheme="minorEastAsia" w:cstheme="minorEastAsia"/>
          <w:color w:val="auto"/>
          <w:kern w:val="0"/>
          <w:sz w:val="24"/>
          <w:szCs w:val="24"/>
          <w:u w:val="single" w:color="000000"/>
        </w:rPr>
        <w:t>                            </w:t>
      </w:r>
    </w:p>
    <w:p>
      <w:pPr>
        <w:widowControl/>
        <w:spacing w:before="75" w:after="75" w:line="435" w:lineRule="atLeast"/>
        <w:ind w:left="239" w:leftChars="114" w:firstLine="240" w:firstLineChars="100"/>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2.3单位负责人姓名：</w:t>
      </w:r>
      <w:r>
        <w:rPr>
          <w:rFonts w:hint="eastAsia" w:asciiTheme="minorEastAsia" w:hAnsiTheme="minorEastAsia" w:eastAsiaTheme="minorEastAsia" w:cstheme="minorEastAsia"/>
          <w:color w:val="auto"/>
          <w:kern w:val="0"/>
          <w:sz w:val="24"/>
          <w:szCs w:val="24"/>
          <w:u w:val="single" w:color="000000"/>
        </w:rPr>
        <w:t>     </w:t>
      </w:r>
      <w:r>
        <w:rPr>
          <w:rFonts w:hint="eastAsia" w:asciiTheme="minorEastAsia" w:hAnsiTheme="minorEastAsia" w:eastAsiaTheme="minorEastAsia" w:cstheme="minorEastAsia"/>
          <w:color w:val="auto"/>
          <w:kern w:val="0"/>
          <w:sz w:val="24"/>
          <w:szCs w:val="24"/>
        </w:rPr>
        <w:t>性别：</w:t>
      </w:r>
      <w:r>
        <w:rPr>
          <w:rFonts w:hint="eastAsia" w:asciiTheme="minorEastAsia" w:hAnsiTheme="minorEastAsia" w:eastAsiaTheme="minorEastAsia" w:cstheme="minorEastAsia"/>
          <w:color w:val="auto"/>
          <w:kern w:val="0"/>
          <w:sz w:val="24"/>
          <w:szCs w:val="24"/>
          <w:u w:val="single" w:color="000000"/>
        </w:rPr>
        <w:t>   </w:t>
      </w:r>
      <w:r>
        <w:rPr>
          <w:rFonts w:hint="eastAsia" w:asciiTheme="minorEastAsia" w:hAnsiTheme="minorEastAsia" w:eastAsiaTheme="minorEastAsia" w:cstheme="minorEastAsia"/>
          <w:color w:val="auto"/>
          <w:kern w:val="0"/>
          <w:sz w:val="24"/>
          <w:szCs w:val="24"/>
        </w:rPr>
        <w:t>年龄：</w:t>
      </w:r>
      <w:r>
        <w:rPr>
          <w:rFonts w:hint="eastAsia" w:asciiTheme="minorEastAsia" w:hAnsiTheme="minorEastAsia" w:eastAsiaTheme="minorEastAsia" w:cstheme="minorEastAsia"/>
          <w:color w:val="auto"/>
          <w:kern w:val="0"/>
          <w:sz w:val="24"/>
          <w:szCs w:val="24"/>
          <w:u w:val="single" w:color="000000"/>
        </w:rPr>
        <w:t>   </w:t>
      </w:r>
      <w:r>
        <w:rPr>
          <w:rFonts w:hint="eastAsia" w:asciiTheme="minorEastAsia" w:hAnsiTheme="minorEastAsia" w:eastAsiaTheme="minorEastAsia" w:cstheme="minorEastAsia"/>
          <w:color w:val="auto"/>
          <w:kern w:val="0"/>
          <w:sz w:val="24"/>
          <w:szCs w:val="24"/>
        </w:rPr>
        <w:t>职务：</w:t>
      </w:r>
      <w:r>
        <w:rPr>
          <w:rFonts w:hint="eastAsia" w:asciiTheme="minorEastAsia" w:hAnsiTheme="minorEastAsia" w:eastAsiaTheme="minorEastAsia" w:cstheme="minorEastAsia"/>
          <w:color w:val="auto"/>
          <w:kern w:val="0"/>
          <w:sz w:val="24"/>
          <w:szCs w:val="24"/>
          <w:u w:val="single" w:color="000000"/>
        </w:rPr>
        <w:t>   </w:t>
      </w:r>
      <w:r>
        <w:rPr>
          <w:rFonts w:hint="eastAsia" w:asciiTheme="minorEastAsia" w:hAnsiTheme="minorEastAsia" w:eastAsiaTheme="minorEastAsia" w:cstheme="minorEastAsia"/>
          <w:color w:val="auto"/>
          <w:kern w:val="0"/>
          <w:sz w:val="24"/>
          <w:szCs w:val="24"/>
        </w:rPr>
        <w:t>。</w:t>
      </w:r>
    </w:p>
    <w:p>
      <w:pPr>
        <w:widowControl/>
        <w:spacing w:before="75" w:after="75" w:line="435" w:lineRule="atLeast"/>
        <w:ind w:firstLine="480"/>
        <w:jc w:val="left"/>
        <w:textAlignment w:val="baseline"/>
        <w:rPr>
          <w:rFonts w:asciiTheme="minorEastAsia" w:hAnsiTheme="minorEastAsia" w:eastAsiaTheme="minorEastAsia" w:cstheme="minorEastAsia"/>
          <w:color w:val="auto"/>
          <w:kern w:val="0"/>
          <w:sz w:val="27"/>
          <w:szCs w:val="27"/>
        </w:rPr>
      </w:pPr>
    </w:p>
    <w:p>
      <w:pPr>
        <w:widowControl/>
        <w:spacing w:before="75" w:after="75" w:line="435" w:lineRule="atLeast"/>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 </w:t>
      </w:r>
    </w:p>
    <w:p>
      <w:pPr>
        <w:widowControl/>
        <w:spacing w:before="75" w:after="75" w:line="435" w:lineRule="atLeast"/>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 </w:t>
      </w:r>
    </w:p>
    <w:p>
      <w:pPr>
        <w:widowControl/>
        <w:spacing w:before="75" w:after="75" w:line="435" w:lineRule="atLeas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供应商代表：</w:t>
      </w:r>
      <w:r>
        <w:rPr>
          <w:rFonts w:hint="eastAsia" w:asciiTheme="minorEastAsia" w:hAnsiTheme="minorEastAsia" w:eastAsiaTheme="minorEastAsia" w:cstheme="minorEastAsia"/>
          <w:color w:val="auto"/>
          <w:kern w:val="0"/>
          <w:sz w:val="24"/>
          <w:szCs w:val="24"/>
          <w:u w:val="single" w:color="000000"/>
        </w:rPr>
        <w:t>             （签字） </w:t>
      </w:r>
    </w:p>
    <w:p>
      <w:pPr>
        <w:widowControl/>
        <w:spacing w:before="75" w:after="75" w:line="435" w:lineRule="atLeas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供应商名称：</w:t>
      </w:r>
      <w:r>
        <w:rPr>
          <w:rFonts w:hint="eastAsia" w:asciiTheme="minorEastAsia" w:hAnsiTheme="minorEastAsia" w:eastAsiaTheme="minorEastAsia" w:cstheme="minorEastAsia"/>
          <w:color w:val="auto"/>
          <w:kern w:val="0"/>
          <w:sz w:val="24"/>
          <w:szCs w:val="24"/>
          <w:u w:val="single" w:color="000000"/>
        </w:rPr>
        <w:t>        （全称并加盖公章） </w:t>
      </w:r>
    </w:p>
    <w:p>
      <w:pPr>
        <w:widowControl/>
        <w:spacing w:before="75" w:after="75" w:line="435" w:lineRule="atLeast"/>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日  期： </w:t>
      </w:r>
      <w:r>
        <w:rPr>
          <w:rFonts w:hint="eastAsia" w:asciiTheme="minorEastAsia" w:hAnsiTheme="minorEastAsia" w:eastAsiaTheme="minorEastAsia" w:cstheme="minorEastAsia"/>
          <w:color w:val="auto"/>
          <w:kern w:val="0"/>
          <w:sz w:val="24"/>
          <w:szCs w:val="24"/>
          <w:u w:val="single" w:color="000000"/>
        </w:rPr>
        <w:t>    </w:t>
      </w:r>
      <w:r>
        <w:rPr>
          <w:rFonts w:hint="eastAsia" w:asciiTheme="minorEastAsia" w:hAnsiTheme="minorEastAsia" w:eastAsiaTheme="minorEastAsia" w:cstheme="minorEastAsia"/>
          <w:color w:val="auto"/>
          <w:kern w:val="0"/>
          <w:sz w:val="24"/>
          <w:szCs w:val="24"/>
        </w:rPr>
        <w:t>年 </w:t>
      </w:r>
      <w:r>
        <w:rPr>
          <w:rFonts w:hint="eastAsia" w:asciiTheme="minorEastAsia" w:hAnsiTheme="minorEastAsia" w:eastAsiaTheme="minorEastAsia" w:cstheme="minorEastAsia"/>
          <w:color w:val="auto"/>
          <w:kern w:val="0"/>
          <w:sz w:val="24"/>
          <w:szCs w:val="24"/>
          <w:u w:val="single" w:color="000000"/>
        </w:rPr>
        <w:t>   </w:t>
      </w:r>
      <w:r>
        <w:rPr>
          <w:rFonts w:hint="eastAsia" w:asciiTheme="minorEastAsia" w:hAnsiTheme="minorEastAsia" w:eastAsiaTheme="minorEastAsia" w:cstheme="minorEastAsia"/>
          <w:color w:val="auto"/>
          <w:kern w:val="0"/>
          <w:sz w:val="24"/>
          <w:szCs w:val="24"/>
        </w:rPr>
        <w:t>月 </w:t>
      </w:r>
      <w:r>
        <w:rPr>
          <w:rFonts w:hint="eastAsia" w:asciiTheme="minorEastAsia" w:hAnsiTheme="minorEastAsia" w:eastAsiaTheme="minorEastAsia" w:cstheme="minorEastAsia"/>
          <w:color w:val="auto"/>
          <w:kern w:val="0"/>
          <w:sz w:val="24"/>
          <w:szCs w:val="24"/>
          <w:u w:val="single" w:color="000000"/>
        </w:rPr>
        <w:t>   </w:t>
      </w:r>
      <w:r>
        <w:rPr>
          <w:rFonts w:hint="eastAsia" w:asciiTheme="minorEastAsia" w:hAnsiTheme="minorEastAsia" w:eastAsiaTheme="minorEastAsia" w:cstheme="minorEastAsia"/>
          <w:color w:val="auto"/>
          <w:kern w:val="0"/>
          <w:sz w:val="24"/>
          <w:szCs w:val="24"/>
        </w:rPr>
        <w:t>日</w:t>
      </w: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p>
    <w:p>
      <w:pPr>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7"/>
          <w:szCs w:val="27"/>
        </w:rPr>
        <w:br w:type="page"/>
      </w:r>
    </w:p>
    <w:p>
      <w:pPr>
        <w:widowControl/>
        <w:spacing w:before="75" w:after="75" w:line="375" w:lineRule="atLeast"/>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 </w:t>
      </w:r>
      <w:r>
        <w:rPr>
          <w:rFonts w:hint="eastAsia" w:asciiTheme="minorEastAsia" w:hAnsiTheme="minorEastAsia" w:eastAsiaTheme="minorEastAsia" w:cstheme="minorEastAsia"/>
          <w:b/>
          <w:bCs/>
          <w:color w:val="auto"/>
          <w:kern w:val="0"/>
          <w:sz w:val="24"/>
          <w:szCs w:val="24"/>
        </w:rPr>
        <w:t>2      </w:t>
      </w:r>
      <w:r>
        <w:rPr>
          <w:rFonts w:hint="eastAsia" w:asciiTheme="minorEastAsia" w:hAnsiTheme="minorEastAsia" w:eastAsiaTheme="minorEastAsia" w:cstheme="minorEastAsia"/>
          <w:color w:val="auto"/>
          <w:kern w:val="0"/>
          <w:sz w:val="24"/>
          <w:szCs w:val="24"/>
        </w:rPr>
        <w:t>  </w:t>
      </w:r>
      <w:r>
        <w:rPr>
          <w:rFonts w:hint="eastAsia" w:asciiTheme="minorEastAsia" w:hAnsiTheme="minorEastAsia" w:eastAsiaTheme="minorEastAsia" w:cstheme="minorEastAsia"/>
          <w:b/>
          <w:bCs/>
          <w:color w:val="auto"/>
          <w:kern w:val="0"/>
          <w:sz w:val="24"/>
          <w:szCs w:val="24"/>
        </w:rPr>
        <w:t>供应商的资格声明</w:t>
      </w:r>
      <w:r>
        <w:rPr>
          <w:rFonts w:hint="eastAsia" w:asciiTheme="minorEastAsia" w:hAnsiTheme="minorEastAsia" w:eastAsiaTheme="minorEastAsia" w:cstheme="minorEastAsia"/>
          <w:color w:val="auto"/>
          <w:kern w:val="0"/>
          <w:sz w:val="24"/>
          <w:szCs w:val="24"/>
        </w:rPr>
        <w:t> </w:t>
      </w:r>
    </w:p>
    <w:p>
      <w:pPr>
        <w:widowControl/>
        <w:spacing w:before="75" w:after="75" w:line="375" w:lineRule="atLeas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 </w:t>
      </w:r>
    </w:p>
    <w:p>
      <w:pPr>
        <w:widowControl/>
        <w:spacing w:before="75" w:after="75" w:line="375" w:lineRule="atLeas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致：</w:t>
      </w:r>
      <w:r>
        <w:rPr>
          <w:rFonts w:hint="eastAsia" w:asciiTheme="minorEastAsia" w:hAnsiTheme="minorEastAsia" w:eastAsiaTheme="minorEastAsia" w:cstheme="minorEastAsia"/>
          <w:color w:val="auto"/>
          <w:kern w:val="0"/>
          <w:sz w:val="24"/>
          <w:szCs w:val="24"/>
          <w:u w:val="single" w:color="000000"/>
        </w:rPr>
        <w:t>     (采购人或采购代理机构)      </w:t>
      </w:r>
    </w:p>
    <w:p>
      <w:pPr>
        <w:widowControl/>
        <w:spacing w:before="75" w:after="75" w:line="375" w:lineRule="atLeas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b/>
          <w:bCs/>
          <w:color w:val="auto"/>
          <w:kern w:val="0"/>
          <w:sz w:val="24"/>
          <w:szCs w:val="24"/>
        </w:rPr>
        <w:t> </w:t>
      </w:r>
    </w:p>
    <w:p>
      <w:pPr>
        <w:widowControl/>
        <w:spacing w:before="75" w:after="75" w:line="375" w:lineRule="atLeas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b/>
          <w:bCs/>
          <w:color w:val="auto"/>
          <w:kern w:val="0"/>
          <w:sz w:val="24"/>
          <w:szCs w:val="24"/>
        </w:rPr>
        <w:t>    1、</w:t>
      </w:r>
      <w:r>
        <w:rPr>
          <w:rFonts w:hint="eastAsia" w:asciiTheme="minorEastAsia" w:hAnsiTheme="minorEastAsia" w:eastAsiaTheme="minorEastAsia" w:cstheme="minorEastAsia"/>
          <w:color w:val="auto"/>
          <w:kern w:val="0"/>
          <w:sz w:val="24"/>
          <w:szCs w:val="24"/>
        </w:rPr>
        <w:t>我方已知晓竞争性磋商文件要求并无异议，且已认真审核自身情况，在此郑重声明，我方具备并满足下列各项条款的规定。本声明如有虚假或不实之处，我方将失去合格供应商资格且我方的磋商保证金将不予退还。</w:t>
      </w:r>
    </w:p>
    <w:tbl>
      <w:tblPr>
        <w:tblStyle w:val="22"/>
        <w:tblW w:w="936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6202"/>
        <w:gridCol w:w="3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6142" w:type="dxa"/>
            <w:noWrap/>
            <w:tcMar>
              <w:top w:w="0" w:type="dxa"/>
              <w:left w:w="105" w:type="dxa"/>
              <w:bottom w:w="0" w:type="dxa"/>
              <w:right w:w="105" w:type="dxa"/>
            </w:tcMar>
            <w:vAlign w:val="center"/>
          </w:tcPr>
          <w:p>
            <w:pPr>
              <w:widowControl/>
              <w:spacing w:line="375" w:lineRule="atLeas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供应商的基本要求</w:t>
            </w:r>
          </w:p>
        </w:tc>
        <w:tc>
          <w:tcPr>
            <w:tcW w:w="3130" w:type="dxa"/>
            <w:noWrap/>
            <w:tcMar>
              <w:top w:w="0" w:type="dxa"/>
              <w:left w:w="105" w:type="dxa"/>
              <w:bottom w:w="0" w:type="dxa"/>
              <w:right w:w="105" w:type="dxa"/>
            </w:tcMar>
            <w:vAlign w:val="center"/>
          </w:tcPr>
          <w:p>
            <w:pPr>
              <w:widowControl/>
              <w:spacing w:line="375" w:lineRule="atLeas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供应商对是否符合要求做如实声明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6142" w:type="dxa"/>
            <w:noWrap/>
            <w:tcMar>
              <w:top w:w="0" w:type="dxa"/>
              <w:left w:w="105" w:type="dxa"/>
              <w:bottom w:w="0" w:type="dxa"/>
              <w:right w:w="105" w:type="dxa"/>
            </w:tcMar>
            <w:vAlign w:val="center"/>
          </w:tcPr>
          <w:p>
            <w:pPr>
              <w:widowControl/>
              <w:spacing w:line="375" w:lineRule="atLeas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（1）具有独立承担民事责任的能力</w:t>
            </w:r>
          </w:p>
        </w:tc>
        <w:tc>
          <w:tcPr>
            <w:tcW w:w="3130" w:type="dxa"/>
            <w:noWrap/>
            <w:tcMar>
              <w:top w:w="0" w:type="dxa"/>
              <w:left w:w="105" w:type="dxa"/>
              <w:bottom w:w="0" w:type="dxa"/>
              <w:right w:w="105" w:type="dxa"/>
            </w:tcMar>
            <w:vAlign w:val="center"/>
          </w:tcPr>
          <w:p>
            <w:pPr>
              <w:widowControl/>
              <w:jc w:val="left"/>
              <w:textAlignment w:val="baseline"/>
              <w:rPr>
                <w:rFonts w:asciiTheme="minorEastAsia" w:hAnsiTheme="minorEastAsia" w:eastAsia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6142" w:type="dxa"/>
            <w:noWrap/>
            <w:tcMar>
              <w:top w:w="0" w:type="dxa"/>
              <w:left w:w="105" w:type="dxa"/>
              <w:bottom w:w="0" w:type="dxa"/>
              <w:right w:w="105" w:type="dxa"/>
            </w:tcMar>
            <w:vAlign w:val="center"/>
          </w:tcPr>
          <w:p>
            <w:pPr>
              <w:widowControl/>
              <w:spacing w:line="375" w:lineRule="atLeas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（2）具有良好的商业信誉和健全的财务会计制度</w:t>
            </w:r>
          </w:p>
        </w:tc>
        <w:tc>
          <w:tcPr>
            <w:tcW w:w="3130" w:type="dxa"/>
            <w:noWrap/>
            <w:tcMar>
              <w:top w:w="0" w:type="dxa"/>
              <w:left w:w="105" w:type="dxa"/>
              <w:bottom w:w="0" w:type="dxa"/>
              <w:right w:w="105" w:type="dxa"/>
            </w:tcMar>
            <w:vAlign w:val="center"/>
          </w:tcPr>
          <w:p>
            <w:pPr>
              <w:widowControl/>
              <w:jc w:val="left"/>
              <w:textAlignment w:val="baseline"/>
              <w:rPr>
                <w:rFonts w:asciiTheme="minorEastAsia" w:hAnsiTheme="minorEastAsia" w:eastAsia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6142" w:type="dxa"/>
            <w:noWrap/>
            <w:tcMar>
              <w:top w:w="0" w:type="dxa"/>
              <w:left w:w="105" w:type="dxa"/>
              <w:bottom w:w="0" w:type="dxa"/>
              <w:right w:w="105" w:type="dxa"/>
            </w:tcMar>
            <w:vAlign w:val="center"/>
          </w:tcPr>
          <w:p>
            <w:pPr>
              <w:widowControl/>
              <w:spacing w:line="375" w:lineRule="atLeas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（3）具有履行合同所必需的设备和专业技术能力</w:t>
            </w:r>
          </w:p>
        </w:tc>
        <w:tc>
          <w:tcPr>
            <w:tcW w:w="3130" w:type="dxa"/>
            <w:noWrap/>
            <w:tcMar>
              <w:top w:w="0" w:type="dxa"/>
              <w:left w:w="105" w:type="dxa"/>
              <w:bottom w:w="0" w:type="dxa"/>
              <w:right w:w="105" w:type="dxa"/>
            </w:tcMar>
            <w:vAlign w:val="center"/>
          </w:tcPr>
          <w:p>
            <w:pPr>
              <w:widowControl/>
              <w:jc w:val="left"/>
              <w:textAlignment w:val="baseline"/>
              <w:rPr>
                <w:rFonts w:asciiTheme="minorEastAsia" w:hAnsiTheme="minorEastAsia" w:eastAsia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6142" w:type="dxa"/>
            <w:noWrap/>
            <w:tcMar>
              <w:top w:w="0" w:type="dxa"/>
              <w:left w:w="105" w:type="dxa"/>
              <w:bottom w:w="0" w:type="dxa"/>
              <w:right w:w="105" w:type="dxa"/>
            </w:tcMar>
            <w:vAlign w:val="center"/>
          </w:tcPr>
          <w:p>
            <w:pPr>
              <w:widowControl/>
              <w:spacing w:line="375" w:lineRule="atLeas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（4）有依法缴纳税收和社会保障资金的良好记录</w:t>
            </w:r>
          </w:p>
        </w:tc>
        <w:tc>
          <w:tcPr>
            <w:tcW w:w="3130" w:type="dxa"/>
            <w:noWrap/>
            <w:tcMar>
              <w:top w:w="0" w:type="dxa"/>
              <w:left w:w="105" w:type="dxa"/>
              <w:bottom w:w="0" w:type="dxa"/>
              <w:right w:w="105" w:type="dxa"/>
            </w:tcMar>
            <w:vAlign w:val="center"/>
          </w:tcPr>
          <w:p>
            <w:pPr>
              <w:widowControl/>
              <w:jc w:val="left"/>
              <w:textAlignment w:val="baseline"/>
              <w:rPr>
                <w:rFonts w:asciiTheme="minorEastAsia" w:hAnsiTheme="minorEastAsia" w:eastAsia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6142" w:type="dxa"/>
            <w:noWrap/>
            <w:tcMar>
              <w:top w:w="0" w:type="dxa"/>
              <w:left w:w="105" w:type="dxa"/>
              <w:bottom w:w="0" w:type="dxa"/>
              <w:right w:w="105" w:type="dxa"/>
            </w:tcMar>
            <w:vAlign w:val="center"/>
          </w:tcPr>
          <w:p>
            <w:pPr>
              <w:widowControl/>
              <w:spacing w:line="375" w:lineRule="atLeas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（5）参加采购活动前三年内，在经营活动中没有重大违法记录、无行贿犯罪记录</w:t>
            </w:r>
          </w:p>
        </w:tc>
        <w:tc>
          <w:tcPr>
            <w:tcW w:w="3130" w:type="dxa"/>
            <w:noWrap/>
            <w:tcMar>
              <w:top w:w="0" w:type="dxa"/>
              <w:left w:w="105" w:type="dxa"/>
              <w:bottom w:w="0" w:type="dxa"/>
              <w:right w:w="105" w:type="dxa"/>
            </w:tcMar>
            <w:vAlign w:val="center"/>
          </w:tcPr>
          <w:p>
            <w:pPr>
              <w:widowControl/>
              <w:jc w:val="left"/>
              <w:textAlignment w:val="baseline"/>
              <w:rPr>
                <w:rFonts w:asciiTheme="minorEastAsia" w:hAnsiTheme="minorEastAsia" w:eastAsia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6142" w:type="dxa"/>
            <w:noWrap/>
            <w:tcMar>
              <w:top w:w="0" w:type="dxa"/>
              <w:left w:w="105" w:type="dxa"/>
              <w:bottom w:w="0" w:type="dxa"/>
              <w:right w:w="105" w:type="dxa"/>
            </w:tcMar>
            <w:vAlign w:val="center"/>
          </w:tcPr>
          <w:p>
            <w:pPr>
              <w:widowControl/>
              <w:spacing w:line="375" w:lineRule="atLeas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（6）法律、行政法规规定的其他条件。</w:t>
            </w:r>
          </w:p>
        </w:tc>
        <w:tc>
          <w:tcPr>
            <w:tcW w:w="3130" w:type="dxa"/>
            <w:noWrap/>
            <w:tcMar>
              <w:top w:w="0" w:type="dxa"/>
              <w:left w:w="105" w:type="dxa"/>
              <w:bottom w:w="0" w:type="dxa"/>
              <w:right w:w="105" w:type="dxa"/>
            </w:tcMar>
            <w:vAlign w:val="center"/>
          </w:tcPr>
          <w:p>
            <w:pPr>
              <w:widowControl/>
              <w:jc w:val="left"/>
              <w:textAlignment w:val="baseline"/>
              <w:rPr>
                <w:rFonts w:asciiTheme="minorEastAsia" w:hAnsiTheme="minorEastAsia" w:eastAsia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6142" w:type="dxa"/>
            <w:noWrap/>
            <w:tcMar>
              <w:top w:w="0" w:type="dxa"/>
              <w:left w:w="105" w:type="dxa"/>
              <w:bottom w:w="0" w:type="dxa"/>
              <w:right w:w="105" w:type="dxa"/>
            </w:tcMar>
            <w:vAlign w:val="center"/>
          </w:tcPr>
          <w:p>
            <w:pPr>
              <w:widowControl/>
              <w:spacing w:line="375" w:lineRule="atLeas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磋商文件对合格供应商的一般规定</w:t>
            </w:r>
          </w:p>
        </w:tc>
        <w:tc>
          <w:tcPr>
            <w:tcW w:w="3130" w:type="dxa"/>
            <w:noWrap/>
            <w:tcMar>
              <w:top w:w="0" w:type="dxa"/>
              <w:left w:w="105" w:type="dxa"/>
              <w:bottom w:w="0" w:type="dxa"/>
              <w:right w:w="105" w:type="dxa"/>
            </w:tcMar>
            <w:vAlign w:val="center"/>
          </w:tcPr>
          <w:p>
            <w:pPr>
              <w:widowControl/>
              <w:spacing w:line="375" w:lineRule="atLeas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供应商对是否违反一般规定做如实声明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6142" w:type="dxa"/>
            <w:noWrap/>
            <w:tcMar>
              <w:top w:w="0" w:type="dxa"/>
              <w:left w:w="105" w:type="dxa"/>
              <w:bottom w:w="0" w:type="dxa"/>
              <w:right w:w="105" w:type="dxa"/>
            </w:tcMar>
            <w:vAlign w:val="center"/>
          </w:tcPr>
          <w:p>
            <w:pPr>
              <w:widowControl/>
              <w:spacing w:line="375" w:lineRule="atLeas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1.供应商应当遵守中国的有关法律、法规和规章的规定，参加采购活动时已经自觉检查并按照相关法律规定，主动回避相应利害关系。</w:t>
            </w:r>
          </w:p>
        </w:tc>
        <w:tc>
          <w:tcPr>
            <w:tcW w:w="3130" w:type="dxa"/>
            <w:noWrap/>
            <w:tcMar>
              <w:top w:w="0" w:type="dxa"/>
              <w:left w:w="105" w:type="dxa"/>
              <w:bottom w:w="0" w:type="dxa"/>
              <w:right w:w="105" w:type="dxa"/>
            </w:tcMar>
            <w:vAlign w:val="center"/>
          </w:tcPr>
          <w:p>
            <w:pPr>
              <w:widowControl/>
              <w:jc w:val="left"/>
              <w:textAlignment w:val="baseline"/>
              <w:rPr>
                <w:rFonts w:asciiTheme="minorEastAsia" w:hAnsiTheme="minorEastAsia" w:eastAsia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c>
          <w:tcPr>
            <w:tcW w:w="6142" w:type="dxa"/>
            <w:noWrap/>
            <w:tcMar>
              <w:top w:w="0" w:type="dxa"/>
              <w:left w:w="105" w:type="dxa"/>
              <w:bottom w:w="0" w:type="dxa"/>
              <w:right w:w="105" w:type="dxa"/>
            </w:tcMar>
            <w:vAlign w:val="center"/>
          </w:tcPr>
          <w:p>
            <w:pPr>
              <w:widowControl/>
              <w:spacing w:line="375" w:lineRule="atLeas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2.为采购项目提供整体设计、规范编制或项目管理、监理、检测等服务的供应商，不得再参加该采购项目除整体设计、规范编制和项目管理、监理、检测等服务之外的其他采购活动。</w:t>
            </w:r>
          </w:p>
        </w:tc>
        <w:tc>
          <w:tcPr>
            <w:tcW w:w="3130" w:type="dxa"/>
            <w:noWrap/>
            <w:tcMar>
              <w:top w:w="0" w:type="dxa"/>
              <w:left w:w="105" w:type="dxa"/>
              <w:bottom w:w="0" w:type="dxa"/>
              <w:right w:w="105" w:type="dxa"/>
            </w:tcMar>
            <w:vAlign w:val="center"/>
          </w:tcPr>
          <w:p>
            <w:pPr>
              <w:widowControl/>
              <w:jc w:val="left"/>
              <w:textAlignment w:val="baseline"/>
              <w:rPr>
                <w:rFonts w:asciiTheme="minorEastAsia" w:hAnsiTheme="minorEastAsia" w:eastAsia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870" w:hRule="atLeast"/>
        </w:trPr>
        <w:tc>
          <w:tcPr>
            <w:tcW w:w="6142" w:type="dxa"/>
            <w:noWrap/>
            <w:tcMar>
              <w:top w:w="0" w:type="dxa"/>
              <w:left w:w="105" w:type="dxa"/>
              <w:bottom w:w="0" w:type="dxa"/>
              <w:right w:w="105" w:type="dxa"/>
            </w:tcMar>
            <w:vAlign w:val="center"/>
          </w:tcPr>
          <w:p>
            <w:pPr>
              <w:widowControl/>
              <w:spacing w:line="375" w:lineRule="atLeas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3.列入失信被执行人、重大税收违法案件当事人名单的供应商，不得参加本次采购活动。</w:t>
            </w:r>
          </w:p>
        </w:tc>
        <w:tc>
          <w:tcPr>
            <w:tcW w:w="3130" w:type="dxa"/>
            <w:noWrap/>
            <w:tcMar>
              <w:top w:w="0" w:type="dxa"/>
              <w:left w:w="105" w:type="dxa"/>
              <w:bottom w:w="0" w:type="dxa"/>
              <w:right w:w="105" w:type="dxa"/>
            </w:tcMar>
            <w:vAlign w:val="center"/>
          </w:tcPr>
          <w:p>
            <w:pPr>
              <w:widowControl/>
              <w:jc w:val="left"/>
              <w:textAlignment w:val="baseline"/>
              <w:rPr>
                <w:rFonts w:asciiTheme="minorEastAsia" w:hAnsiTheme="minorEastAsia" w:eastAsiaTheme="minorEastAsia" w:cstheme="minorEastAsia"/>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trHeight w:val="255" w:hRule="atLeast"/>
        </w:trPr>
        <w:tc>
          <w:tcPr>
            <w:tcW w:w="6142" w:type="dxa"/>
            <w:noWrap/>
            <w:tcMar>
              <w:top w:w="0" w:type="dxa"/>
              <w:left w:w="105" w:type="dxa"/>
              <w:bottom w:w="0" w:type="dxa"/>
              <w:right w:w="105" w:type="dxa"/>
            </w:tcMar>
            <w:vAlign w:val="center"/>
          </w:tcPr>
          <w:p>
            <w:pPr>
              <w:spacing w:line="375" w:lineRule="atLeas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4.单位负责人为同一人或存在直接控股、管理关系的不同供应商，不得同时参加同一合同项下的磋商</w:t>
            </w:r>
          </w:p>
        </w:tc>
        <w:tc>
          <w:tcPr>
            <w:tcW w:w="3130" w:type="dxa"/>
            <w:noWrap/>
            <w:tcMar>
              <w:top w:w="0" w:type="dxa"/>
              <w:left w:w="105" w:type="dxa"/>
              <w:bottom w:w="0" w:type="dxa"/>
              <w:right w:w="105" w:type="dxa"/>
            </w:tcMar>
            <w:vAlign w:val="center"/>
          </w:tcPr>
          <w:p>
            <w:pPr>
              <w:widowControl/>
              <w:jc w:val="left"/>
              <w:textAlignment w:val="baseline"/>
              <w:rPr>
                <w:rFonts w:asciiTheme="minorEastAsia" w:hAnsiTheme="minorEastAsia" w:eastAsiaTheme="minorEastAsia" w:cstheme="minorEastAsia"/>
                <w:color w:val="auto"/>
                <w:kern w:val="0"/>
                <w:sz w:val="24"/>
                <w:szCs w:val="24"/>
              </w:rPr>
            </w:pPr>
          </w:p>
        </w:tc>
      </w:tr>
    </w:tbl>
    <w:p>
      <w:pPr>
        <w:widowControl/>
        <w:spacing w:before="75" w:after="75" w:line="375" w:lineRule="atLeast"/>
        <w:ind w:firstLine="480"/>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2、我方对上述声明的真实性、合法性、准确性、有效性负责，并愿意根据磋商文件和磋商过程中贵方要求提供全部现有资料、数据、文件等予以证实。</w:t>
      </w:r>
    </w:p>
    <w:p>
      <w:pPr>
        <w:widowControl/>
        <w:spacing w:before="75" w:after="75" w:line="375" w:lineRule="atLeas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供应商代表：</w:t>
      </w:r>
      <w:r>
        <w:rPr>
          <w:rFonts w:hint="eastAsia" w:asciiTheme="minorEastAsia" w:hAnsiTheme="minorEastAsia" w:eastAsiaTheme="minorEastAsia" w:cstheme="minorEastAsia"/>
          <w:color w:val="auto"/>
          <w:kern w:val="0"/>
          <w:sz w:val="24"/>
          <w:szCs w:val="24"/>
          <w:u w:val="single" w:color="000000"/>
        </w:rPr>
        <w:t>             （签字） </w:t>
      </w:r>
    </w:p>
    <w:p>
      <w:pPr>
        <w:widowControl/>
        <w:spacing w:before="75" w:after="75" w:line="375" w:lineRule="atLeas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供应商名称：</w:t>
      </w:r>
      <w:r>
        <w:rPr>
          <w:rFonts w:hint="eastAsia" w:asciiTheme="minorEastAsia" w:hAnsiTheme="minorEastAsia" w:eastAsiaTheme="minorEastAsia" w:cstheme="minorEastAsia"/>
          <w:color w:val="auto"/>
          <w:kern w:val="0"/>
          <w:sz w:val="24"/>
          <w:szCs w:val="24"/>
          <w:u w:val="single" w:color="000000"/>
        </w:rPr>
        <w:t>       （全称并加盖公章）  </w:t>
      </w:r>
    </w:p>
    <w:p>
      <w:pPr>
        <w:widowControl/>
        <w:spacing w:before="75" w:after="75" w:line="375" w:lineRule="atLeast"/>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日  期： </w:t>
      </w:r>
      <w:r>
        <w:rPr>
          <w:rFonts w:hint="eastAsia" w:asciiTheme="minorEastAsia" w:hAnsiTheme="minorEastAsia" w:eastAsiaTheme="minorEastAsia" w:cstheme="minorEastAsia"/>
          <w:color w:val="auto"/>
          <w:kern w:val="0"/>
          <w:sz w:val="24"/>
          <w:szCs w:val="24"/>
          <w:u w:val="single" w:color="000000"/>
        </w:rPr>
        <w:t>    </w:t>
      </w:r>
      <w:r>
        <w:rPr>
          <w:rFonts w:hint="eastAsia" w:asciiTheme="minorEastAsia" w:hAnsiTheme="minorEastAsia" w:eastAsiaTheme="minorEastAsia" w:cstheme="minorEastAsia"/>
          <w:color w:val="auto"/>
          <w:kern w:val="0"/>
          <w:sz w:val="24"/>
          <w:szCs w:val="24"/>
        </w:rPr>
        <w:t>年 </w:t>
      </w:r>
      <w:r>
        <w:rPr>
          <w:rFonts w:hint="eastAsia" w:asciiTheme="minorEastAsia" w:hAnsiTheme="minorEastAsia" w:eastAsiaTheme="minorEastAsia" w:cstheme="minorEastAsia"/>
          <w:color w:val="auto"/>
          <w:kern w:val="0"/>
          <w:sz w:val="24"/>
          <w:szCs w:val="24"/>
          <w:u w:val="single" w:color="000000"/>
        </w:rPr>
        <w:t>   </w:t>
      </w:r>
      <w:r>
        <w:rPr>
          <w:rFonts w:hint="eastAsia" w:asciiTheme="minorEastAsia" w:hAnsiTheme="minorEastAsia" w:eastAsiaTheme="minorEastAsia" w:cstheme="minorEastAsia"/>
          <w:color w:val="auto"/>
          <w:kern w:val="0"/>
          <w:sz w:val="24"/>
          <w:szCs w:val="24"/>
        </w:rPr>
        <w:t>月 </w:t>
      </w:r>
      <w:r>
        <w:rPr>
          <w:rFonts w:hint="eastAsia" w:asciiTheme="minorEastAsia" w:hAnsiTheme="minorEastAsia" w:eastAsiaTheme="minorEastAsia" w:cstheme="minorEastAsia"/>
          <w:color w:val="auto"/>
          <w:kern w:val="0"/>
          <w:sz w:val="24"/>
          <w:szCs w:val="24"/>
          <w:u w:val="single" w:color="000000"/>
        </w:rPr>
        <w:t>   </w:t>
      </w:r>
      <w:r>
        <w:rPr>
          <w:rFonts w:hint="eastAsia" w:asciiTheme="minorEastAsia" w:hAnsiTheme="minorEastAsia" w:eastAsiaTheme="minorEastAsia" w:cstheme="minorEastAsia"/>
          <w:color w:val="auto"/>
          <w:kern w:val="0"/>
          <w:sz w:val="24"/>
          <w:szCs w:val="24"/>
        </w:rPr>
        <w:t>日</w:t>
      </w:r>
    </w:p>
    <w:p>
      <w:pPr>
        <w:widowControl/>
        <w:spacing w:before="75" w:after="75" w:line="435" w:lineRule="atLeast"/>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b/>
          <w:bCs/>
          <w:color w:val="auto"/>
          <w:kern w:val="0"/>
          <w:sz w:val="24"/>
          <w:szCs w:val="24"/>
        </w:rPr>
        <w:t>3单位负责人授权书</w:t>
      </w:r>
    </w:p>
    <w:p>
      <w:pPr>
        <w:widowControl/>
        <w:spacing w:before="75" w:after="75" w:line="405" w:lineRule="atLeast"/>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 </w:t>
      </w:r>
    </w:p>
    <w:p>
      <w:pPr>
        <w:widowControl/>
        <w:spacing w:before="75" w:after="75" w:line="360" w:lineRule="atLeast"/>
        <w:ind w:firstLine="480" w:firstLineChars="200"/>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致：</w:t>
      </w:r>
      <w:r>
        <w:rPr>
          <w:rFonts w:hint="eastAsia" w:asciiTheme="minorEastAsia" w:hAnsiTheme="minorEastAsia" w:eastAsiaTheme="minorEastAsia" w:cstheme="minorEastAsia"/>
          <w:color w:val="auto"/>
          <w:kern w:val="0"/>
          <w:sz w:val="24"/>
          <w:szCs w:val="24"/>
          <w:u w:val="single" w:color="000000"/>
        </w:rPr>
        <w:t>     (采购人或采购代理机构)      </w:t>
      </w:r>
    </w:p>
    <w:p>
      <w:pPr>
        <w:widowControl/>
        <w:spacing w:before="75" w:after="75" w:line="360" w:lineRule="atLeast"/>
        <w:ind w:firstLine="480"/>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我方的单位负责人</w:t>
      </w:r>
      <w:r>
        <w:rPr>
          <w:rFonts w:hint="eastAsia" w:asciiTheme="minorEastAsia" w:hAnsiTheme="minorEastAsia" w:eastAsiaTheme="minorEastAsia" w:cstheme="minorEastAsia"/>
          <w:color w:val="auto"/>
          <w:kern w:val="0"/>
          <w:sz w:val="24"/>
          <w:szCs w:val="24"/>
          <w:u w:val="single" w:color="000000"/>
        </w:rPr>
        <w:t>（填写“单位负责人全名”）</w:t>
      </w:r>
      <w:r>
        <w:rPr>
          <w:rFonts w:hint="eastAsia" w:asciiTheme="minorEastAsia" w:hAnsiTheme="minorEastAsia" w:eastAsiaTheme="minorEastAsia" w:cstheme="minorEastAsia"/>
          <w:color w:val="auto"/>
          <w:kern w:val="0"/>
          <w:sz w:val="24"/>
          <w:szCs w:val="24"/>
        </w:rPr>
        <w:t>授权</w:t>
      </w:r>
      <w:r>
        <w:rPr>
          <w:rFonts w:hint="eastAsia" w:asciiTheme="minorEastAsia" w:hAnsiTheme="minorEastAsia" w:eastAsiaTheme="minorEastAsia" w:cstheme="minorEastAsia"/>
          <w:color w:val="auto"/>
          <w:kern w:val="0"/>
          <w:sz w:val="24"/>
          <w:szCs w:val="24"/>
          <w:u w:val="single" w:color="000000"/>
        </w:rPr>
        <w:t>（填写“供应商代表全名”）</w:t>
      </w:r>
      <w:r>
        <w:rPr>
          <w:rFonts w:hint="eastAsia" w:asciiTheme="minorEastAsia" w:hAnsiTheme="minorEastAsia" w:eastAsiaTheme="minorEastAsia" w:cstheme="minorEastAsia"/>
          <w:color w:val="auto"/>
          <w:kern w:val="0"/>
          <w:sz w:val="24"/>
          <w:szCs w:val="24"/>
        </w:rPr>
        <w:t>为我方的供应商代表，代表我方参加</w:t>
      </w:r>
      <w:r>
        <w:rPr>
          <w:rFonts w:hint="eastAsia" w:asciiTheme="minorEastAsia" w:hAnsiTheme="minorEastAsia" w:eastAsiaTheme="minorEastAsia" w:cstheme="minorEastAsia"/>
          <w:color w:val="auto"/>
          <w:kern w:val="0"/>
          <w:sz w:val="24"/>
          <w:szCs w:val="24"/>
          <w:u w:val="single" w:color="000000"/>
        </w:rPr>
        <w:t>  （填写“项目名称”）   </w:t>
      </w:r>
      <w:r>
        <w:rPr>
          <w:rFonts w:hint="eastAsia" w:asciiTheme="minorEastAsia" w:hAnsiTheme="minorEastAsia" w:eastAsiaTheme="minorEastAsia" w:cstheme="minorEastAsia"/>
          <w:color w:val="auto"/>
          <w:kern w:val="0"/>
          <w:sz w:val="24"/>
          <w:szCs w:val="24"/>
        </w:rPr>
        <w:t>项目（项目编号：</w:t>
      </w:r>
      <w:r>
        <w:rPr>
          <w:rFonts w:hint="eastAsia" w:asciiTheme="minorEastAsia" w:hAnsiTheme="minorEastAsia" w:eastAsiaTheme="minorEastAsia" w:cstheme="minorEastAsia"/>
          <w:color w:val="auto"/>
          <w:kern w:val="0"/>
          <w:sz w:val="24"/>
          <w:szCs w:val="24"/>
          <w:u w:val="single" w:color="000000"/>
        </w:rPr>
        <w:t>         </w:t>
      </w:r>
      <w:r>
        <w:rPr>
          <w:rFonts w:hint="eastAsia" w:asciiTheme="minorEastAsia" w:hAnsiTheme="minorEastAsia" w:eastAsiaTheme="minorEastAsia" w:cstheme="minorEastAsia"/>
          <w:color w:val="auto"/>
          <w:kern w:val="0"/>
          <w:sz w:val="24"/>
          <w:szCs w:val="24"/>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widowControl/>
        <w:spacing w:before="75" w:after="75" w:line="360" w:lineRule="atLeast"/>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    供应商代表无转委权。特此授权。</w:t>
      </w:r>
    </w:p>
    <w:p>
      <w:pPr>
        <w:widowControl/>
        <w:spacing w:before="75" w:after="75" w:line="360" w:lineRule="atLeast"/>
        <w:jc w:val="center"/>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（以下无正文）</w:t>
      </w:r>
    </w:p>
    <w:p>
      <w:pPr>
        <w:widowControl/>
        <w:spacing w:before="75" w:after="75" w:line="360" w:lineRule="atLeast"/>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单位负责人：</w:t>
      </w:r>
      <w:r>
        <w:rPr>
          <w:rFonts w:hint="eastAsia" w:asciiTheme="minorEastAsia" w:hAnsiTheme="minorEastAsia" w:eastAsiaTheme="minorEastAsia" w:cstheme="minorEastAsia"/>
          <w:color w:val="auto"/>
          <w:kern w:val="0"/>
          <w:sz w:val="24"/>
          <w:szCs w:val="24"/>
          <w:u w:val="single" w:color="000000"/>
        </w:rPr>
        <w:t>       </w:t>
      </w:r>
      <w:r>
        <w:rPr>
          <w:rFonts w:hint="eastAsia" w:asciiTheme="minorEastAsia" w:hAnsiTheme="minorEastAsia" w:eastAsiaTheme="minorEastAsia" w:cstheme="minorEastAsia"/>
          <w:color w:val="auto"/>
          <w:kern w:val="0"/>
          <w:sz w:val="24"/>
          <w:szCs w:val="24"/>
        </w:rPr>
        <w:t>身份证号：</w:t>
      </w:r>
      <w:r>
        <w:rPr>
          <w:rFonts w:hint="eastAsia" w:asciiTheme="minorEastAsia" w:hAnsiTheme="minorEastAsia" w:eastAsiaTheme="minorEastAsia" w:cstheme="minorEastAsia"/>
          <w:color w:val="auto"/>
          <w:kern w:val="0"/>
          <w:sz w:val="24"/>
          <w:szCs w:val="24"/>
          <w:u w:val="single" w:color="000000"/>
        </w:rPr>
        <w:t>      </w:t>
      </w:r>
      <w:r>
        <w:rPr>
          <w:rFonts w:hint="eastAsia" w:asciiTheme="minorEastAsia" w:hAnsiTheme="minorEastAsia" w:eastAsiaTheme="minorEastAsia" w:cstheme="minorEastAsia"/>
          <w:color w:val="auto"/>
          <w:kern w:val="0"/>
          <w:sz w:val="24"/>
          <w:szCs w:val="24"/>
        </w:rPr>
        <w:t>手机：</w:t>
      </w:r>
      <w:r>
        <w:rPr>
          <w:rFonts w:hint="eastAsia" w:asciiTheme="minorEastAsia" w:hAnsiTheme="minorEastAsia" w:eastAsiaTheme="minorEastAsia" w:cstheme="minorEastAsia"/>
          <w:color w:val="auto"/>
          <w:kern w:val="0"/>
          <w:sz w:val="24"/>
          <w:szCs w:val="24"/>
          <w:u w:val="single" w:color="000000"/>
        </w:rPr>
        <w:t>       </w:t>
      </w:r>
    </w:p>
    <w:p>
      <w:pPr>
        <w:widowControl/>
        <w:spacing w:before="75" w:after="75" w:line="360" w:lineRule="atLeast"/>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供应商代表：</w:t>
      </w:r>
      <w:r>
        <w:rPr>
          <w:rFonts w:hint="eastAsia" w:asciiTheme="minorEastAsia" w:hAnsiTheme="minorEastAsia" w:eastAsiaTheme="minorEastAsia" w:cstheme="minorEastAsia"/>
          <w:color w:val="auto"/>
          <w:kern w:val="0"/>
          <w:sz w:val="24"/>
          <w:szCs w:val="24"/>
          <w:u w:val="single" w:color="000000"/>
        </w:rPr>
        <w:t>       </w:t>
      </w:r>
      <w:r>
        <w:rPr>
          <w:rFonts w:hint="eastAsia" w:asciiTheme="minorEastAsia" w:hAnsiTheme="minorEastAsia" w:eastAsiaTheme="minorEastAsia" w:cstheme="minorEastAsia"/>
          <w:color w:val="auto"/>
          <w:kern w:val="0"/>
          <w:sz w:val="24"/>
          <w:szCs w:val="24"/>
        </w:rPr>
        <w:t>身份证号：</w:t>
      </w:r>
      <w:r>
        <w:rPr>
          <w:rFonts w:hint="eastAsia" w:asciiTheme="minorEastAsia" w:hAnsiTheme="minorEastAsia" w:eastAsiaTheme="minorEastAsia" w:cstheme="minorEastAsia"/>
          <w:color w:val="auto"/>
          <w:kern w:val="0"/>
          <w:sz w:val="24"/>
          <w:szCs w:val="24"/>
          <w:u w:val="single" w:color="000000"/>
        </w:rPr>
        <w:t>      </w:t>
      </w:r>
      <w:r>
        <w:rPr>
          <w:rFonts w:hint="eastAsia" w:asciiTheme="minorEastAsia" w:hAnsiTheme="minorEastAsia" w:eastAsiaTheme="minorEastAsia" w:cstheme="minorEastAsia"/>
          <w:color w:val="auto"/>
          <w:kern w:val="0"/>
          <w:sz w:val="24"/>
          <w:szCs w:val="24"/>
        </w:rPr>
        <w:t>手机：</w:t>
      </w:r>
      <w:r>
        <w:rPr>
          <w:rFonts w:hint="eastAsia" w:asciiTheme="minorEastAsia" w:hAnsiTheme="minorEastAsia" w:eastAsiaTheme="minorEastAsia" w:cstheme="minorEastAsia"/>
          <w:color w:val="auto"/>
          <w:kern w:val="0"/>
          <w:sz w:val="24"/>
          <w:szCs w:val="24"/>
          <w:u w:val="single" w:color="000000"/>
        </w:rPr>
        <w:t>       </w:t>
      </w:r>
    </w:p>
    <w:p>
      <w:pPr>
        <w:widowControl/>
        <w:spacing w:before="75" w:after="75" w:line="360" w:lineRule="atLeast"/>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 </w:t>
      </w:r>
    </w:p>
    <w:p>
      <w:pPr>
        <w:widowControl/>
        <w:spacing w:before="75" w:after="75" w:line="360" w:lineRule="atLeast"/>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授权方</w:t>
      </w:r>
    </w:p>
    <w:p>
      <w:pPr>
        <w:widowControl/>
        <w:spacing w:before="75" w:after="75" w:line="360" w:lineRule="atLeast"/>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供应商：</w:t>
      </w:r>
      <w:r>
        <w:rPr>
          <w:rFonts w:hint="eastAsia" w:asciiTheme="minorEastAsia" w:hAnsiTheme="minorEastAsia" w:eastAsiaTheme="minorEastAsia" w:cstheme="minorEastAsia"/>
          <w:color w:val="auto"/>
          <w:kern w:val="0"/>
          <w:sz w:val="24"/>
          <w:szCs w:val="24"/>
          <w:u w:val="single" w:color="000000"/>
        </w:rPr>
        <w:t>（全称并加盖单位公章）</w:t>
      </w:r>
    </w:p>
    <w:p>
      <w:pPr>
        <w:widowControl/>
        <w:spacing w:before="75" w:after="75" w:line="360" w:lineRule="atLeast"/>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单位负责人签字或盖章：</w:t>
      </w:r>
      <w:r>
        <w:rPr>
          <w:rFonts w:hint="eastAsia" w:asciiTheme="minorEastAsia" w:hAnsiTheme="minorEastAsia" w:eastAsiaTheme="minorEastAsia" w:cstheme="minorEastAsia"/>
          <w:color w:val="auto"/>
          <w:kern w:val="0"/>
          <w:sz w:val="24"/>
          <w:szCs w:val="24"/>
          <w:u w:val="single" w:color="000000"/>
        </w:rPr>
        <w:t>                   </w:t>
      </w:r>
    </w:p>
    <w:p>
      <w:pPr>
        <w:widowControl/>
        <w:spacing w:before="75" w:after="75" w:line="360" w:lineRule="atLeast"/>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 </w:t>
      </w:r>
    </w:p>
    <w:p>
      <w:pPr>
        <w:widowControl/>
        <w:spacing w:before="75" w:after="75" w:line="360" w:lineRule="atLeast"/>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接受授权方</w:t>
      </w:r>
    </w:p>
    <w:p>
      <w:pPr>
        <w:widowControl/>
        <w:spacing w:before="75" w:after="75" w:line="360" w:lineRule="atLeast"/>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供应商代表签字：</w:t>
      </w:r>
      <w:r>
        <w:rPr>
          <w:rFonts w:hint="eastAsia" w:asciiTheme="minorEastAsia" w:hAnsiTheme="minorEastAsia" w:eastAsiaTheme="minorEastAsia" w:cstheme="minorEastAsia"/>
          <w:color w:val="auto"/>
          <w:kern w:val="0"/>
          <w:sz w:val="24"/>
          <w:szCs w:val="24"/>
          <w:u w:val="single" w:color="000000"/>
        </w:rPr>
        <w:t>                   </w:t>
      </w:r>
    </w:p>
    <w:p>
      <w:pPr>
        <w:widowControl/>
        <w:spacing w:before="75" w:after="75" w:line="360" w:lineRule="atLeast"/>
        <w:jc w:val="righ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签署日期：</w:t>
      </w:r>
      <w:r>
        <w:rPr>
          <w:rFonts w:hint="eastAsia" w:asciiTheme="minorEastAsia" w:hAnsiTheme="minorEastAsia" w:eastAsiaTheme="minorEastAsia" w:cstheme="minorEastAsia"/>
          <w:color w:val="auto"/>
          <w:kern w:val="0"/>
          <w:sz w:val="24"/>
          <w:szCs w:val="24"/>
          <w:u w:val="single" w:color="000000"/>
        </w:rPr>
        <w:t>    </w:t>
      </w:r>
      <w:r>
        <w:rPr>
          <w:rFonts w:hint="eastAsia" w:asciiTheme="minorEastAsia" w:hAnsiTheme="minorEastAsia" w:eastAsiaTheme="minorEastAsia" w:cstheme="minorEastAsia"/>
          <w:color w:val="auto"/>
          <w:kern w:val="0"/>
          <w:sz w:val="24"/>
          <w:szCs w:val="24"/>
        </w:rPr>
        <w:t>年</w:t>
      </w:r>
      <w:r>
        <w:rPr>
          <w:rFonts w:hint="eastAsia" w:asciiTheme="minorEastAsia" w:hAnsiTheme="minorEastAsia" w:eastAsiaTheme="minorEastAsia" w:cstheme="minorEastAsia"/>
          <w:color w:val="auto"/>
          <w:kern w:val="0"/>
          <w:sz w:val="24"/>
          <w:szCs w:val="24"/>
          <w:u w:val="single" w:color="000000"/>
        </w:rPr>
        <w:t>   </w:t>
      </w:r>
      <w:r>
        <w:rPr>
          <w:rFonts w:hint="eastAsia" w:asciiTheme="minorEastAsia" w:hAnsiTheme="minorEastAsia" w:eastAsiaTheme="minorEastAsia" w:cstheme="minorEastAsia"/>
          <w:color w:val="auto"/>
          <w:kern w:val="0"/>
          <w:sz w:val="24"/>
          <w:szCs w:val="24"/>
        </w:rPr>
        <w:t>月</w:t>
      </w:r>
      <w:r>
        <w:rPr>
          <w:rFonts w:hint="eastAsia" w:asciiTheme="minorEastAsia" w:hAnsiTheme="minorEastAsia" w:eastAsiaTheme="minorEastAsia" w:cstheme="minorEastAsia"/>
          <w:color w:val="auto"/>
          <w:kern w:val="0"/>
          <w:sz w:val="24"/>
          <w:szCs w:val="24"/>
          <w:u w:val="single" w:color="000000"/>
        </w:rPr>
        <w:t>   </w:t>
      </w:r>
      <w:r>
        <w:rPr>
          <w:rFonts w:hint="eastAsia" w:asciiTheme="minorEastAsia" w:hAnsiTheme="minorEastAsia" w:eastAsiaTheme="minorEastAsia" w:cstheme="minorEastAsia"/>
          <w:color w:val="auto"/>
          <w:kern w:val="0"/>
          <w:sz w:val="24"/>
          <w:szCs w:val="24"/>
        </w:rPr>
        <w:t>日</w:t>
      </w:r>
    </w:p>
    <w:p>
      <w:pPr>
        <w:widowControl/>
        <w:spacing w:before="75" w:after="75" w:line="360" w:lineRule="atLeast"/>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 </w:t>
      </w:r>
    </w:p>
    <w:p>
      <w:pPr>
        <w:spacing w:line="360" w:lineRule="auto"/>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附：被授权人身份证复印件</w:t>
      </w:r>
    </w:p>
    <w:p>
      <w:pPr>
        <w:pStyle w:val="18"/>
        <w:spacing w:before="323" w:after="323" w:line="360" w:lineRule="auto"/>
        <w:textAlignment w:val="baseline"/>
        <w:rPr>
          <w:rFonts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注：</w:t>
      </w:r>
      <w:r>
        <w:rPr>
          <w:rFonts w:hint="eastAsia" w:asciiTheme="minorEastAsia" w:hAnsiTheme="minorEastAsia" w:eastAsiaTheme="minorEastAsia" w:cstheme="minorEastAsia"/>
          <w:b/>
          <w:bCs/>
          <w:color w:val="auto"/>
        </w:rPr>
        <w:t> </w:t>
      </w:r>
    </w:p>
    <w:p>
      <w:pPr>
        <w:widowControl/>
        <w:spacing w:line="405" w:lineRule="atLeas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bCs/>
          <w:color w:val="auto"/>
          <w:kern w:val="0"/>
          <w:sz w:val="24"/>
          <w:szCs w:val="24"/>
        </w:rPr>
        <w:t>要求：真实、有效、清晰</w:t>
      </w:r>
    </w:p>
    <w:p>
      <w:pPr>
        <w:widowControl/>
        <w:spacing w:before="75" w:after="75" w:line="285" w:lineRule="atLeas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bCs/>
          <w:color w:val="auto"/>
          <w:kern w:val="0"/>
          <w:sz w:val="24"/>
          <w:szCs w:val="24"/>
        </w:rPr>
        <w:t> </w:t>
      </w:r>
      <w:r>
        <w:rPr>
          <w:rFonts w:hint="eastAsia" w:asciiTheme="minorEastAsia" w:hAnsiTheme="minorEastAsia" w:eastAsiaTheme="minorEastAsia" w:cstheme="minorEastAsia"/>
          <w:color w:val="auto"/>
          <w:kern w:val="0"/>
          <w:sz w:val="24"/>
          <w:szCs w:val="24"/>
        </w:rPr>
        <w:t>★注意：</w:t>
      </w: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1、企业（银行、保险、石油石化、电力、电信等行业除外）、事业单位和社会团体法人的“单位负责人”指法定代表人，即与实际提交的“营业执照等证明文件”载明的一致。</w:t>
      </w: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4、对于接受联合体形式的磋商且供应商是联合体的，则只需要联合体的牵头方提交本授权书，在纸质响应文件正本中的本授权书应为原件。</w:t>
      </w:r>
    </w:p>
    <w:p>
      <w:pPr>
        <w:pStyle w:val="18"/>
        <w:spacing w:before="323" w:after="323" w:line="360" w:lineRule="auto"/>
        <w:textAlignment w:val="baseline"/>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5、供应商代表为非单位负责人提供《单位负责人授权书》，供应商代表为单位负责人时，只须提供身份证复印件。</w:t>
      </w: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color w:val="auto"/>
          <w:kern w:val="0"/>
          <w:sz w:val="24"/>
          <w:szCs w:val="24"/>
        </w:rPr>
      </w:pPr>
    </w:p>
    <w:p>
      <w:pPr>
        <w:widowControl/>
        <w:spacing w:before="75" w:after="75" w:line="435" w:lineRule="atLeast"/>
        <w:jc w:val="left"/>
        <w:textAlignment w:val="baseline"/>
        <w:rPr>
          <w:rFonts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4        营业执照等证明文件</w:t>
      </w:r>
    </w:p>
    <w:p>
      <w:pPr>
        <w:widowControl/>
        <w:spacing w:before="75" w:after="75" w:line="435" w:lineRule="atLeas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szCs w:val="24"/>
        </w:rPr>
        <w:t> </w:t>
      </w:r>
      <w:r>
        <w:rPr>
          <w:rFonts w:hint="eastAsia" w:asciiTheme="minorEastAsia" w:hAnsiTheme="minorEastAsia" w:eastAsiaTheme="minorEastAsia" w:cstheme="minorEastAsia"/>
          <w:color w:val="auto"/>
          <w:kern w:val="0"/>
          <w:sz w:val="24"/>
        </w:rPr>
        <w:t>致：     (采购人或采购代理机构)        </w:t>
      </w:r>
    </w:p>
    <w:p>
      <w:pPr>
        <w:widowControl/>
        <w:spacing w:before="75" w:after="75" w:line="435" w:lineRule="atLeast"/>
        <w:ind w:firstLine="480" w:firstLineChars="20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）供应商为法人（包括企业、事业单位和社会团体）的现附上由（填写“签发机关全称”）签发的我方统一社会信用代码（请填写法人的具体证照名称）复印件，该证明材料真实有效，否则我方负全部责任。</w:t>
      </w:r>
    </w:p>
    <w:p>
      <w:pPr>
        <w:widowControl/>
        <w:spacing w:before="75" w:after="75" w:line="435" w:lineRule="atLeast"/>
        <w:ind w:firstLine="480" w:firstLineChars="20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）供应商为非法人（包括个体工商户等其他组织）的</w:t>
      </w:r>
    </w:p>
    <w:p>
      <w:pPr>
        <w:widowControl/>
        <w:spacing w:before="75" w:after="75" w:line="435" w:lineRule="atLeas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□现附上由（填写“签发机关全称”）签发的我方（请填写非法人的具体证照名称）复印件，该证明材料真实有效，否则我方负全部责任。</w:t>
      </w:r>
    </w:p>
    <w:p>
      <w:pPr>
        <w:widowControl/>
        <w:spacing w:before="75" w:after="75" w:line="435" w:lineRule="atLeast"/>
        <w:jc w:val="left"/>
        <w:rPr>
          <w:rFonts w:asciiTheme="minorEastAsia" w:hAnsiTheme="minorEastAsia" w:eastAsiaTheme="minorEastAsia" w:cstheme="minorEastAsia"/>
          <w:color w:val="auto"/>
          <w:kern w:val="0"/>
          <w:sz w:val="24"/>
        </w:rPr>
      </w:pPr>
    </w:p>
    <w:p>
      <w:pPr>
        <w:widowControl/>
        <w:spacing w:before="75" w:after="75" w:line="435" w:lineRule="atLeas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before="75" w:after="75" w:line="435" w:lineRule="atLeas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★注意：</w:t>
      </w:r>
    </w:p>
    <w:p>
      <w:pPr>
        <w:widowControl/>
        <w:spacing w:before="75" w:after="75" w:line="435" w:lineRule="atLeas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1、请供应商根据实际情况填写，在相应的（）中打“√”并选择相应的“□”（若有）后，再按照本格式的要求提供相应证明材料的复印件。</w:t>
      </w:r>
    </w:p>
    <w:p>
      <w:pPr>
        <w:widowControl/>
        <w:spacing w:before="75" w:after="75" w:line="435" w:lineRule="atLeas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2、供应商为企业的，提供有效的营业执照复印件；</w:t>
      </w:r>
    </w:p>
    <w:p>
      <w:pPr>
        <w:widowControl/>
        <w:spacing w:before="75" w:after="75" w:line="435" w:lineRule="atLeas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供应商为事业单位的，提供有效的事业单位法人证书复印件；</w:t>
      </w:r>
    </w:p>
    <w:p>
      <w:pPr>
        <w:widowControl/>
        <w:spacing w:before="75" w:after="75" w:line="435" w:lineRule="atLeas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供应商为社会团体的，提供有效的社会团体法人登记证书复印件；</w:t>
      </w:r>
    </w:p>
    <w:p>
      <w:pPr>
        <w:widowControl/>
        <w:spacing w:before="75" w:after="75" w:line="435" w:lineRule="atLeas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供应商为合伙企业、个体工商户的，提供有效的营业执照复印件；</w:t>
      </w:r>
    </w:p>
    <w:p>
      <w:pPr>
        <w:widowControl/>
        <w:spacing w:before="75" w:after="75" w:line="435" w:lineRule="atLeas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供应商为非企业专业服务机构的，提供有效的执业许可证等证明材料复印件；</w:t>
      </w:r>
    </w:p>
    <w:p>
      <w:pPr>
        <w:widowControl/>
        <w:spacing w:before="75" w:after="75" w:line="435" w:lineRule="atLeas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其他供应商应按照有关法律、法规和规章规定，提供有效的相应具体证照复印件。</w:t>
      </w:r>
    </w:p>
    <w:p>
      <w:pPr>
        <w:widowControl/>
        <w:spacing w:before="75" w:after="75" w:line="435" w:lineRule="atLeas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3、供应商提供的相应证明材料复印件均应符合：内容完整、清晰、整洁，并由供应商加盖其单位公章。</w:t>
      </w:r>
    </w:p>
    <w:p>
      <w:pPr>
        <w:widowControl/>
        <w:spacing w:before="75" w:after="75" w:line="435" w:lineRule="atLeast"/>
        <w:jc w:val="left"/>
        <w:rPr>
          <w:rFonts w:asciiTheme="minorEastAsia" w:hAnsiTheme="minorEastAsia" w:eastAsiaTheme="minorEastAsia" w:cstheme="minorEastAsia"/>
          <w:b/>
          <w:bCs/>
          <w:color w:val="auto"/>
          <w:kern w:val="0"/>
          <w:sz w:val="24"/>
        </w:rPr>
      </w:pPr>
    </w:p>
    <w:p>
      <w:pPr>
        <w:widowControl/>
        <w:spacing w:before="75" w:after="75" w:line="435" w:lineRule="atLeas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before="75" w:after="75" w:line="435" w:lineRule="atLeas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日  期：     年    月    日</w:t>
      </w:r>
    </w:p>
    <w:p>
      <w:pPr>
        <w:widowControl/>
        <w:jc w:val="left"/>
        <w:textAlignment w:val="baseline"/>
        <w:rPr>
          <w:rFonts w:asciiTheme="minorEastAsia" w:hAnsiTheme="minorEastAsia" w:eastAsiaTheme="minorEastAsia" w:cstheme="minorEastAsia"/>
          <w:b/>
          <w:bCs/>
          <w:color w:val="auto"/>
          <w:kern w:val="0"/>
          <w:sz w:val="24"/>
          <w:szCs w:val="24"/>
        </w:rPr>
      </w:pPr>
    </w:p>
    <w:p>
      <w:pPr>
        <w:rPr>
          <w:rFonts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br w:type="page"/>
      </w:r>
    </w:p>
    <w:p>
      <w:pPr>
        <w:rPr>
          <w:rFonts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color w:val="auto"/>
          <w:kern w:val="0"/>
          <w:sz w:val="24"/>
        </w:rPr>
        <w:t>“信用中国”网站查询并打印的信用记录</w:t>
      </w:r>
    </w:p>
    <w:p>
      <w:pPr>
        <w:rPr>
          <w:rFonts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br w:type="page"/>
      </w:r>
    </w:p>
    <w:p>
      <w:pPr>
        <w:pStyle w:val="6"/>
        <w:rPr>
          <w:color w:val="auto"/>
        </w:rPr>
      </w:pPr>
    </w:p>
    <w:p>
      <w:pPr>
        <w:widowControl/>
        <w:spacing w:before="75" w:after="75" w:line="435" w:lineRule="atLeast"/>
        <w:jc w:val="left"/>
        <w:rPr>
          <w:rFonts w:hint="default" w:asciiTheme="minorEastAsia" w:hAnsiTheme="minorEastAsia" w:eastAsiaTheme="minorEastAsia" w:cstheme="minorEastAsia"/>
          <w:b/>
          <w:color w:val="auto"/>
          <w:kern w:val="0"/>
          <w:sz w:val="24"/>
          <w:lang w:val="en-US" w:eastAsia="zh-CN"/>
        </w:rPr>
      </w:pPr>
      <w:r>
        <w:rPr>
          <w:rFonts w:hint="eastAsia" w:asciiTheme="minorEastAsia" w:hAnsiTheme="minorEastAsia" w:eastAsiaTheme="minorEastAsia" w:cstheme="minorEastAsia"/>
          <w:b/>
          <w:color w:val="auto"/>
          <w:kern w:val="0"/>
          <w:sz w:val="24"/>
        </w:rPr>
        <w:t>6、</w:t>
      </w:r>
      <w:r>
        <w:rPr>
          <w:rFonts w:hint="eastAsia" w:asciiTheme="minorEastAsia" w:hAnsiTheme="minorEastAsia" w:eastAsiaTheme="minorEastAsia" w:cstheme="minorEastAsia"/>
          <w:b/>
          <w:color w:val="auto"/>
          <w:kern w:val="0"/>
          <w:sz w:val="24"/>
          <w:lang w:val="en-US" w:eastAsia="zh-CN"/>
        </w:rPr>
        <w:t>人员配置表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418"/>
        <w:gridCol w:w="1042"/>
        <w:gridCol w:w="2458"/>
        <w:gridCol w:w="232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pStyle w:val="6"/>
              <w:numPr>
                <w:ilvl w:val="0"/>
                <w:numId w:val="0"/>
              </w:numPr>
              <w:spacing w:line="360" w:lineRule="auto"/>
              <w:jc w:val="center"/>
              <w:rPr>
                <w:rFonts w:hint="eastAsia" w:asciiTheme="minorEastAsia" w:hAnsiTheme="minorEastAsia" w:cstheme="minorEastAsia"/>
                <w:b w:val="0"/>
                <w:bCs w:val="0"/>
                <w:color w:val="auto"/>
                <w:sz w:val="24"/>
                <w:szCs w:val="24"/>
                <w:highlight w:val="none"/>
                <w:vertAlign w:val="baseline"/>
                <w:lang w:val="en-US" w:eastAsia="zh-CN"/>
              </w:rPr>
            </w:pPr>
            <w:r>
              <w:rPr>
                <w:rFonts w:hint="eastAsia" w:asciiTheme="minorEastAsia" w:hAnsiTheme="minorEastAsia" w:cstheme="minorEastAsia"/>
                <w:b/>
                <w:bCs/>
                <w:color w:val="auto"/>
                <w:sz w:val="28"/>
                <w:szCs w:val="28"/>
                <w:highlight w:val="none"/>
                <w:vertAlign w:val="baseline"/>
                <w:lang w:val="en-US" w:eastAsia="zh-CN"/>
              </w:rPr>
              <w:t>人员配置表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pStyle w:val="6"/>
              <w:numPr>
                <w:ilvl w:val="0"/>
                <w:numId w:val="0"/>
              </w:numPr>
              <w:spacing w:line="360" w:lineRule="auto"/>
              <w:jc w:val="center"/>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cstheme="minorEastAsia"/>
                <w:b w:val="0"/>
                <w:bCs w:val="0"/>
                <w:color w:val="auto"/>
                <w:sz w:val="24"/>
                <w:szCs w:val="24"/>
                <w:highlight w:val="none"/>
                <w:vertAlign w:val="baseline"/>
                <w:lang w:val="en-US" w:eastAsia="zh-CN"/>
              </w:rPr>
              <w:t>序号</w:t>
            </w:r>
          </w:p>
        </w:tc>
        <w:tc>
          <w:tcPr>
            <w:tcW w:w="1418" w:type="dxa"/>
          </w:tcPr>
          <w:p>
            <w:pPr>
              <w:pStyle w:val="6"/>
              <w:numPr>
                <w:ilvl w:val="0"/>
                <w:numId w:val="0"/>
              </w:numPr>
              <w:spacing w:line="360" w:lineRule="auto"/>
              <w:jc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cstheme="minorEastAsia"/>
                <w:b w:val="0"/>
                <w:bCs w:val="0"/>
                <w:color w:val="auto"/>
                <w:sz w:val="24"/>
                <w:szCs w:val="24"/>
                <w:highlight w:val="none"/>
                <w:vertAlign w:val="baseline"/>
                <w:lang w:val="en-US" w:eastAsia="zh-CN"/>
              </w:rPr>
              <w:t>岗位</w:t>
            </w:r>
          </w:p>
        </w:tc>
        <w:tc>
          <w:tcPr>
            <w:tcW w:w="1042" w:type="dxa"/>
          </w:tcPr>
          <w:p>
            <w:pPr>
              <w:pStyle w:val="6"/>
              <w:numPr>
                <w:ilvl w:val="0"/>
                <w:numId w:val="0"/>
              </w:numPr>
              <w:spacing w:line="360" w:lineRule="auto"/>
              <w:jc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cstheme="minorEastAsia"/>
                <w:b w:val="0"/>
                <w:bCs w:val="0"/>
                <w:color w:val="auto"/>
                <w:sz w:val="24"/>
                <w:szCs w:val="24"/>
                <w:highlight w:val="none"/>
                <w:vertAlign w:val="baseline"/>
                <w:lang w:val="en-US" w:eastAsia="zh-CN"/>
              </w:rPr>
              <w:t>姓名</w:t>
            </w:r>
          </w:p>
        </w:tc>
        <w:tc>
          <w:tcPr>
            <w:tcW w:w="2458" w:type="dxa"/>
          </w:tcPr>
          <w:p>
            <w:pPr>
              <w:pStyle w:val="6"/>
              <w:numPr>
                <w:ilvl w:val="0"/>
                <w:numId w:val="0"/>
              </w:numPr>
              <w:spacing w:line="360" w:lineRule="auto"/>
              <w:jc w:val="center"/>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cstheme="minorEastAsia"/>
                <w:b w:val="0"/>
                <w:bCs w:val="0"/>
                <w:color w:val="auto"/>
                <w:sz w:val="24"/>
                <w:szCs w:val="24"/>
                <w:highlight w:val="none"/>
                <w:vertAlign w:val="baseline"/>
                <w:lang w:val="en-US" w:eastAsia="zh-CN"/>
              </w:rPr>
              <w:t>身份证号</w:t>
            </w:r>
          </w:p>
        </w:tc>
        <w:tc>
          <w:tcPr>
            <w:tcW w:w="2325" w:type="dxa"/>
          </w:tcPr>
          <w:p>
            <w:pPr>
              <w:pStyle w:val="6"/>
              <w:numPr>
                <w:ilvl w:val="0"/>
                <w:numId w:val="0"/>
              </w:numPr>
              <w:spacing w:line="360" w:lineRule="auto"/>
              <w:jc w:val="center"/>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cstheme="minorEastAsia"/>
                <w:b w:val="0"/>
                <w:bCs w:val="0"/>
                <w:color w:val="auto"/>
                <w:sz w:val="24"/>
                <w:szCs w:val="24"/>
                <w:highlight w:val="none"/>
                <w:vertAlign w:val="baseline"/>
                <w:lang w:val="en-US" w:eastAsia="zh-CN"/>
              </w:rPr>
              <w:t>联系方式</w:t>
            </w:r>
          </w:p>
        </w:tc>
        <w:tc>
          <w:tcPr>
            <w:tcW w:w="1950" w:type="dxa"/>
          </w:tcPr>
          <w:p>
            <w:pPr>
              <w:pStyle w:val="6"/>
              <w:numPr>
                <w:ilvl w:val="0"/>
                <w:numId w:val="0"/>
              </w:numPr>
              <w:spacing w:line="360" w:lineRule="auto"/>
              <w:jc w:val="center"/>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cstheme="minorEastAsia"/>
                <w:b w:val="0"/>
                <w:bCs w:val="0"/>
                <w:color w:val="auto"/>
                <w:sz w:val="24"/>
                <w:szCs w:val="24"/>
                <w:highlight w:val="none"/>
                <w:vertAlign w:val="baseline"/>
                <w:lang w:val="en-US" w:eastAsia="zh-CN"/>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pStyle w:val="6"/>
              <w:numPr>
                <w:ilvl w:val="0"/>
                <w:numId w:val="0"/>
              </w:numPr>
              <w:spacing w:line="360" w:lineRule="auto"/>
              <w:jc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cstheme="minorEastAsia"/>
                <w:b w:val="0"/>
                <w:bCs w:val="0"/>
                <w:color w:val="auto"/>
                <w:sz w:val="24"/>
                <w:szCs w:val="24"/>
                <w:highlight w:val="none"/>
                <w:vertAlign w:val="baseline"/>
                <w:lang w:val="en-US" w:eastAsia="zh-CN"/>
              </w:rPr>
              <w:t>1</w:t>
            </w:r>
          </w:p>
        </w:tc>
        <w:tc>
          <w:tcPr>
            <w:tcW w:w="1418" w:type="dxa"/>
          </w:tcPr>
          <w:p>
            <w:pPr>
              <w:pStyle w:val="6"/>
              <w:numPr>
                <w:ilvl w:val="0"/>
                <w:numId w:val="0"/>
              </w:numPr>
              <w:spacing w:line="360" w:lineRule="auto"/>
              <w:jc w:val="center"/>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cstheme="minorEastAsia"/>
                <w:b w:val="0"/>
                <w:bCs w:val="0"/>
                <w:color w:val="auto"/>
                <w:sz w:val="24"/>
                <w:szCs w:val="24"/>
                <w:highlight w:val="none"/>
                <w:vertAlign w:val="baseline"/>
                <w:lang w:val="en-US" w:eastAsia="zh-CN"/>
              </w:rPr>
              <w:t>联系人</w:t>
            </w:r>
          </w:p>
        </w:tc>
        <w:tc>
          <w:tcPr>
            <w:tcW w:w="1042" w:type="dxa"/>
          </w:tcPr>
          <w:p>
            <w:pPr>
              <w:pStyle w:val="6"/>
              <w:numPr>
                <w:ilvl w:val="0"/>
                <w:numId w:val="0"/>
              </w:numPr>
              <w:spacing w:line="360" w:lineRule="auto"/>
              <w:rPr>
                <w:rFonts w:hint="eastAsia" w:asciiTheme="minorEastAsia" w:hAnsiTheme="minorEastAsia" w:eastAsiaTheme="minorEastAsia" w:cstheme="minorEastAsia"/>
                <w:b w:val="0"/>
                <w:bCs w:val="0"/>
                <w:color w:val="auto"/>
                <w:sz w:val="24"/>
                <w:szCs w:val="24"/>
                <w:highlight w:val="none"/>
                <w:vertAlign w:val="baseline"/>
              </w:rPr>
            </w:pPr>
          </w:p>
        </w:tc>
        <w:tc>
          <w:tcPr>
            <w:tcW w:w="2458" w:type="dxa"/>
          </w:tcPr>
          <w:p>
            <w:pPr>
              <w:pStyle w:val="6"/>
              <w:numPr>
                <w:ilvl w:val="0"/>
                <w:numId w:val="0"/>
              </w:numPr>
              <w:spacing w:line="360" w:lineRule="auto"/>
              <w:rPr>
                <w:rFonts w:hint="eastAsia" w:asciiTheme="minorEastAsia" w:hAnsiTheme="minorEastAsia" w:eastAsiaTheme="minorEastAsia" w:cstheme="minorEastAsia"/>
                <w:b w:val="0"/>
                <w:bCs w:val="0"/>
                <w:color w:val="auto"/>
                <w:sz w:val="24"/>
                <w:szCs w:val="24"/>
                <w:highlight w:val="none"/>
                <w:vertAlign w:val="baseline"/>
              </w:rPr>
            </w:pPr>
          </w:p>
        </w:tc>
        <w:tc>
          <w:tcPr>
            <w:tcW w:w="2325" w:type="dxa"/>
          </w:tcPr>
          <w:p>
            <w:pPr>
              <w:pStyle w:val="6"/>
              <w:numPr>
                <w:ilvl w:val="0"/>
                <w:numId w:val="0"/>
              </w:numPr>
              <w:spacing w:line="360" w:lineRule="auto"/>
              <w:rPr>
                <w:rFonts w:hint="eastAsia" w:asciiTheme="minorEastAsia" w:hAnsiTheme="minorEastAsia" w:eastAsiaTheme="minorEastAsia" w:cstheme="minorEastAsia"/>
                <w:b w:val="0"/>
                <w:bCs w:val="0"/>
                <w:color w:val="auto"/>
                <w:sz w:val="24"/>
                <w:szCs w:val="24"/>
                <w:highlight w:val="none"/>
                <w:vertAlign w:val="baseline"/>
              </w:rPr>
            </w:pPr>
          </w:p>
        </w:tc>
        <w:tc>
          <w:tcPr>
            <w:tcW w:w="1950" w:type="dxa"/>
          </w:tcPr>
          <w:p>
            <w:pPr>
              <w:pStyle w:val="6"/>
              <w:numPr>
                <w:ilvl w:val="0"/>
                <w:numId w:val="0"/>
              </w:numPr>
              <w:spacing w:line="360" w:lineRule="auto"/>
              <w:rPr>
                <w:rFonts w:hint="eastAsia" w:asciiTheme="minorEastAsia" w:hAnsiTheme="minorEastAsia" w:eastAsiaTheme="minorEastAsia" w:cstheme="minorEastAsia"/>
                <w:b w:val="0"/>
                <w:bCs w:val="0"/>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pStyle w:val="6"/>
              <w:numPr>
                <w:ilvl w:val="0"/>
                <w:numId w:val="0"/>
              </w:numPr>
              <w:spacing w:line="360" w:lineRule="auto"/>
              <w:jc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cstheme="minorEastAsia"/>
                <w:b w:val="0"/>
                <w:bCs w:val="0"/>
                <w:color w:val="auto"/>
                <w:sz w:val="24"/>
                <w:szCs w:val="24"/>
                <w:highlight w:val="none"/>
                <w:vertAlign w:val="baseline"/>
                <w:lang w:val="en-US" w:eastAsia="zh-CN"/>
              </w:rPr>
              <w:t>2</w:t>
            </w:r>
          </w:p>
        </w:tc>
        <w:tc>
          <w:tcPr>
            <w:tcW w:w="1418" w:type="dxa"/>
          </w:tcPr>
          <w:p>
            <w:pPr>
              <w:pStyle w:val="6"/>
              <w:numPr>
                <w:ilvl w:val="0"/>
                <w:numId w:val="0"/>
              </w:numPr>
              <w:spacing w:line="360" w:lineRule="auto"/>
              <w:jc w:val="center"/>
              <w:rPr>
                <w:rFonts w:hint="default"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cstheme="minorEastAsia"/>
                <w:b w:val="0"/>
                <w:bCs w:val="0"/>
                <w:color w:val="auto"/>
                <w:sz w:val="24"/>
                <w:szCs w:val="24"/>
                <w:highlight w:val="none"/>
                <w:vertAlign w:val="baseline"/>
                <w:lang w:val="en-US" w:eastAsia="zh-CN"/>
              </w:rPr>
              <w:t>维保人员</w:t>
            </w:r>
          </w:p>
        </w:tc>
        <w:tc>
          <w:tcPr>
            <w:tcW w:w="1042" w:type="dxa"/>
          </w:tcPr>
          <w:p>
            <w:pPr>
              <w:pStyle w:val="6"/>
              <w:numPr>
                <w:ilvl w:val="0"/>
                <w:numId w:val="0"/>
              </w:numPr>
              <w:spacing w:line="360" w:lineRule="auto"/>
              <w:rPr>
                <w:rFonts w:hint="eastAsia" w:asciiTheme="minorEastAsia" w:hAnsiTheme="minorEastAsia" w:eastAsiaTheme="minorEastAsia" w:cstheme="minorEastAsia"/>
                <w:b w:val="0"/>
                <w:bCs w:val="0"/>
                <w:color w:val="auto"/>
                <w:sz w:val="24"/>
                <w:szCs w:val="24"/>
                <w:highlight w:val="none"/>
                <w:vertAlign w:val="baseline"/>
              </w:rPr>
            </w:pPr>
          </w:p>
        </w:tc>
        <w:tc>
          <w:tcPr>
            <w:tcW w:w="2458" w:type="dxa"/>
          </w:tcPr>
          <w:p>
            <w:pPr>
              <w:pStyle w:val="6"/>
              <w:numPr>
                <w:ilvl w:val="0"/>
                <w:numId w:val="0"/>
              </w:numPr>
              <w:spacing w:line="360" w:lineRule="auto"/>
              <w:rPr>
                <w:rFonts w:hint="eastAsia" w:asciiTheme="minorEastAsia" w:hAnsiTheme="minorEastAsia" w:eastAsiaTheme="minorEastAsia" w:cstheme="minorEastAsia"/>
                <w:b w:val="0"/>
                <w:bCs w:val="0"/>
                <w:color w:val="auto"/>
                <w:sz w:val="24"/>
                <w:szCs w:val="24"/>
                <w:highlight w:val="none"/>
                <w:vertAlign w:val="baseline"/>
              </w:rPr>
            </w:pPr>
          </w:p>
        </w:tc>
        <w:tc>
          <w:tcPr>
            <w:tcW w:w="2325" w:type="dxa"/>
          </w:tcPr>
          <w:p>
            <w:pPr>
              <w:pStyle w:val="6"/>
              <w:numPr>
                <w:ilvl w:val="0"/>
                <w:numId w:val="0"/>
              </w:numPr>
              <w:spacing w:line="360" w:lineRule="auto"/>
              <w:rPr>
                <w:rFonts w:hint="eastAsia" w:asciiTheme="minorEastAsia" w:hAnsiTheme="minorEastAsia" w:eastAsiaTheme="minorEastAsia" w:cstheme="minorEastAsia"/>
                <w:b w:val="0"/>
                <w:bCs w:val="0"/>
                <w:color w:val="auto"/>
                <w:sz w:val="24"/>
                <w:szCs w:val="24"/>
                <w:highlight w:val="none"/>
                <w:vertAlign w:val="baseline"/>
              </w:rPr>
            </w:pPr>
          </w:p>
        </w:tc>
        <w:tc>
          <w:tcPr>
            <w:tcW w:w="1950" w:type="dxa"/>
          </w:tcPr>
          <w:p>
            <w:pPr>
              <w:pStyle w:val="6"/>
              <w:numPr>
                <w:ilvl w:val="0"/>
                <w:numId w:val="0"/>
              </w:numPr>
              <w:spacing w:line="360" w:lineRule="auto"/>
              <w:rPr>
                <w:rFonts w:hint="eastAsia" w:asciiTheme="minorEastAsia" w:hAnsiTheme="minorEastAsia" w:eastAsiaTheme="minorEastAsia" w:cstheme="minorEastAsia"/>
                <w:b w:val="0"/>
                <w:bCs w:val="0"/>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pStyle w:val="6"/>
              <w:numPr>
                <w:ilvl w:val="0"/>
                <w:numId w:val="0"/>
              </w:numPr>
              <w:spacing w:line="360" w:lineRule="auto"/>
              <w:jc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cstheme="minorEastAsia"/>
                <w:b w:val="0"/>
                <w:bCs w:val="0"/>
                <w:color w:val="auto"/>
                <w:sz w:val="24"/>
                <w:szCs w:val="24"/>
                <w:highlight w:val="none"/>
                <w:vertAlign w:val="baseline"/>
                <w:lang w:val="en-US" w:eastAsia="zh-CN"/>
              </w:rPr>
              <w:t>3</w:t>
            </w:r>
          </w:p>
        </w:tc>
        <w:tc>
          <w:tcPr>
            <w:tcW w:w="1418" w:type="dxa"/>
          </w:tcPr>
          <w:p>
            <w:pPr>
              <w:pStyle w:val="6"/>
              <w:numPr>
                <w:ilvl w:val="0"/>
                <w:numId w:val="0"/>
              </w:numPr>
              <w:spacing w:line="360" w:lineRule="auto"/>
              <w:jc w:val="center"/>
              <w:rPr>
                <w:rFonts w:hint="eastAsia" w:asciiTheme="minorEastAsia" w:hAnsiTheme="minorEastAsia" w:eastAsiaTheme="minorEastAsia" w:cstheme="minorEastAsia"/>
                <w:b w:val="0"/>
                <w:bCs w:val="0"/>
                <w:color w:val="auto"/>
                <w:sz w:val="24"/>
                <w:szCs w:val="24"/>
                <w:highlight w:val="none"/>
                <w:vertAlign w:val="baseline"/>
              </w:rPr>
            </w:pPr>
            <w:r>
              <w:rPr>
                <w:rFonts w:hint="eastAsia" w:asciiTheme="minorEastAsia" w:hAnsiTheme="minorEastAsia" w:cstheme="minorEastAsia"/>
                <w:b w:val="0"/>
                <w:bCs w:val="0"/>
                <w:color w:val="auto"/>
                <w:sz w:val="24"/>
                <w:szCs w:val="24"/>
                <w:highlight w:val="none"/>
                <w:vertAlign w:val="baseline"/>
                <w:lang w:val="en-US" w:eastAsia="zh-CN"/>
              </w:rPr>
              <w:t>维保人员</w:t>
            </w:r>
          </w:p>
        </w:tc>
        <w:tc>
          <w:tcPr>
            <w:tcW w:w="1042" w:type="dxa"/>
          </w:tcPr>
          <w:p>
            <w:pPr>
              <w:pStyle w:val="6"/>
              <w:numPr>
                <w:ilvl w:val="0"/>
                <w:numId w:val="0"/>
              </w:numPr>
              <w:spacing w:line="360" w:lineRule="auto"/>
              <w:rPr>
                <w:rFonts w:hint="eastAsia" w:asciiTheme="minorEastAsia" w:hAnsiTheme="minorEastAsia" w:eastAsiaTheme="minorEastAsia" w:cstheme="minorEastAsia"/>
                <w:b w:val="0"/>
                <w:bCs w:val="0"/>
                <w:color w:val="auto"/>
                <w:sz w:val="24"/>
                <w:szCs w:val="24"/>
                <w:highlight w:val="none"/>
                <w:vertAlign w:val="baseline"/>
              </w:rPr>
            </w:pPr>
          </w:p>
        </w:tc>
        <w:tc>
          <w:tcPr>
            <w:tcW w:w="2458" w:type="dxa"/>
          </w:tcPr>
          <w:p>
            <w:pPr>
              <w:pStyle w:val="6"/>
              <w:numPr>
                <w:ilvl w:val="0"/>
                <w:numId w:val="0"/>
              </w:numPr>
              <w:spacing w:line="360" w:lineRule="auto"/>
              <w:rPr>
                <w:rFonts w:hint="eastAsia" w:asciiTheme="minorEastAsia" w:hAnsiTheme="minorEastAsia" w:eastAsiaTheme="minorEastAsia" w:cstheme="minorEastAsia"/>
                <w:b w:val="0"/>
                <w:bCs w:val="0"/>
                <w:color w:val="auto"/>
                <w:sz w:val="24"/>
                <w:szCs w:val="24"/>
                <w:highlight w:val="none"/>
                <w:vertAlign w:val="baseline"/>
              </w:rPr>
            </w:pPr>
          </w:p>
        </w:tc>
        <w:tc>
          <w:tcPr>
            <w:tcW w:w="2325" w:type="dxa"/>
          </w:tcPr>
          <w:p>
            <w:pPr>
              <w:pStyle w:val="6"/>
              <w:numPr>
                <w:ilvl w:val="0"/>
                <w:numId w:val="0"/>
              </w:numPr>
              <w:spacing w:line="360" w:lineRule="auto"/>
              <w:rPr>
                <w:rFonts w:hint="eastAsia" w:asciiTheme="minorEastAsia" w:hAnsiTheme="minorEastAsia" w:eastAsiaTheme="minorEastAsia" w:cstheme="minorEastAsia"/>
                <w:b w:val="0"/>
                <w:bCs w:val="0"/>
                <w:color w:val="auto"/>
                <w:sz w:val="24"/>
                <w:szCs w:val="24"/>
                <w:highlight w:val="none"/>
                <w:vertAlign w:val="baseline"/>
              </w:rPr>
            </w:pPr>
          </w:p>
        </w:tc>
        <w:tc>
          <w:tcPr>
            <w:tcW w:w="1950" w:type="dxa"/>
          </w:tcPr>
          <w:p>
            <w:pPr>
              <w:pStyle w:val="6"/>
              <w:numPr>
                <w:ilvl w:val="0"/>
                <w:numId w:val="0"/>
              </w:numPr>
              <w:spacing w:line="360" w:lineRule="auto"/>
              <w:rPr>
                <w:rFonts w:hint="eastAsia" w:asciiTheme="minorEastAsia" w:hAnsiTheme="minorEastAsia" w:eastAsiaTheme="minorEastAsia" w:cstheme="minorEastAsia"/>
                <w:b w:val="0"/>
                <w:bCs w:val="0"/>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6"/>
          </w:tcPr>
          <w:p>
            <w:pPr>
              <w:rPr>
                <w:rFonts w:hint="eastAsia" w:asciiTheme="minorEastAsia" w:hAnsiTheme="minorEastAsia" w:cstheme="minorEastAsia"/>
                <w:b/>
                <w:bCs/>
                <w:color w:val="auto"/>
                <w:sz w:val="24"/>
                <w:szCs w:val="24"/>
                <w:highlight w:val="none"/>
                <w:vertAlign w:val="baseline"/>
                <w:lang w:val="en-US" w:eastAsia="zh-CN"/>
              </w:rPr>
            </w:pPr>
            <w:r>
              <w:rPr>
                <w:rFonts w:hint="eastAsia" w:asciiTheme="minorEastAsia" w:hAnsiTheme="minorEastAsia" w:cstheme="minorEastAsia"/>
                <w:b/>
                <w:bCs/>
                <w:color w:val="auto"/>
                <w:sz w:val="24"/>
                <w:szCs w:val="24"/>
                <w:highlight w:val="none"/>
                <w:vertAlign w:val="baseline"/>
                <w:lang w:val="en-US" w:eastAsia="zh-CN"/>
              </w:rPr>
              <w:br w:type="page"/>
            </w:r>
            <w:r>
              <w:rPr>
                <w:rFonts w:hint="eastAsia" w:asciiTheme="minorEastAsia" w:hAnsiTheme="minorEastAsia" w:cstheme="minorEastAsia"/>
                <w:b/>
                <w:bCs/>
                <w:color w:val="auto"/>
                <w:sz w:val="24"/>
                <w:szCs w:val="24"/>
                <w:highlight w:val="none"/>
                <w:vertAlign w:val="baseline"/>
                <w:lang w:val="en-US" w:eastAsia="zh-CN"/>
              </w:rPr>
              <w:br w:type="page"/>
            </w:r>
            <w:r>
              <w:rPr>
                <w:rFonts w:hint="eastAsia" w:asciiTheme="minorEastAsia" w:hAnsiTheme="minorEastAsia" w:cstheme="minorEastAsia"/>
                <w:b/>
                <w:bCs/>
                <w:color w:val="auto"/>
                <w:sz w:val="24"/>
                <w:szCs w:val="24"/>
                <w:highlight w:val="none"/>
                <w:vertAlign w:val="baseline"/>
                <w:lang w:val="en-US" w:eastAsia="zh-CN"/>
              </w:rPr>
              <w:t>注：1、本项目要求成交供应商派驻至少三名维保人员，且具有《特种设备作业人员证》。</w:t>
            </w:r>
          </w:p>
          <w:p>
            <w:pPr>
              <w:pStyle w:val="6"/>
              <w:numPr>
                <w:ilvl w:val="0"/>
                <w:numId w:val="0"/>
              </w:numPr>
              <w:spacing w:line="360" w:lineRule="auto"/>
              <w:ind w:firstLine="482" w:firstLineChars="200"/>
              <w:rPr>
                <w:rFonts w:hint="default" w:asciiTheme="minorEastAsia" w:hAnsiTheme="minorEastAsia" w:cstheme="minorEastAsia"/>
                <w:b/>
                <w:bCs/>
                <w:color w:val="auto"/>
                <w:sz w:val="24"/>
                <w:szCs w:val="24"/>
                <w:highlight w:val="none"/>
                <w:vertAlign w:val="baseline"/>
                <w:lang w:val="en-US" w:eastAsia="zh-CN"/>
              </w:rPr>
            </w:pPr>
            <w:r>
              <w:rPr>
                <w:rFonts w:hint="eastAsia" w:asciiTheme="minorEastAsia" w:hAnsiTheme="minorEastAsia" w:cstheme="minorEastAsia"/>
                <w:b/>
                <w:bCs/>
                <w:color w:val="auto"/>
                <w:sz w:val="24"/>
                <w:szCs w:val="24"/>
                <w:highlight w:val="none"/>
                <w:vertAlign w:val="baseline"/>
                <w:lang w:val="en-US" w:eastAsia="zh-CN"/>
              </w:rPr>
              <w:t>2、须提供维保人员身份证复印件及《特种设备作业人员证》证书复印件。</w:t>
            </w:r>
          </w:p>
        </w:tc>
      </w:tr>
    </w:tbl>
    <w:p>
      <w:pPr>
        <w:widowControl/>
        <w:spacing w:before="75" w:after="75" w:line="435" w:lineRule="atLeast"/>
        <w:jc w:val="left"/>
        <w:rPr>
          <w:rFonts w:hint="eastAsia" w:asciiTheme="minorEastAsia" w:hAnsiTheme="minorEastAsia" w:eastAsiaTheme="minorEastAsia" w:cstheme="minorEastAsia"/>
          <w:b/>
          <w:color w:val="auto"/>
          <w:kern w:val="0"/>
          <w:sz w:val="24"/>
        </w:rPr>
      </w:pPr>
    </w:p>
    <w:p>
      <w:pPr>
        <w:widowControl/>
        <w:spacing w:before="75" w:after="75" w:line="435" w:lineRule="atLeast"/>
        <w:jc w:val="left"/>
        <w:rPr>
          <w:rFonts w:hint="eastAsia" w:asciiTheme="minorEastAsia" w:hAnsiTheme="minorEastAsia" w:eastAsiaTheme="minorEastAsia" w:cstheme="minorEastAsia"/>
          <w:b/>
          <w:color w:val="auto"/>
          <w:kern w:val="0"/>
          <w:sz w:val="24"/>
        </w:rPr>
      </w:pPr>
    </w:p>
    <w:p>
      <w:pPr>
        <w:widowControl/>
        <w:spacing w:before="75" w:after="75" w:line="435" w:lineRule="atLeast"/>
        <w:jc w:val="left"/>
        <w:rPr>
          <w:rFonts w:hint="eastAsia" w:asciiTheme="minorEastAsia" w:hAnsiTheme="minorEastAsia" w:eastAsiaTheme="minorEastAsia" w:cstheme="minorEastAsia"/>
          <w:b/>
          <w:color w:val="auto"/>
          <w:kern w:val="0"/>
          <w:sz w:val="24"/>
        </w:rPr>
      </w:pPr>
    </w:p>
    <w:p>
      <w:pPr>
        <w:widowControl/>
        <w:spacing w:before="75" w:after="75" w:line="435" w:lineRule="atLeast"/>
        <w:jc w:val="left"/>
        <w:rPr>
          <w:rFonts w:hint="eastAsia" w:asciiTheme="minorEastAsia" w:hAnsiTheme="minorEastAsia" w:eastAsiaTheme="minorEastAsia" w:cstheme="minorEastAsia"/>
          <w:b/>
          <w:color w:val="auto"/>
          <w:kern w:val="0"/>
          <w:sz w:val="24"/>
        </w:rPr>
      </w:pPr>
    </w:p>
    <w:p>
      <w:pPr>
        <w:widowControl/>
        <w:spacing w:before="75" w:after="75" w:line="435" w:lineRule="atLeast"/>
        <w:jc w:val="left"/>
        <w:rPr>
          <w:rFonts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lang w:val="en-US" w:eastAsia="zh-CN"/>
        </w:rPr>
        <w:t>7、</w:t>
      </w:r>
      <w:r>
        <w:rPr>
          <w:rFonts w:hint="eastAsia" w:asciiTheme="minorEastAsia" w:hAnsiTheme="minorEastAsia" w:eastAsiaTheme="minorEastAsia" w:cstheme="minorEastAsia"/>
          <w:b/>
          <w:color w:val="auto"/>
          <w:kern w:val="0"/>
          <w:sz w:val="24"/>
        </w:rPr>
        <w:t>缴交磋商保证金的凭证</w:t>
      </w:r>
    </w:p>
    <w:p>
      <w:pPr>
        <w:widowControl/>
        <w:spacing w:before="75" w:after="75"/>
        <w:jc w:val="left"/>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rPr>
        <w:t>1、</w:t>
      </w:r>
      <w:r>
        <w:rPr>
          <w:rFonts w:hint="eastAsia" w:asciiTheme="minorEastAsia" w:hAnsiTheme="minorEastAsia" w:eastAsiaTheme="minorEastAsia" w:cstheme="minorEastAsia"/>
          <w:color w:val="auto"/>
          <w:kern w:val="0"/>
          <w:sz w:val="24"/>
        </w:rPr>
        <w:t>在此项下提交的“</w:t>
      </w:r>
      <w:r>
        <w:rPr>
          <w:rFonts w:hint="eastAsia" w:asciiTheme="minorEastAsia" w:hAnsiTheme="minorEastAsia" w:eastAsiaTheme="minorEastAsia" w:cstheme="minorEastAsia"/>
          <w:b/>
          <w:bCs/>
          <w:color w:val="auto"/>
          <w:kern w:val="0"/>
          <w:sz w:val="24"/>
        </w:rPr>
        <w:t>磋商保证金</w:t>
      </w:r>
      <w:r>
        <w:rPr>
          <w:rFonts w:hint="eastAsia" w:asciiTheme="minorEastAsia" w:hAnsiTheme="minorEastAsia" w:eastAsiaTheme="minorEastAsia" w:cstheme="minorEastAsia"/>
          <w:color w:val="auto"/>
          <w:kern w:val="0"/>
          <w:sz w:val="24"/>
        </w:rPr>
        <w:t>”材料可使用转账凭证复印件</w:t>
      </w:r>
    </w:p>
    <w:p>
      <w:pPr>
        <w:widowControl/>
        <w:spacing w:before="75" w:after="240"/>
        <w:jc w:val="left"/>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rPr>
        <w:t>2、磋商保证金是否已提交按照磋商文件规定执行</w:t>
      </w:r>
    </w:p>
    <w:p>
      <w:pPr>
        <w:widowControl/>
        <w:spacing w:before="75" w:after="75"/>
        <w:textAlignment w:val="baseline"/>
        <w:rPr>
          <w:rFonts w:asciiTheme="minorEastAsia" w:hAnsiTheme="minorEastAsia" w:eastAsiaTheme="minorEastAsia" w:cstheme="minorEastAsia"/>
          <w:b/>
          <w:bCs/>
          <w:color w:val="auto"/>
          <w:kern w:val="0"/>
          <w:sz w:val="32"/>
          <w:szCs w:val="32"/>
        </w:rPr>
      </w:pPr>
    </w:p>
    <w:p>
      <w:pPr>
        <w:textAlignment w:val="baseline"/>
        <w:rPr>
          <w:rFonts w:asciiTheme="minorEastAsia" w:hAnsiTheme="minorEastAsia" w:eastAsiaTheme="minorEastAsia" w:cstheme="minorEastAsia"/>
          <w:b/>
          <w:bCs/>
          <w:color w:val="auto"/>
          <w:kern w:val="0"/>
          <w:sz w:val="32"/>
          <w:szCs w:val="32"/>
        </w:rPr>
      </w:pPr>
      <w:r>
        <w:rPr>
          <w:rFonts w:hint="eastAsia" w:asciiTheme="minorEastAsia" w:hAnsiTheme="minorEastAsia" w:eastAsiaTheme="minorEastAsia" w:cstheme="minorEastAsia"/>
          <w:b/>
          <w:bCs/>
          <w:color w:val="auto"/>
          <w:kern w:val="0"/>
          <w:sz w:val="32"/>
          <w:szCs w:val="32"/>
        </w:rPr>
        <w:br w:type="page"/>
      </w:r>
    </w:p>
    <w:p>
      <w:pPr>
        <w:widowControl/>
        <w:spacing w:before="100" w:beforeAutospacing="1" w:after="100" w:afterAutospacing="1"/>
        <w:jc w:val="center"/>
        <w:rPr>
          <w:rFonts w:hint="eastAsia" w:ascii="宋体" w:hAnsi="宋体" w:eastAsia="宋体" w:cs="宋体"/>
          <w:color w:val="auto"/>
          <w:sz w:val="24"/>
          <w:lang w:eastAsia="zh-CN"/>
        </w:rPr>
      </w:pPr>
      <w:r>
        <w:rPr>
          <w:rFonts w:hint="eastAsia" w:asciiTheme="minorEastAsia" w:hAnsiTheme="minorEastAsia" w:eastAsiaTheme="minorEastAsia" w:cstheme="minorEastAsia"/>
          <w:b/>
          <w:bCs/>
          <w:color w:val="auto"/>
          <w:sz w:val="32"/>
          <w:szCs w:val="32"/>
        </w:rPr>
        <w:t>四、</w:t>
      </w:r>
      <w:r>
        <w:rPr>
          <w:rFonts w:hint="eastAsia" w:ascii="宋体" w:hAnsi="宋体" w:cs="宋体"/>
          <w:b/>
          <w:color w:val="auto"/>
          <w:sz w:val="32"/>
          <w:szCs w:val="22"/>
          <w:lang w:eastAsia="zh-CN"/>
        </w:rPr>
        <w:t>承诺函</w:t>
      </w:r>
    </w:p>
    <w:p>
      <w:pPr>
        <w:spacing w:line="360" w:lineRule="auto"/>
        <w:ind w:firstLine="482" w:firstLineChars="200"/>
        <w:rPr>
          <w:rFonts w:ascii="宋体" w:hAnsi="宋体"/>
          <w:b/>
          <w:color w:val="auto"/>
          <w:sz w:val="24"/>
        </w:rPr>
      </w:pPr>
      <w:r>
        <w:rPr>
          <w:rFonts w:hint="eastAsia" w:ascii="宋体" w:hAnsi="宋体"/>
          <w:b/>
          <w:color w:val="auto"/>
          <w:sz w:val="24"/>
          <w:lang w:val="en-US" w:eastAsia="zh-CN"/>
        </w:rPr>
        <w:t>连城连聚物业服务有限公司</w:t>
      </w:r>
      <w:r>
        <w:rPr>
          <w:rFonts w:hint="eastAsia" w:ascii="宋体" w:hAnsi="宋体"/>
          <w:b/>
          <w:color w:val="auto"/>
          <w:sz w:val="24"/>
          <w:lang w:eastAsia="zh-CN"/>
        </w:rPr>
        <w:t>、</w:t>
      </w:r>
      <w:r>
        <w:rPr>
          <w:rFonts w:hint="eastAsia" w:ascii="宋体" w:hAnsi="宋体"/>
          <w:b/>
          <w:color w:val="auto"/>
          <w:sz w:val="24"/>
        </w:rPr>
        <w:t>龙岩市公物采购招标代理有限公司：</w:t>
      </w:r>
    </w:p>
    <w:p>
      <w:pPr>
        <w:spacing w:line="360" w:lineRule="auto"/>
        <w:ind w:firstLine="964" w:firstLineChars="400"/>
        <w:rPr>
          <w:rFonts w:ascii="宋体" w:hAnsi="宋体"/>
          <w:b/>
          <w:color w:val="auto"/>
          <w:sz w:val="24"/>
        </w:rPr>
      </w:pPr>
      <w:r>
        <w:rPr>
          <w:rFonts w:hint="eastAsia" w:ascii="宋体" w:hAnsi="宋体"/>
          <w:b/>
          <w:color w:val="auto"/>
          <w:sz w:val="24"/>
        </w:rPr>
        <w:t xml:space="preserve">我司现就 </w:t>
      </w:r>
      <w:r>
        <w:rPr>
          <w:rFonts w:hint="eastAsia" w:ascii="宋体" w:hAnsi="宋体"/>
          <w:b/>
          <w:color w:val="auto"/>
          <w:sz w:val="24"/>
          <w:u w:val="single"/>
        </w:rPr>
        <w:t xml:space="preserve">           项目（招标编号： </w:t>
      </w:r>
      <w:r>
        <w:rPr>
          <w:rFonts w:hint="eastAsia" w:ascii="宋体" w:hAnsi="宋体"/>
          <w:b/>
          <w:color w:val="auto"/>
          <w:sz w:val="24"/>
          <w:u w:val="single"/>
          <w:lang w:val="en-US" w:eastAsia="zh-CN"/>
        </w:rPr>
        <w:t xml:space="preserve">  </w:t>
      </w:r>
      <w:r>
        <w:rPr>
          <w:rFonts w:hint="eastAsia" w:ascii="宋体" w:hAnsi="宋体"/>
          <w:b/>
          <w:color w:val="auto"/>
          <w:sz w:val="24"/>
          <w:u w:val="single"/>
        </w:rPr>
        <w:t xml:space="preserve"> </w:t>
      </w:r>
      <w:r>
        <w:rPr>
          <w:rFonts w:hint="eastAsia" w:ascii="宋体" w:hAnsi="宋体"/>
          <w:b/>
          <w:color w:val="auto"/>
          <w:sz w:val="24"/>
        </w:rPr>
        <w:t>）作如下承诺：</w:t>
      </w:r>
    </w:p>
    <w:p>
      <w:pPr>
        <w:spacing w:line="360" w:lineRule="auto"/>
        <w:ind w:firstLine="482" w:firstLineChars="200"/>
        <w:rPr>
          <w:rFonts w:ascii="宋体" w:hAnsi="宋体"/>
          <w:b/>
          <w:color w:val="auto"/>
          <w:sz w:val="24"/>
        </w:rPr>
      </w:pPr>
      <w:r>
        <w:rPr>
          <w:rFonts w:hint="eastAsia" w:ascii="宋体" w:hAnsi="宋体"/>
          <w:b/>
          <w:color w:val="auto"/>
          <w:sz w:val="24"/>
        </w:rPr>
        <w:t>投报的所有产品</w:t>
      </w:r>
      <w:r>
        <w:rPr>
          <w:rFonts w:hint="eastAsia" w:ascii="宋体" w:hAnsi="宋体"/>
          <w:b/>
          <w:color w:val="auto"/>
          <w:sz w:val="24"/>
          <w:lang w:val="en-US" w:eastAsia="zh-CN"/>
        </w:rPr>
        <w:t>及服务</w:t>
      </w:r>
      <w:r>
        <w:rPr>
          <w:rFonts w:hint="eastAsia" w:ascii="宋体" w:hAnsi="宋体"/>
          <w:b/>
          <w:color w:val="auto"/>
          <w:sz w:val="24"/>
        </w:rPr>
        <w:t>均符合招标文件第</w:t>
      </w:r>
      <w:r>
        <w:rPr>
          <w:rFonts w:hint="eastAsia" w:ascii="宋体" w:hAnsi="宋体"/>
          <w:b/>
          <w:color w:val="auto"/>
          <w:sz w:val="24"/>
          <w:lang w:eastAsia="zh-CN"/>
        </w:rPr>
        <w:t>三</w:t>
      </w:r>
      <w:r>
        <w:rPr>
          <w:rFonts w:hint="eastAsia" w:ascii="宋体" w:hAnsi="宋体"/>
          <w:b/>
          <w:color w:val="auto"/>
          <w:sz w:val="24"/>
        </w:rPr>
        <w:t>章“二”内容及要求的所有</w:t>
      </w:r>
      <w:r>
        <w:rPr>
          <w:rFonts w:ascii="宋体" w:hAnsi="宋体"/>
          <w:b/>
          <w:color w:val="auto"/>
          <w:sz w:val="24"/>
        </w:rPr>
        <w:t>要求</w:t>
      </w:r>
      <w:r>
        <w:rPr>
          <w:rFonts w:hint="eastAsia" w:ascii="宋体" w:hAnsi="宋体"/>
          <w:b/>
          <w:color w:val="auto"/>
          <w:sz w:val="24"/>
        </w:rPr>
        <w:t>。</w:t>
      </w:r>
    </w:p>
    <w:p>
      <w:pPr>
        <w:spacing w:line="360" w:lineRule="auto"/>
        <w:ind w:firstLine="482" w:firstLineChars="200"/>
        <w:rPr>
          <w:rFonts w:ascii="宋体" w:hAnsi="宋体"/>
          <w:b/>
          <w:color w:val="auto"/>
          <w:sz w:val="24"/>
        </w:rPr>
      </w:pPr>
    </w:p>
    <w:p>
      <w:pPr>
        <w:spacing w:line="360" w:lineRule="auto"/>
        <w:rPr>
          <w:rFonts w:ascii="宋体" w:hAnsi="宋体"/>
          <w:color w:val="auto"/>
          <w:sz w:val="24"/>
        </w:rPr>
      </w:pP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投标人名称:（全称并加盖公章）</w:t>
      </w:r>
    </w:p>
    <w:p>
      <w:pPr>
        <w:spacing w:line="360" w:lineRule="auto"/>
        <w:ind w:firstLine="480" w:firstLineChars="200"/>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投标人代表签字或盖章：</w:t>
      </w:r>
    </w:p>
    <w:p>
      <w:pPr>
        <w:ind w:firstLine="480" w:firstLineChars="200"/>
        <w:rPr>
          <w:rFonts w:hint="eastAsia" w:ascii="宋体" w:hAnsi="宋体" w:cs="宋体"/>
          <w:color w:val="auto"/>
          <w:sz w:val="24"/>
        </w:rPr>
      </w:pPr>
    </w:p>
    <w:p>
      <w:pPr>
        <w:ind w:firstLine="480" w:firstLineChars="200"/>
        <w:rPr>
          <w:rFonts w:hint="eastAsia" w:ascii="宋体" w:hAnsi="宋体" w:cs="宋体"/>
          <w:color w:val="auto"/>
          <w:sz w:val="24"/>
        </w:rPr>
      </w:pPr>
      <w:r>
        <w:rPr>
          <w:rFonts w:hint="eastAsia" w:ascii="宋体" w:hAnsi="宋体" w:cs="宋体"/>
          <w:color w:val="auto"/>
          <w:sz w:val="24"/>
        </w:rPr>
        <w:t>时间：</w:t>
      </w:r>
    </w:p>
    <w:p>
      <w:pPr>
        <w:spacing w:line="360" w:lineRule="auto"/>
        <w:ind w:firstLine="480" w:firstLineChars="200"/>
        <w:rPr>
          <w:rFonts w:hint="eastAsia" w:ascii="宋体" w:hAnsi="宋体" w:cs="宋体"/>
          <w:color w:val="auto"/>
          <w:sz w:val="24"/>
        </w:rPr>
      </w:pPr>
    </w:p>
    <w:p>
      <w:pPr>
        <w:pStyle w:val="21"/>
        <w:textAlignment w:val="baseline"/>
        <w:rPr>
          <w:rFonts w:asciiTheme="minorEastAsia" w:hAnsiTheme="minorEastAsia" w:eastAsiaTheme="minorEastAsia" w:cstheme="minorEastAsia"/>
          <w:color w:val="auto"/>
          <w:sz w:val="21"/>
          <w:szCs w:val="21"/>
        </w:rPr>
      </w:pPr>
    </w:p>
    <w:p>
      <w:pPr>
        <w:widowControl/>
        <w:jc w:val="left"/>
        <w:textAlignment w:val="baseline"/>
        <w:rPr>
          <w:rFonts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rPr>
        <w:br w:type="page"/>
      </w:r>
    </w:p>
    <w:p>
      <w:pPr>
        <w:widowControl/>
        <w:spacing w:before="75" w:after="75" w:line="420" w:lineRule="atLeast"/>
        <w:jc w:val="center"/>
        <w:textAlignment w:val="baseline"/>
        <w:rPr>
          <w:rFonts w:asciiTheme="minorEastAsia" w:hAnsiTheme="minorEastAsia" w:eastAsiaTheme="minorEastAsia" w:cstheme="minorEastAsia"/>
          <w:color w:val="auto"/>
          <w:kern w:val="0"/>
          <w:sz w:val="36"/>
          <w:szCs w:val="36"/>
        </w:rPr>
      </w:pPr>
      <w:r>
        <w:rPr>
          <w:rFonts w:hint="eastAsia" w:asciiTheme="minorEastAsia" w:hAnsiTheme="minorEastAsia" w:eastAsiaTheme="minorEastAsia" w:cstheme="minorEastAsia"/>
          <w:b/>
          <w:bCs/>
          <w:color w:val="auto"/>
          <w:kern w:val="0"/>
          <w:sz w:val="36"/>
          <w:szCs w:val="36"/>
        </w:rPr>
        <w:t>五、供应商提交的其他资料（若有）</w:t>
      </w:r>
    </w:p>
    <w:p>
      <w:pPr>
        <w:widowControl/>
        <w:spacing w:before="75" w:after="75" w:line="420" w:lineRule="atLeast"/>
        <w:jc w:val="left"/>
        <w:textAlignment w:val="baseline"/>
        <w:rPr>
          <w:rFonts w:asciiTheme="minorEastAsia" w:hAnsiTheme="minorEastAsia" w:eastAsiaTheme="minorEastAsia" w:cstheme="minorEastAsia"/>
          <w:color w:val="auto"/>
          <w:kern w:val="0"/>
          <w:sz w:val="27"/>
          <w:szCs w:val="27"/>
        </w:rPr>
      </w:pPr>
      <w:r>
        <w:rPr>
          <w:rFonts w:hint="eastAsia" w:asciiTheme="minorEastAsia" w:hAnsiTheme="minorEastAsia" w:eastAsiaTheme="minorEastAsia" w:cstheme="minorEastAsia"/>
          <w:color w:val="auto"/>
          <w:kern w:val="0"/>
          <w:sz w:val="24"/>
          <w:szCs w:val="24"/>
        </w:rPr>
        <w:t> </w:t>
      </w:r>
    </w:p>
    <w:p>
      <w:pPr>
        <w:pStyle w:val="21"/>
        <w:ind w:firstLine="480"/>
        <w:textAlignment w:val="baseline"/>
        <w:rPr>
          <w:rFonts w:asciiTheme="minorEastAsia" w:hAnsiTheme="minorEastAsia" w:eastAsiaTheme="minorEastAsia" w:cstheme="minorEastAsia"/>
          <w:color w:val="auto"/>
          <w:kern w:val="0"/>
          <w:sz w:val="24"/>
          <w:szCs w:val="24"/>
        </w:rPr>
      </w:pPr>
    </w:p>
    <w:p>
      <w:pPr>
        <w:pStyle w:val="21"/>
        <w:ind w:firstLine="480"/>
        <w:textAlignment w:val="baseline"/>
        <w:rPr>
          <w:rFonts w:asciiTheme="minorEastAsia" w:hAnsiTheme="minorEastAsia" w:eastAsiaTheme="minorEastAsia" w:cstheme="minorEastAsia"/>
          <w:color w:val="auto"/>
          <w:kern w:val="0"/>
          <w:sz w:val="24"/>
          <w:szCs w:val="24"/>
        </w:rPr>
      </w:pPr>
    </w:p>
    <w:p>
      <w:pPr>
        <w:spacing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1、对评分标准点对点响应内容及提供的相应证明材料等，请列出清单并注明对应页码，涉及检测报告中的检测项应作标记便于评审。</w:t>
      </w:r>
    </w:p>
    <w:p>
      <w:pPr>
        <w:widowControl/>
        <w:shd w:val="clear" w:color="auto" w:fill="FFFFFF"/>
        <w:spacing w:before="75" w:after="75" w:line="360" w:lineRule="auto"/>
        <w:ind w:firstLine="480" w:firstLineChars="200"/>
        <w:textAlignment w:val="baseline"/>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2、供应商认为需要提供的其他资料，格式自拟。</w:t>
      </w:r>
    </w:p>
    <w:p>
      <w:pPr>
        <w:pStyle w:val="21"/>
        <w:ind w:firstLine="723"/>
        <w:textAlignment w:val="baseline"/>
        <w:rPr>
          <w:rFonts w:asciiTheme="minorEastAsia" w:hAnsiTheme="minorEastAsia" w:eastAsiaTheme="minorEastAsia" w:cstheme="minorEastAsia"/>
          <w:b/>
          <w:bCs/>
          <w:color w:val="auto"/>
          <w:kern w:val="0"/>
          <w:sz w:val="36"/>
          <w:szCs w:val="36"/>
        </w:rPr>
      </w:pPr>
    </w:p>
    <w:p>
      <w:pPr>
        <w:rPr>
          <w:rFonts w:asciiTheme="minorEastAsia" w:hAnsiTheme="minorEastAsia" w:eastAsiaTheme="minorEastAsia" w:cstheme="minorEastAsia"/>
          <w:color w:val="auto"/>
        </w:rPr>
      </w:pPr>
      <w:r>
        <w:rPr>
          <w:rFonts w:asciiTheme="minorEastAsia" w:hAnsiTheme="minorEastAsia" w:eastAsiaTheme="minorEastAsia" w:cstheme="minorEastAsia"/>
          <w:color w:val="auto"/>
        </w:rPr>
        <w:br w:type="page"/>
      </w:r>
    </w:p>
    <w:p>
      <w:pPr>
        <w:pStyle w:val="33"/>
        <w:rPr>
          <w:color w:val="auto"/>
        </w:rPr>
      </w:pPr>
    </w:p>
    <w:p>
      <w:pPr>
        <w:rPr>
          <w:rFonts w:asciiTheme="minorEastAsia" w:hAnsiTheme="minorEastAsia" w:eastAsiaTheme="minorEastAsia" w:cstheme="minorEastAsia"/>
          <w:color w:val="auto"/>
        </w:rPr>
      </w:pPr>
    </w:p>
    <w:p>
      <w:pPr>
        <w:spacing w:line="360" w:lineRule="auto"/>
        <w:jc w:val="center"/>
        <w:outlineLvl w:val="1"/>
        <w:rPr>
          <w:rFonts w:asciiTheme="minorEastAsia" w:hAnsiTheme="minorEastAsia" w:eastAsiaTheme="minorEastAsia" w:cstheme="minorEastAsia"/>
          <w:b/>
          <w:color w:val="auto"/>
          <w:sz w:val="36"/>
        </w:rPr>
      </w:pPr>
      <w:r>
        <w:rPr>
          <w:rFonts w:hint="eastAsia" w:asciiTheme="minorEastAsia" w:hAnsiTheme="minorEastAsia" w:eastAsiaTheme="minorEastAsia" w:cstheme="minorEastAsia"/>
          <w:b/>
          <w:color w:val="auto"/>
          <w:sz w:val="36"/>
        </w:rPr>
        <w:t>招标服务费承诺书</w:t>
      </w:r>
    </w:p>
    <w:p>
      <w:pPr>
        <w:spacing w:line="360" w:lineRule="auto"/>
        <w:rPr>
          <w:rFonts w:asciiTheme="minorEastAsia" w:hAnsiTheme="minorEastAsia" w:eastAsiaTheme="minorEastAsia" w:cstheme="minorEastAsia"/>
          <w:color w:val="auto"/>
          <w:sz w:val="24"/>
        </w:rPr>
      </w:pPr>
    </w:p>
    <w:p>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致：连城县国有资产产权交易服务有限公司</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我们在贵公司组织的项目招标中投标（项目编号：），如获成交，我们保证按采购文件的规定，以电汇、转账或经贵公司认可的其他付款方式，向贵公司缴交招标服务费。</w:t>
      </w: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我方如违反上述承诺，所提交的上述项目的投标保证金将不予退还我方，我方对此无异议。</w:t>
      </w:r>
    </w:p>
    <w:p>
      <w:pPr>
        <w:spacing w:line="360" w:lineRule="auto"/>
        <w:ind w:firstLine="480" w:firstLineChars="200"/>
        <w:rPr>
          <w:rFonts w:asciiTheme="minorEastAsia" w:hAnsiTheme="minorEastAsia" w:eastAsiaTheme="minorEastAsia" w:cstheme="minorEastAsia"/>
          <w:color w:val="auto"/>
          <w:sz w:val="24"/>
        </w:rPr>
      </w:pP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特此承诺！</w:t>
      </w:r>
    </w:p>
    <w:p>
      <w:pPr>
        <w:spacing w:line="360" w:lineRule="auto"/>
        <w:ind w:firstLine="480" w:firstLineChars="200"/>
        <w:rPr>
          <w:rFonts w:asciiTheme="minorEastAsia" w:hAnsiTheme="minorEastAsia" w:eastAsiaTheme="minorEastAsia" w:cstheme="minorEastAsia"/>
          <w:color w:val="auto"/>
          <w:sz w:val="24"/>
        </w:rPr>
      </w:pP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谈判供应商名称:（全称并加盖公章）</w:t>
      </w:r>
    </w:p>
    <w:p>
      <w:pPr>
        <w:spacing w:line="360" w:lineRule="auto"/>
        <w:ind w:firstLine="480" w:firstLineChars="200"/>
        <w:rPr>
          <w:rFonts w:asciiTheme="minorEastAsia" w:hAnsiTheme="minorEastAsia" w:eastAsiaTheme="minorEastAsia" w:cstheme="minorEastAsia"/>
          <w:color w:val="auto"/>
          <w:sz w:val="24"/>
        </w:rPr>
      </w:pPr>
    </w:p>
    <w:p>
      <w:pPr>
        <w:spacing w:line="360" w:lineRule="auto"/>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谈判供应商代表签字或盖章：</w:t>
      </w:r>
    </w:p>
    <w:p>
      <w:pPr>
        <w:ind w:firstLine="480" w:firstLineChars="200"/>
        <w:rPr>
          <w:rFonts w:asciiTheme="minorEastAsia" w:hAnsiTheme="minorEastAsia" w:eastAsiaTheme="minorEastAsia" w:cstheme="minorEastAsia"/>
          <w:color w:val="auto"/>
          <w:sz w:val="24"/>
        </w:rPr>
      </w:pPr>
    </w:p>
    <w:p>
      <w:pPr>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时间：</w:t>
      </w:r>
      <w:r>
        <w:rPr>
          <w:rFonts w:hint="eastAsia" w:asciiTheme="minorEastAsia" w:hAnsiTheme="minorEastAsia" w:eastAsiaTheme="minorEastAsia" w:cstheme="minorEastAsia"/>
          <w:color w:val="auto"/>
          <w:kern w:val="0"/>
          <w:sz w:val="24"/>
        </w:rPr>
        <w:t>     年    月    日</w:t>
      </w:r>
    </w:p>
    <w:p>
      <w:pPr>
        <w:rPr>
          <w:rFonts w:asciiTheme="minorEastAsia" w:hAnsiTheme="minorEastAsia" w:eastAsiaTheme="minorEastAsia" w:cstheme="minorEastAsia"/>
          <w:color w:val="auto"/>
        </w:rPr>
      </w:pPr>
    </w:p>
    <w:p>
      <w:pPr>
        <w:rPr>
          <w:rFonts w:asciiTheme="minorEastAsia" w:hAnsiTheme="minorEastAsia" w:eastAsiaTheme="minorEastAsia" w:cstheme="minorEastAsia"/>
          <w:color w:val="auto"/>
        </w:rPr>
      </w:pPr>
    </w:p>
    <w:p>
      <w:pPr>
        <w:rPr>
          <w:color w:val="auto"/>
        </w:rPr>
      </w:pPr>
    </w:p>
    <w:p>
      <w:pPr>
        <w:rPr>
          <w:color w:val="auto"/>
        </w:rPr>
      </w:pPr>
    </w:p>
    <w:p>
      <w:pPr>
        <w:rPr>
          <w:color w:val="auto"/>
        </w:rPr>
      </w:pPr>
    </w:p>
    <w:p>
      <w:pPr>
        <w:rPr>
          <w:color w:val="auto"/>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Style w:val="27"/>
                            </w:rPr>
                          </w:pPr>
                          <w:r>
                            <w:rPr>
                              <w:rStyle w:val="27"/>
                            </w:rPr>
                            <w:fldChar w:fldCharType="begin"/>
                          </w:r>
                          <w:r>
                            <w:rPr>
                              <w:rStyle w:val="27"/>
                            </w:rPr>
                            <w:instrText xml:space="preserve">PAGE  </w:instrText>
                          </w:r>
                          <w:r>
                            <w:rPr>
                              <w:rStyle w:val="27"/>
                            </w:rPr>
                            <w:fldChar w:fldCharType="separate"/>
                          </w:r>
                          <w:r>
                            <w:rPr>
                              <w:rStyle w:val="27"/>
                            </w:rPr>
                            <w:t>25</w:t>
                          </w:r>
                          <w:r>
                            <w:rPr>
                              <w:rStyle w:val="27"/>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rPr>
                        <w:rStyle w:val="27"/>
                      </w:rPr>
                    </w:pPr>
                    <w:r>
                      <w:rPr>
                        <w:rStyle w:val="27"/>
                      </w:rPr>
                      <w:fldChar w:fldCharType="begin"/>
                    </w:r>
                    <w:r>
                      <w:rPr>
                        <w:rStyle w:val="27"/>
                      </w:rPr>
                      <w:instrText xml:space="preserve">PAGE  </w:instrText>
                    </w:r>
                    <w:r>
                      <w:rPr>
                        <w:rStyle w:val="27"/>
                      </w:rPr>
                      <w:fldChar w:fldCharType="separate"/>
                    </w:r>
                    <w:r>
                      <w:rPr>
                        <w:rStyle w:val="27"/>
                      </w:rPr>
                      <w:t>25</w:t>
                    </w:r>
                    <w:r>
                      <w:rPr>
                        <w:rStyle w:val="27"/>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hint="eastAsia"/>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27</w:t>
                    </w:r>
                    <w:r>
                      <w:fldChar w:fldCharType="end"/>
                    </w:r>
                  </w:p>
                </w:txbxContent>
              </v:textbox>
            </v:shape>
          </w:pict>
        </mc:Fallback>
      </mc:AlternateContent>
    </w:r>
  </w:p>
  <w:p>
    <w:pPr>
      <w:pStyle w:val="14"/>
    </w:pP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88" name="文本框 1025"/>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pPr>
                            <w:pStyle w:val="14"/>
                            <w:jc w:val="center"/>
                          </w:pPr>
                          <w:r>
                            <w:rPr>
                              <w:b/>
                              <w:bCs/>
                            </w:rPr>
                            <w:fldChar w:fldCharType="begin"/>
                          </w:r>
                          <w:r>
                            <w:rPr>
                              <w:b/>
                              <w:bCs/>
                            </w:rPr>
                            <w:instrText xml:space="preserve">PAGE</w:instrText>
                          </w:r>
                          <w:r>
                            <w:rPr>
                              <w:b/>
                              <w:bCs/>
                            </w:rPr>
                            <w:fldChar w:fldCharType="separate"/>
                          </w:r>
                          <w:r>
                            <w:rPr>
                              <w:b/>
                              <w:bCs/>
                            </w:rPr>
                            <w:t>53</w:t>
                          </w:r>
                          <w:r>
                            <w:rPr>
                              <w:b/>
                              <w:bCs/>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UldDlzwAAAAMBAAAPAAAAAAAAAAEAIAAAACIAAABk&#10;cnMvZG93bnJldi54bWxQSwECFAAUAAAACACHTuJAIwdi8dYBAACpAwAADgAAAAAAAAABACAAAAAe&#10;AQAAZHJzL2Uyb0RvYy54bWxQSwUGAAAAAAYABgBZAQAAZgUAAAAA&#10;">
              <v:fill on="f" focussize="0,0"/>
              <v:stroke on="f"/>
              <v:imagedata o:title=""/>
              <o:lock v:ext="edit" aspectratio="f"/>
              <v:textbox inset="0mm,0mm,0mm,0mm" style="mso-fit-shape-to-text:t;">
                <w:txbxContent>
                  <w:p>
                    <w:pPr>
                      <w:pStyle w:val="14"/>
                      <w:jc w:val="center"/>
                    </w:pPr>
                    <w:r>
                      <w:rPr>
                        <w:b/>
                        <w:bCs/>
                      </w:rPr>
                      <w:fldChar w:fldCharType="begin"/>
                    </w:r>
                    <w:r>
                      <w:rPr>
                        <w:b/>
                        <w:bCs/>
                      </w:rPr>
                      <w:instrText xml:space="preserve">PAGE</w:instrText>
                    </w:r>
                    <w:r>
                      <w:rPr>
                        <w:b/>
                        <w:bCs/>
                      </w:rPr>
                      <w:fldChar w:fldCharType="separate"/>
                    </w:r>
                    <w:r>
                      <w:rPr>
                        <w:b/>
                        <w:bCs/>
                      </w:rPr>
                      <w:t>53</w:t>
                    </w:r>
                    <w:r>
                      <w:rPr>
                        <w:b/>
                        <w:bCs/>
                      </w:rPr>
                      <w:fldChar w:fldCharType="end"/>
                    </w:r>
                  </w:p>
                </w:txbxContent>
              </v:textbox>
            </v:shape>
          </w:pict>
        </mc:Fallback>
      </mc:AlternateConten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hd w:val="pct5" w:color="auto" w:fill="auto"/>
      <w:jc w:val="both"/>
    </w:pPr>
    <w:r>
      <w:rPr>
        <w:rFonts w:hint="eastAsia" w:eastAsia="仿宋_GB2312" w:cs="仿宋_GB2312"/>
      </w:rPr>
      <w:t>政府采购采购文件</w:t>
    </w:r>
    <w:r>
      <w:rPr>
        <w:rFonts w:ascii="仿宋_GB2312" w:eastAsia="仿宋_GB2312" w:cs="仿宋_GB2312"/>
      </w:rPr>
      <w:t>2007</w:t>
    </w:r>
    <w:r>
      <w:rPr>
        <w:rFonts w:hint="eastAsia" w:ascii="仿宋_GB2312" w:eastAsia="仿宋_GB2312" w:cs="仿宋_GB2312"/>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C0985"/>
    <w:multiLevelType w:val="singleLevel"/>
    <w:tmpl w:val="813C0985"/>
    <w:lvl w:ilvl="0" w:tentative="0">
      <w:start w:val="3"/>
      <w:numFmt w:val="chineseCounting"/>
      <w:suff w:val="space"/>
      <w:lvlText w:val="第%1章"/>
      <w:lvlJc w:val="left"/>
      <w:rPr>
        <w:rFonts w:hint="eastAsia"/>
      </w:rPr>
    </w:lvl>
  </w:abstractNum>
  <w:abstractNum w:abstractNumId="1">
    <w:nsid w:val="89EE96C3"/>
    <w:multiLevelType w:val="singleLevel"/>
    <w:tmpl w:val="89EE96C3"/>
    <w:lvl w:ilvl="0" w:tentative="0">
      <w:start w:val="1"/>
      <w:numFmt w:val="decimal"/>
      <w:suff w:val="nothing"/>
      <w:lvlText w:val="%1、"/>
      <w:lvlJc w:val="left"/>
    </w:lvl>
  </w:abstractNum>
  <w:abstractNum w:abstractNumId="2">
    <w:nsid w:val="C45A8174"/>
    <w:multiLevelType w:val="singleLevel"/>
    <w:tmpl w:val="C45A8174"/>
    <w:lvl w:ilvl="0" w:tentative="0">
      <w:start w:val="1"/>
      <w:numFmt w:val="chineseCounting"/>
      <w:suff w:val="nothing"/>
      <w:lvlText w:val="%1、"/>
      <w:lvlJc w:val="left"/>
      <w:rPr>
        <w:rFonts w:hint="eastAsia" w:cs="Times New Roman"/>
      </w:rPr>
    </w:lvl>
  </w:abstractNum>
  <w:abstractNum w:abstractNumId="3">
    <w:nsid w:val="D869F3F9"/>
    <w:multiLevelType w:val="singleLevel"/>
    <w:tmpl w:val="D869F3F9"/>
    <w:lvl w:ilvl="0" w:tentative="0">
      <w:start w:val="1"/>
      <w:numFmt w:val="decimal"/>
      <w:suff w:val="nothing"/>
      <w:lvlText w:val="%1、"/>
      <w:lvlJc w:val="left"/>
      <w:rPr>
        <w:rFonts w:cs="Times New Roman"/>
      </w:rPr>
    </w:lvl>
  </w:abstractNum>
  <w:abstractNum w:abstractNumId="4">
    <w:nsid w:val="1D0F87F0"/>
    <w:multiLevelType w:val="singleLevel"/>
    <w:tmpl w:val="1D0F87F0"/>
    <w:lvl w:ilvl="0" w:tentative="0">
      <w:start w:val="1"/>
      <w:numFmt w:val="decimal"/>
      <w:suff w:val="nothing"/>
      <w:lvlText w:val="%1、"/>
      <w:lvlJc w:val="left"/>
    </w:lvl>
  </w:abstractNum>
  <w:abstractNum w:abstractNumId="5">
    <w:nsid w:val="3DF035E0"/>
    <w:multiLevelType w:val="singleLevel"/>
    <w:tmpl w:val="3DF035E0"/>
    <w:lvl w:ilvl="0" w:tentative="0">
      <w:start w:val="1"/>
      <w:numFmt w:val="decimal"/>
      <w:suff w:val="nothing"/>
      <w:lvlText w:val="%1、"/>
      <w:lvlJc w:val="left"/>
    </w:lvl>
  </w:abstractNum>
  <w:abstractNum w:abstractNumId="6">
    <w:nsid w:val="4864FA97"/>
    <w:multiLevelType w:val="singleLevel"/>
    <w:tmpl w:val="4864FA97"/>
    <w:lvl w:ilvl="0" w:tentative="0">
      <w:start w:val="1"/>
      <w:numFmt w:val="chineseCounting"/>
      <w:suff w:val="space"/>
      <w:lvlText w:val="第%1条"/>
      <w:lvlJc w:val="left"/>
      <w:rPr>
        <w:rFonts w:hint="eastAsia"/>
      </w:rPr>
    </w:lvl>
  </w:abstractNum>
  <w:abstractNum w:abstractNumId="7">
    <w:nsid w:val="4D248795"/>
    <w:multiLevelType w:val="singleLevel"/>
    <w:tmpl w:val="4D248795"/>
    <w:lvl w:ilvl="0" w:tentative="0">
      <w:start w:val="1"/>
      <w:numFmt w:val="decimal"/>
      <w:suff w:val="nothing"/>
      <w:lvlText w:val="%1、"/>
      <w:lvlJc w:val="left"/>
    </w:lvl>
  </w:abstractNum>
  <w:abstractNum w:abstractNumId="8">
    <w:nsid w:val="5E87D51D"/>
    <w:multiLevelType w:val="singleLevel"/>
    <w:tmpl w:val="5E87D51D"/>
    <w:lvl w:ilvl="0" w:tentative="0">
      <w:start w:val="1"/>
      <w:numFmt w:val="decimal"/>
      <w:suff w:val="nothing"/>
      <w:lvlText w:val="（%1）"/>
      <w:lvlJc w:val="left"/>
    </w:lvl>
  </w:abstractNum>
  <w:abstractNum w:abstractNumId="9">
    <w:nsid w:val="5F9E9D74"/>
    <w:multiLevelType w:val="singleLevel"/>
    <w:tmpl w:val="5F9E9D74"/>
    <w:lvl w:ilvl="0" w:tentative="0">
      <w:start w:val="1"/>
      <w:numFmt w:val="decimal"/>
      <w:suff w:val="nothing"/>
      <w:lvlText w:val="%1、"/>
      <w:lvlJc w:val="left"/>
    </w:lvl>
  </w:abstractNum>
  <w:abstractNum w:abstractNumId="10">
    <w:nsid w:val="719CCC69"/>
    <w:multiLevelType w:val="singleLevel"/>
    <w:tmpl w:val="719CCC69"/>
    <w:lvl w:ilvl="0" w:tentative="0">
      <w:start w:val="1"/>
      <w:numFmt w:val="decimal"/>
      <w:suff w:val="nothing"/>
      <w:lvlText w:val="%1、"/>
      <w:lvlJc w:val="left"/>
    </w:lvl>
  </w:abstractNum>
  <w:num w:numId="1">
    <w:abstractNumId w:val="3"/>
  </w:num>
  <w:num w:numId="2">
    <w:abstractNumId w:val="1"/>
  </w:num>
  <w:num w:numId="3">
    <w:abstractNumId w:val="5"/>
  </w:num>
  <w:num w:numId="4">
    <w:abstractNumId w:val="8"/>
  </w:num>
  <w:num w:numId="5">
    <w:abstractNumId w:val="0"/>
  </w:num>
  <w:num w:numId="6">
    <w:abstractNumId w:val="7"/>
  </w:num>
  <w:num w:numId="7">
    <w:abstractNumId w:val="10"/>
  </w:num>
  <w:num w:numId="8">
    <w:abstractNumId w:val="4"/>
  </w:num>
  <w:num w:numId="9">
    <w:abstractNumId w:val="9"/>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38A05A00"/>
    <w:rsid w:val="38A05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2">
    <w:name w:val="heading 2"/>
    <w:basedOn w:val="1"/>
    <w:next w:val="1"/>
    <w:qFormat/>
    <w:uiPriority w:val="99"/>
    <w:pPr>
      <w:keepNext/>
      <w:spacing w:line="400" w:lineRule="exact"/>
      <w:ind w:left="870" w:hanging="360"/>
      <w:outlineLvl w:val="1"/>
    </w:pPr>
    <w:rPr>
      <w:rFonts w:ascii="宋体" w:cs="宋体"/>
      <w:b/>
      <w:bCs/>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4">
    <w:name w:val="Default Paragraph Font"/>
    <w:autoRedefine/>
    <w:semiHidden/>
    <w:qFormat/>
    <w:uiPriority w:val="0"/>
  </w:style>
  <w:style w:type="table" w:default="1" w:styleId="22">
    <w:name w:val="Normal Table"/>
    <w:semiHidden/>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Calibri" w:hAnsi="Calibri"/>
      <w:szCs w:val="24"/>
    </w:rPr>
  </w:style>
  <w:style w:type="paragraph" w:styleId="6">
    <w:name w:val="Body Text"/>
    <w:basedOn w:val="1"/>
    <w:next w:val="7"/>
    <w:qFormat/>
    <w:uiPriority w:val="99"/>
    <w:pPr>
      <w:spacing w:line="320" w:lineRule="atLeast"/>
    </w:pPr>
    <w:rPr>
      <w:sz w:val="24"/>
      <w:szCs w:val="24"/>
    </w:rPr>
  </w:style>
  <w:style w:type="paragraph" w:customStyle="1" w:styleId="7">
    <w:name w:val="一级条标题"/>
    <w:basedOn w:val="8"/>
    <w:next w:val="9"/>
    <w:autoRedefine/>
    <w:qFormat/>
    <w:uiPriority w:val="0"/>
    <w:pPr>
      <w:spacing w:line="240" w:lineRule="auto"/>
      <w:ind w:left="420"/>
      <w:outlineLvl w:val="2"/>
    </w:pPr>
  </w:style>
  <w:style w:type="paragraph" w:customStyle="1" w:styleId="8">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9">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0">
    <w:name w:val="Body Text Indent"/>
    <w:basedOn w:val="1"/>
    <w:qFormat/>
    <w:uiPriority w:val="99"/>
    <w:pPr>
      <w:ind w:firstLine="200" w:firstLineChars="200"/>
    </w:pPr>
    <w:rPr>
      <w:rFonts w:eastAsia="华文中宋"/>
      <w:sz w:val="28"/>
      <w:szCs w:val="28"/>
    </w:rPr>
  </w:style>
  <w:style w:type="paragraph" w:styleId="11">
    <w:name w:val="Plain Text"/>
    <w:basedOn w:val="1"/>
    <w:next w:val="1"/>
    <w:qFormat/>
    <w:uiPriority w:val="99"/>
    <w:rPr>
      <w:rFonts w:ascii="宋体" w:cs="宋体"/>
    </w:rPr>
  </w:style>
  <w:style w:type="paragraph" w:styleId="12">
    <w:name w:val="Body Text Indent 2"/>
    <w:basedOn w:val="1"/>
    <w:qFormat/>
    <w:uiPriority w:val="0"/>
    <w:pPr>
      <w:spacing w:line="20" w:lineRule="atLeast"/>
      <w:ind w:firstLine="478" w:firstLineChars="199"/>
      <w:jc w:val="left"/>
    </w:pPr>
    <w:rPr>
      <w:rFonts w:ascii="宋体" w:hAnsi="宋体"/>
      <w:sz w:val="24"/>
    </w:rPr>
  </w:style>
  <w:style w:type="paragraph" w:styleId="13">
    <w:name w:val="Balloon Text"/>
    <w:basedOn w:val="1"/>
    <w:unhideWhenUsed/>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next w:val="5"/>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99"/>
    <w:pPr>
      <w:spacing w:before="120" w:after="120"/>
      <w:jc w:val="left"/>
    </w:pPr>
    <w:rPr>
      <w:rFonts w:ascii="Calibri" w:hAnsi="Calibri" w:cs="Calibri"/>
      <w:b/>
      <w:bCs/>
      <w:caps/>
      <w:sz w:val="20"/>
      <w:szCs w:val="20"/>
    </w:rPr>
  </w:style>
  <w:style w:type="paragraph" w:styleId="17">
    <w:name w:val="toc 2"/>
    <w:basedOn w:val="1"/>
    <w:next w:val="1"/>
    <w:semiHidden/>
    <w:qFormat/>
    <w:uiPriority w:val="99"/>
    <w:pPr>
      <w:ind w:left="210"/>
      <w:jc w:val="left"/>
    </w:pPr>
    <w:rPr>
      <w:rFonts w:ascii="Calibri" w:hAnsi="Calibri" w:cs="Calibri"/>
      <w:smallCaps/>
      <w:sz w:val="20"/>
      <w:szCs w:val="20"/>
    </w:rPr>
  </w:style>
  <w:style w:type="paragraph" w:styleId="18">
    <w:name w:val="Normal (Web)"/>
    <w:basedOn w:val="1"/>
    <w:next w:val="19"/>
    <w:qFormat/>
    <w:uiPriority w:val="99"/>
    <w:pPr>
      <w:widowControl/>
      <w:spacing w:before="100" w:beforeAutospacing="1" w:after="100" w:afterAutospacing="1"/>
      <w:jc w:val="left"/>
    </w:pPr>
    <w:rPr>
      <w:rFonts w:ascii="宋体" w:cs="宋体"/>
      <w:kern w:val="0"/>
      <w:sz w:val="24"/>
      <w:szCs w:val="24"/>
    </w:rPr>
  </w:style>
  <w:style w:type="paragraph" w:customStyle="1" w:styleId="19">
    <w:name w:val="样式 标题 3 + (中文) 黑体 小四 非加粗 段前: 7.8 磅 段后: 0 磅 行距: 固定值 20 磅"/>
    <w:basedOn w:val="4"/>
    <w:autoRedefine/>
    <w:qFormat/>
    <w:uiPriority w:val="0"/>
    <w:pPr>
      <w:spacing w:before="0" w:after="0" w:line="400" w:lineRule="exact"/>
    </w:pPr>
    <w:rPr>
      <w:rFonts w:ascii="Courier New" w:hAnsi="Courier New" w:eastAsia="（使用中文字体）" w:cs="HiddenHorzOCl"/>
      <w:b w:val="0"/>
      <w:sz w:val="24"/>
      <w:szCs w:val="20"/>
    </w:rPr>
  </w:style>
  <w:style w:type="paragraph" w:styleId="20">
    <w:name w:val="Body Text First Indent"/>
    <w:basedOn w:val="6"/>
    <w:next w:val="21"/>
    <w:qFormat/>
    <w:uiPriority w:val="0"/>
    <w:pPr>
      <w:spacing w:after="120"/>
      <w:ind w:firstLine="420"/>
    </w:pPr>
    <w:rPr>
      <w:sz w:val="32"/>
    </w:rPr>
  </w:style>
  <w:style w:type="paragraph" w:styleId="21">
    <w:name w:val="Body Text First Indent 2"/>
    <w:basedOn w:val="10"/>
    <w:qFormat/>
    <w:uiPriority w:val="99"/>
    <w:pPr>
      <w:ind w:firstLine="42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6"/>
    <w:qFormat/>
    <w:uiPriority w:val="99"/>
    <w:rPr>
      <w:rFonts w:ascii="Times New Roman" w:hAnsi="Times New Roman" w:eastAsia="宋体" w:cs="Times New Roman"/>
      <w:kern w:val="2"/>
      <w:sz w:val="24"/>
      <w:lang w:val="en-US" w:eastAsia="zh-CN"/>
    </w:rPr>
  </w:style>
  <w:style w:type="character" w:customStyle="1" w:styleId="26">
    <w:name w:val="NormalCharacter"/>
    <w:autoRedefine/>
    <w:semiHidden/>
    <w:qFormat/>
    <w:uiPriority w:val="99"/>
    <w:rPr>
      <w:rFonts w:ascii="Times New Roman" w:hAnsi="Times New Roman" w:eastAsia="宋体"/>
      <w:kern w:val="2"/>
      <w:sz w:val="24"/>
      <w:lang w:val="en-US" w:eastAsia="zh-CN"/>
    </w:rPr>
  </w:style>
  <w:style w:type="character" w:styleId="27">
    <w:name w:val="page number"/>
    <w:basedOn w:val="24"/>
    <w:qFormat/>
    <w:uiPriority w:val="99"/>
    <w:rPr>
      <w:rFonts w:cs="Times New Roman"/>
    </w:rPr>
  </w:style>
  <w:style w:type="character" w:styleId="28">
    <w:name w:val="Hyperlink"/>
    <w:basedOn w:val="24"/>
    <w:qFormat/>
    <w:uiPriority w:val="99"/>
    <w:rPr>
      <w:rFonts w:cs="Times New Roman"/>
      <w:color w:val="0000FF"/>
      <w:u w:val="none"/>
    </w:rPr>
  </w:style>
  <w:style w:type="paragraph" w:styleId="29">
    <w:name w:val="List Paragraph"/>
    <w:basedOn w:val="1"/>
    <w:autoRedefine/>
    <w:unhideWhenUsed/>
    <w:qFormat/>
    <w:uiPriority w:val="34"/>
    <w:pPr>
      <w:ind w:firstLine="420" w:firstLineChars="200"/>
    </w:pPr>
  </w:style>
  <w:style w:type="paragraph" w:customStyle="1" w:styleId="30">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1">
    <w:name w:val="null3"/>
    <w:autoRedefine/>
    <w:qFormat/>
    <w:uiPriority w:val="0"/>
    <w:rPr>
      <w:rFonts w:hint="eastAsia" w:ascii="Calibri" w:hAnsi="Calibri" w:eastAsia="宋体" w:cs="Times New Roman"/>
      <w:lang w:val="en-US" w:eastAsia="zh-Hans"/>
    </w:rPr>
  </w:style>
  <w:style w:type="paragraph" w:customStyle="1" w:styleId="32">
    <w:name w:val="样式3"/>
    <w:basedOn w:val="11"/>
    <w:autoRedefine/>
    <w:qFormat/>
    <w:uiPriority w:val="99"/>
    <w:pPr>
      <w:spacing w:line="240" w:lineRule="atLeast"/>
      <w:outlineLvl w:val="0"/>
    </w:pPr>
    <w:rPr>
      <w:sz w:val="28"/>
      <w:szCs w:val="28"/>
    </w:rPr>
  </w:style>
  <w:style w:type="paragraph" w:customStyle="1" w:styleId="33">
    <w:name w:val="首行缩进"/>
    <w:basedOn w:val="1"/>
    <w:autoRedefine/>
    <w:qFormat/>
    <w:uiPriority w:val="0"/>
    <w:pPr>
      <w:ind w:firstLine="480" w:firstLineChars="200"/>
    </w:pPr>
  </w:style>
  <w:style w:type="character" w:customStyle="1" w:styleId="34">
    <w:name w:val="font21"/>
    <w:basedOn w:val="24"/>
    <w:autoRedefine/>
    <w:qFormat/>
    <w:uiPriority w:val="0"/>
    <w:rPr>
      <w:rFonts w:ascii="宋体" w:hAnsi="宋体" w:eastAsia="宋体" w:cs="宋体"/>
      <w:color w:val="000000"/>
      <w:sz w:val="40"/>
      <w:szCs w:val="40"/>
      <w:u w:val="none"/>
    </w:rPr>
  </w:style>
  <w:style w:type="paragraph" w:customStyle="1" w:styleId="35">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UserStyle_9"/>
    <w:basedOn w:val="1"/>
    <w:autoRedefine/>
    <w:qFormat/>
    <w:uiPriority w:val="99"/>
    <w:pPr>
      <w:widowControl/>
      <w:spacing w:line="240" w:lineRule="atLeast"/>
    </w:pPr>
    <w:rPr>
      <w:rFonts w:ascii="宋体" w:hAnsi="Courier New" w:cs="宋体"/>
      <w:sz w:val="28"/>
      <w:szCs w:val="28"/>
    </w:rPr>
  </w:style>
  <w:style w:type="paragraph" w:customStyle="1" w:styleId="37">
    <w:name w:val="BodyTextIndent2"/>
    <w:basedOn w:val="1"/>
    <w:autoRedefine/>
    <w:qFormat/>
    <w:uiPriority w:val="99"/>
    <w:pPr>
      <w:ind w:firstLine="570"/>
      <w:textAlignment w:val="baseline"/>
    </w:pPr>
    <w:rPr>
      <w:rFonts w:ascii="Calibri" w:hAnsi="Calibri" w:cs="Calibri"/>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2024-04-03T04:14:00Z</dcterms:created>
  <dc:creator>土豆排骨的滋味</dc:creator>
  <cp:lastModifiedBy>土豆排骨的滋味</cp:lastModifiedBy>
  <dcterms:modified xsi:type="dcterms:W3CDTF">2024-04-03T04:20:59Z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6C1997BA7DA24F76B268E9B0753EE718_11</vt:lpwstr>
  </property>
</Properties>
</file>