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附件</w:t>
      </w:r>
    </w:p>
    <w:p>
      <w:pPr>
        <w:pStyle w:val="7"/>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连城县四角井历史文化街区（一期）保安服务采购合同</w:t>
      </w:r>
    </w:p>
    <w:p>
      <w:pPr>
        <w:spacing w:line="360" w:lineRule="auto"/>
        <w:rPr>
          <w:rFonts w:asciiTheme="minorEastAsia" w:hAnsiTheme="minorEastAsia" w:eastAsiaTheme="minorEastAsia" w:cstheme="minorEastAsia"/>
          <w:color w:val="000000"/>
        </w:rPr>
      </w:pPr>
    </w:p>
    <w:p>
      <w:pPr>
        <w:pStyle w:val="5"/>
        <w:widowControl/>
        <w:numPr>
          <w:ilvl w:val="0"/>
          <w:numId w:val="2"/>
        </w:numPr>
        <w:spacing w:before="75" w:after="75" w:line="360" w:lineRule="auto"/>
        <w:rPr>
          <w:rStyle w:val="10"/>
          <w:rFonts w:asciiTheme="minorEastAsia" w:hAnsiTheme="minorEastAsia" w:eastAsiaTheme="minorEastAsia" w:cstheme="minorEastAsia"/>
          <w:szCs w:val="24"/>
        </w:rPr>
      </w:pPr>
      <w:r>
        <w:rPr>
          <w:rStyle w:val="10"/>
          <w:rFonts w:hint="eastAsia" w:asciiTheme="minorEastAsia" w:hAnsiTheme="minorEastAsia" w:eastAsiaTheme="minorEastAsia" w:cstheme="minorEastAsia"/>
          <w:szCs w:val="24"/>
        </w:rPr>
        <w:t>签订合同应遵守《中华人民共和国民法典》等法律法规。</w:t>
      </w:r>
    </w:p>
    <w:p>
      <w:pPr>
        <w:pStyle w:val="5"/>
        <w:widowControl/>
        <w:numPr>
          <w:ilvl w:val="0"/>
          <w:numId w:val="2"/>
        </w:numPr>
        <w:spacing w:before="75" w:after="75" w:line="360" w:lineRule="auto"/>
        <w:rPr>
          <w:rFonts w:asciiTheme="minorEastAsia" w:hAnsiTheme="minorEastAsia" w:eastAsiaTheme="minorEastAsia" w:cstheme="minorEastAsia"/>
          <w:b/>
          <w:sz w:val="28"/>
          <w:szCs w:val="28"/>
        </w:rPr>
      </w:pPr>
      <w:r>
        <w:rPr>
          <w:rStyle w:val="10"/>
          <w:rFonts w:hint="eastAsia" w:asciiTheme="minorEastAsia" w:hAnsiTheme="minorEastAsia" w:eastAsiaTheme="minorEastAsia" w:cstheme="minorEastAsia"/>
          <w:szCs w:val="24"/>
        </w:rPr>
        <w:t>本章节所附的合同主要条款及格式为参考文本，如果因为项目实际特点不能适用，则可由甲乙双方在合同签订阶段可通过友好协商进行约定。</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rPr>
        <w:t>连城连聚物业服务公司</w:t>
      </w:r>
    </w:p>
    <w:p>
      <w:pPr>
        <w:pStyle w:val="5"/>
        <w:widowControl/>
        <w:spacing w:before="50" w:after="50"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乙方：</w:t>
      </w:r>
      <w:r>
        <w:rPr>
          <w:rFonts w:hint="eastAsia" w:asciiTheme="minorEastAsia" w:hAnsiTheme="minorEastAsia" w:eastAsiaTheme="minorEastAsia" w:cstheme="minorEastAsia"/>
          <w:szCs w:val="24"/>
          <w:u w:val="single"/>
        </w:rPr>
        <w:t xml:space="preserve">（乙方全称）         </w:t>
      </w:r>
    </w:p>
    <w:p>
      <w:pPr>
        <w:pStyle w:val="5"/>
        <w:widowControl/>
        <w:spacing w:before="50" w:after="50"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w:t>
      </w:r>
    </w:p>
    <w:p>
      <w:pPr>
        <w:pStyle w:val="5"/>
        <w:widowControl/>
        <w:spacing w:before="50" w:after="50" w:line="360" w:lineRule="auto"/>
        <w:ind w:firstLine="604" w:firstLineChars="252"/>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根据竞价编号为</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的</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项目（以下简称：“本项目”）的招标结果，中标人为乙方。现经甲乙双方友好协商，就以下事项达成一致并签订本合同：</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1、下列合同文件是构成本合同不可分割的部分：</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1.1合同条款；</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1.2竞价文件、乙方的响应文件；</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2、合同标的</w:t>
      </w:r>
    </w:p>
    <w:tbl>
      <w:tblPr>
        <w:tblStyle w:val="8"/>
        <w:tblW w:w="4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0"/>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496" w:type="pc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合同标的</w:t>
            </w:r>
          </w:p>
        </w:tc>
        <w:tc>
          <w:tcPr>
            <w:tcW w:w="1503" w:type="pc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496" w:type="pc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szCs w:val="24"/>
              </w:rPr>
              <w:t>连城县四角井文化街区（一期）秩序维护服务采购项目</w:t>
            </w:r>
          </w:p>
        </w:tc>
        <w:tc>
          <w:tcPr>
            <w:tcW w:w="1503" w:type="pc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5个月</w:t>
            </w:r>
          </w:p>
        </w:tc>
      </w:tr>
    </w:tbl>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3、合同总金额</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3.1服务费金额（含税）：人民币大写：</w:t>
      </w:r>
      <w:r>
        <w:rPr>
          <w:rFonts w:hint="eastAsia" w:asciiTheme="minorEastAsia" w:hAnsiTheme="minorEastAsia" w:eastAsiaTheme="minorEastAsia" w:cstheme="minorEastAsia"/>
          <w:szCs w:val="24"/>
          <w:u w:val="single"/>
        </w:rPr>
        <w:t>      </w:t>
      </w:r>
      <w:r>
        <w:rPr>
          <w:rFonts w:hint="eastAsia" w:asciiTheme="minorEastAsia" w:hAnsiTheme="minorEastAsia" w:eastAsiaTheme="minorEastAsia" w:cstheme="minorEastAsia"/>
          <w:szCs w:val="24"/>
        </w:rPr>
        <w:t>元；</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4、合同标的交付时间、地点和条件</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4.1服务期限：</w:t>
      </w:r>
      <w:r>
        <w:rPr>
          <w:rFonts w:hint="eastAsia" w:asciiTheme="minorEastAsia" w:hAnsiTheme="minorEastAsia" w:eastAsiaTheme="minorEastAsia" w:cstheme="minorEastAsia"/>
          <w:szCs w:val="24"/>
          <w:u w:val="single"/>
        </w:rPr>
        <w:t> 合同签订起5个月         </w:t>
      </w:r>
      <w:r>
        <w:rPr>
          <w:rFonts w:hint="eastAsia" w:asciiTheme="minorEastAsia" w:hAnsiTheme="minorEastAsia" w:eastAsiaTheme="minorEastAsia" w:cstheme="minorEastAsia"/>
          <w:szCs w:val="24"/>
        </w:rPr>
        <w:t>；</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4.2服务地点：</w:t>
      </w:r>
      <w:r>
        <w:rPr>
          <w:rFonts w:hint="eastAsia" w:asciiTheme="minorEastAsia" w:hAnsiTheme="minorEastAsia" w:eastAsiaTheme="minorEastAsia" w:cstheme="minorEastAsia"/>
          <w:szCs w:val="24"/>
          <w:u w:val="single"/>
        </w:rPr>
        <w:t> 甲方指定的地点         </w:t>
      </w:r>
      <w:r>
        <w:rPr>
          <w:rFonts w:hint="eastAsia" w:asciiTheme="minorEastAsia" w:hAnsiTheme="minorEastAsia" w:eastAsiaTheme="minorEastAsia" w:cstheme="minorEastAsia"/>
          <w:szCs w:val="24"/>
        </w:rPr>
        <w:t>；</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4.3交付条件：</w:t>
      </w:r>
      <w:r>
        <w:rPr>
          <w:rFonts w:hint="eastAsia" w:asciiTheme="minorEastAsia" w:hAnsiTheme="minorEastAsia" w:eastAsiaTheme="minorEastAsia" w:cstheme="minorEastAsia"/>
          <w:szCs w:val="24"/>
          <w:u w:val="single"/>
        </w:rPr>
        <w:t xml:space="preserve"> 乙方在合同签订后5天内人员到岗 </w:t>
      </w:r>
      <w:r>
        <w:rPr>
          <w:rFonts w:hint="eastAsia" w:asciiTheme="minorEastAsia" w:hAnsiTheme="minorEastAsia" w:eastAsiaTheme="minorEastAsia" w:cstheme="minorEastAsia"/>
          <w:szCs w:val="24"/>
        </w:rPr>
        <w:t>。</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5、合同标的应符合招标文件、乙方投标文件的规定或约定，具体如下：</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u w:val="single"/>
        </w:rPr>
        <w:t>详见招标文件第三章要求，乙方保证严格按照《连城县四角井文化街区（一期）秩序维护服务采购项目(2024年度）》（招标编号：      ）公开招标文件和乙方的投标文件执行</w:t>
      </w:r>
      <w:r>
        <w:rPr>
          <w:rFonts w:hint="eastAsia" w:asciiTheme="minorEastAsia" w:hAnsiTheme="minorEastAsia" w:eastAsiaTheme="minorEastAsia" w:cstheme="minorEastAsia"/>
          <w:szCs w:val="24"/>
        </w:rPr>
        <w:t>。</w:t>
      </w:r>
    </w:p>
    <w:p>
      <w:pPr>
        <w:pStyle w:val="5"/>
        <w:widowControl/>
        <w:numPr>
          <w:ilvl w:val="0"/>
          <w:numId w:val="3"/>
        </w:numPr>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考核标准及服务费发放比例</w:t>
      </w:r>
    </w:p>
    <w:p>
      <w:pPr>
        <w:pStyle w:val="6"/>
        <w:numPr>
          <w:ilvl w:val="0"/>
          <w:numId w:val="0"/>
        </w:num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4"/>
        </w:rPr>
        <w:t>6.1</w:t>
      </w:r>
      <w:r>
        <w:rPr>
          <w:rFonts w:hint="eastAsia" w:asciiTheme="minorEastAsia" w:hAnsiTheme="minorEastAsia" w:eastAsiaTheme="minorEastAsia" w:cstheme="minorEastAsia"/>
          <w:kern w:val="0"/>
          <w:szCs w:val="24"/>
        </w:rPr>
        <w:t>考核标准</w:t>
      </w:r>
    </w:p>
    <w:tbl>
      <w:tblPr>
        <w:tblStyle w:val="8"/>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0"/>
        <w:gridCol w:w="598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服务范围：巡逻服务、安保服务、临时性任务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检查项目</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检查标准</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未达标</w:t>
            </w:r>
          </w:p>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保安员人数</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符合合同约定的人数，具体以采购人通知为准。</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保安员要求</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符合人员要求，五官端正，文化程度和身高等符合采购要求规定。</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满足岗位要求</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1.熟知岗位职责和本岗位应知应会，不合规的发现一次扣2分</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2.了解采购人基本情况：如采购人公司概况、服务要求等。</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检查项目</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检查标准</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未达标</w:t>
            </w:r>
          </w:p>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工作纪律</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1.严禁聚众赌博、监守自盗、任何刑事事件和违反治安等行为。</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2.礼貌待客，严禁用粗言秽语，讥讽群众或对群众不礼貌，以及因保安员服务原因造成投诉的。</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3．爱护服务范围各种公共财物，不得故意损坏服务范围内任何公共财物。</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4.严禁工作时间内擅自进入非采购人服务区域内。</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5.严禁出现危害他人的行为。</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6.保安员严禁从事第二职业。</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7.工作时严禁打私人电话、抽烟、会客、吃东西及其他与工作无关的事。</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8.保安员用具严禁用做工作以外用途、不得暴力操作、违规操作，现场设备有损坏的必须出具经项目管理处经理签字确认的书面材料；不使用时集中存放，摆放有序。</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9.听从采购人委派成交供应商保安员工作范围内的指令。</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仪容仪表</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1.男职工发根不过衣领，前发不遮眼，不梳怪异发型，不染颜色（黑色除外）。每天修面，不留胡须，不留大鬓角、不得纹身、指甲不得超出指甲盖外延2mm。</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2.上班时间统一着工作服，并应保持干净整洁，不得佩带饰品。</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3.态度要友善、面露微笑，使用礼貌用语，不可带有情绪工作。</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4.遵守采购人其它相关规定。</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检查项目</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检查标准</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未达标</w:t>
            </w:r>
          </w:p>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准备</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1.提前10分钟到岗位自检仪容仪表。</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2．交班前5分钟，保安主管布置当天的工作任务及注意事项的。</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接班</w:t>
            </w:r>
          </w:p>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（接岗）</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1.仔细查阅上一班记录。了解上一班次的值班情况和未完成工作，交接哨位警械等，并做好交接记录。</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2.列队赶赴分派哨位，队伍杂乱无序。</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通用要求</w:t>
            </w: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记录要求</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各种记录应保存完好，字迹清楚明了，无丢失、无赃污等，并及时上交存档。</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相关责任</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各岗位保安员有责任对公共设备设施使用情况进行监督和检查，发现问题未及时报修的。</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突发事件</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所有保安员必须熟知各项应急预案，并能与实际相结合。</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trike/>
                <w:sz w:val="24"/>
                <w:szCs w:val="24"/>
              </w:rPr>
            </w:pPr>
            <w:r>
              <w:rPr>
                <w:rFonts w:hint="eastAsia" w:asciiTheme="minorEastAsia" w:hAnsiTheme="minorEastAsia" w:eastAsiaTheme="minorEastAsia" w:cstheme="minorEastAsia"/>
                <w:bCs/>
                <w:sz w:val="24"/>
                <w:szCs w:val="24"/>
              </w:rPr>
              <w:t>中标单位要制订各项突发事件的应急预案，并定期组织演习，做到有详细的年度演练计划和培训记录等。对采购人的紧急事件能给与积极响应。</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trike/>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培训</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中标单位每月组织1次派驻保安员培训并提供培训记录资料。</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通讯设备</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各岗位要保证通讯器材完好，发现问题及时维修，确保出现问题时能及时保持各岗位之间的联络。</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消防设备</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熟知消防知识、服务范围内消防设备、设施摆放位置，会正确使用各种消防设备设施，消防知识无盲点。</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巡逻</w:t>
            </w:r>
          </w:p>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服务</w:t>
            </w: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巡逻</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管理区域内实行365天24小时全天候保安员巡逻服务，无脱岗现象。要保持良好的精神状态，特别是夜间巡逻要重点观察服务范围内的可疑情况。</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w:t>
            </w: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1.及时制止乱贴小广告现象，发现可疑人员在服务范围内做危害服务范围设备设施及住户的行为要及时处理和上报。</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rPr>
            </w:pPr>
          </w:p>
        </w:tc>
        <w:tc>
          <w:tcPr>
            <w:tcW w:w="598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2.发现公园内有随意堆放生活垃圾、装修垃圾，以及将衣服、被子等悬挂到公园公共区域的。</w:t>
            </w:r>
          </w:p>
        </w:tc>
        <w:tc>
          <w:tcPr>
            <w:tcW w:w="1401"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5分</w:t>
            </w:r>
          </w:p>
        </w:tc>
      </w:tr>
    </w:tbl>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6.2服务费处罚规定，按照下列比例扣除：</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①乙方月得分90分（含）以上为优秀，全额核拨当月服务费；</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②乙方月得分</w:t>
      </w:r>
      <w:r>
        <w:rPr>
          <w:rFonts w:hint="eastAsia" w:asciiTheme="minorEastAsia" w:hAnsiTheme="minorEastAsia" w:eastAsiaTheme="minorEastAsia" w:cstheme="minorEastAsia"/>
          <w:kern w:val="2"/>
          <w:szCs w:val="24"/>
          <w:lang w:val="en-US" w:eastAsia="zh-CN"/>
        </w:rPr>
        <w:t>80</w:t>
      </w:r>
      <w:r>
        <w:rPr>
          <w:rFonts w:hint="eastAsia" w:asciiTheme="minorEastAsia" w:hAnsiTheme="minorEastAsia" w:eastAsiaTheme="minorEastAsia" w:cstheme="minorEastAsia"/>
          <w:kern w:val="2"/>
          <w:szCs w:val="24"/>
        </w:rPr>
        <w:t>分～89分的，扣当月服务费3%的标准进行扣除；</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③乙方月得分75分～</w:t>
      </w:r>
      <w:r>
        <w:rPr>
          <w:rFonts w:hint="eastAsia" w:asciiTheme="minorEastAsia" w:hAnsiTheme="minorEastAsia" w:eastAsiaTheme="minorEastAsia" w:cstheme="minorEastAsia"/>
          <w:kern w:val="2"/>
          <w:szCs w:val="24"/>
          <w:lang w:val="en-US" w:eastAsia="zh-CN"/>
        </w:rPr>
        <w:t>79</w:t>
      </w:r>
      <w:r>
        <w:rPr>
          <w:rFonts w:hint="eastAsia" w:asciiTheme="minorEastAsia" w:hAnsiTheme="minorEastAsia" w:eastAsiaTheme="minorEastAsia" w:cstheme="minorEastAsia"/>
          <w:kern w:val="2"/>
          <w:szCs w:val="24"/>
        </w:rPr>
        <w:t>分的，扣当月服务费5%的标准进行扣除，同时对成交供应商发整改通知书通报批评；</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④乙方月得分75分以下的扣当月服务费10%。</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7、合同款项的支付应按照招标文件的规定进行，具体如下：</w:t>
      </w:r>
    </w:p>
    <w:tbl>
      <w:tblPr>
        <w:tblStyle w:val="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1273"/>
        <w:gridCol w:w="1718"/>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85" w:hRule="atLeast"/>
          <w:jc w:val="center"/>
        </w:trPr>
        <w:tc>
          <w:tcPr>
            <w:tcW w:w="1273" w:type="dxa"/>
            <w:shd w:val="clear" w:color="auto" w:fill="auto"/>
            <w:tcMar>
              <w:top w:w="0" w:type="dxa"/>
              <w:left w:w="0" w:type="dxa"/>
              <w:bottom w:w="0" w:type="dxa"/>
              <w:right w:w="0" w:type="dxa"/>
            </w:tcMar>
            <w:vAlign w:val="center"/>
          </w:tcPr>
          <w:p>
            <w:pPr>
              <w:pStyle w:val="5"/>
              <w:widowControl/>
              <w:spacing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支付期次</w:t>
            </w:r>
          </w:p>
        </w:tc>
        <w:tc>
          <w:tcPr>
            <w:tcW w:w="1718" w:type="dxa"/>
            <w:shd w:val="clear" w:color="auto" w:fill="auto"/>
            <w:tcMar>
              <w:top w:w="0" w:type="dxa"/>
              <w:left w:w="0" w:type="dxa"/>
              <w:bottom w:w="0" w:type="dxa"/>
              <w:right w:w="0" w:type="dxa"/>
            </w:tcMar>
            <w:vAlign w:val="center"/>
          </w:tcPr>
          <w:p>
            <w:pPr>
              <w:pStyle w:val="5"/>
              <w:widowControl/>
              <w:spacing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支付比例(%)</w:t>
            </w:r>
          </w:p>
        </w:tc>
        <w:tc>
          <w:tcPr>
            <w:tcW w:w="6027" w:type="dxa"/>
            <w:shd w:val="clear" w:color="auto" w:fill="auto"/>
            <w:tcMar>
              <w:top w:w="0" w:type="dxa"/>
              <w:left w:w="0" w:type="dxa"/>
              <w:bottom w:w="0" w:type="dxa"/>
              <w:right w:w="0" w:type="dxa"/>
            </w:tcMar>
            <w:vAlign w:val="center"/>
          </w:tcPr>
          <w:p>
            <w:pPr>
              <w:pStyle w:val="5"/>
              <w:widowControl/>
              <w:spacing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452" w:hRule="atLeast"/>
          <w:jc w:val="center"/>
        </w:trPr>
        <w:tc>
          <w:tcPr>
            <w:tcW w:w="1273" w:type="dxa"/>
            <w:shd w:val="clear" w:color="auto" w:fill="auto"/>
            <w:tcMar>
              <w:top w:w="0" w:type="dxa"/>
              <w:left w:w="0" w:type="dxa"/>
              <w:bottom w:w="0" w:type="dxa"/>
              <w:right w:w="0" w:type="dxa"/>
            </w:tcMar>
            <w:vAlign w:val="center"/>
          </w:tcPr>
          <w:p>
            <w:pPr>
              <w:pStyle w:val="5"/>
              <w:widowControl/>
              <w:spacing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1718" w:type="dxa"/>
            <w:shd w:val="clear" w:color="auto" w:fill="auto"/>
            <w:tcMar>
              <w:top w:w="0" w:type="dxa"/>
              <w:left w:w="0" w:type="dxa"/>
              <w:bottom w:w="0" w:type="dxa"/>
              <w:right w:w="0" w:type="dxa"/>
            </w:tcMar>
            <w:vAlign w:val="center"/>
          </w:tcPr>
          <w:p>
            <w:pPr>
              <w:pStyle w:val="5"/>
              <w:widowControl/>
              <w:spacing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100%</w:t>
            </w:r>
          </w:p>
        </w:tc>
        <w:tc>
          <w:tcPr>
            <w:tcW w:w="6027" w:type="dxa"/>
            <w:shd w:val="clear" w:color="auto" w:fill="auto"/>
            <w:tcMar>
              <w:top w:w="0" w:type="dxa"/>
              <w:left w:w="0" w:type="dxa"/>
              <w:bottom w:w="0" w:type="dxa"/>
              <w:right w:w="0" w:type="dxa"/>
            </w:tcMar>
            <w:vAlign w:val="center"/>
          </w:tcPr>
          <w:p>
            <w:pPr>
              <w:pStyle w:val="5"/>
              <w:widowControl/>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按月支付，乙方在第二个月15日前提供前一个月的服务费发票（根据考核情况，按照不同等级进行付款），甲方收到发票后15日内支付。</w:t>
            </w:r>
          </w:p>
        </w:tc>
      </w:tr>
    </w:tbl>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8、履约保证金</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□无。☑有，具体如下：按中标金额的2%收取计人民币（</w:t>
      </w:r>
      <w:r>
        <w:rPr>
          <w:rFonts w:hint="eastAsia" w:asciiTheme="minorEastAsia" w:hAnsiTheme="minorEastAsia" w:eastAsiaTheme="minorEastAsia" w:cstheme="minorEastAsia"/>
          <w:szCs w:val="24"/>
          <w:u w:val="single"/>
        </w:rPr>
        <w:t xml:space="preserve">大写    元小写¥    </w:t>
      </w:r>
      <w:r>
        <w:rPr>
          <w:rFonts w:hint="eastAsia" w:asciiTheme="minorEastAsia" w:hAnsiTheme="minorEastAsia" w:eastAsiaTheme="minorEastAsia" w:cstheme="minorEastAsia"/>
          <w:szCs w:val="24"/>
        </w:rPr>
        <w:t>）。说明：乙方在与甲方签订合同前，向甲方提交中标总价的2%的履约保证金（可以银行电汇或转账方式提交），顺利履约后15个日历日内无息退还。</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9、合同有效期</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合同有效期为5个月，即自合同签订之日起至  年  月  日。</w:t>
      </w:r>
    </w:p>
    <w:p>
      <w:pPr>
        <w:pStyle w:val="5"/>
        <w:widowControl/>
        <w:numPr>
          <w:ilvl w:val="0"/>
          <w:numId w:val="4"/>
        </w:numPr>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违约责任</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10.1、经考评，乙方连续三个月考评得分低于75分，甲方有权单方解除合同，责令乙方退出并向乙方主张中标金额20%违约责任；</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10.2、如成交供应商聘任的保安员一年内出现三次以上违背服务范围物业管理等行为，经查属实的，甲方有权解除或终止合同并向乙方主张中标金额20%违约责任；</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10.3、乙方非法转包、分包或以其它任何形式转分包的，合同终止，甲方有权按照合同向乙方主张违约责任。</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10.4、 因乙方原因造成采购合同无法按时签订的，视为乙方违约，对甲方造成的损失，对甲方造成损失的，就损失部分乙方承担赔偿责任。</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10.5、 在签定采购合同之后，乙方未能按合同规定履行义务的，将视为乙方违约，对甲方造成损失的，就损失部分乙方承担赔偿责任。</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10.6、乙方履行义务不符合合同约定时，甲方有权根据考核标准进行处理。</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10.7、若乙方的服务不符合约定的质量标准、对在迎接各级检查时领导提出的重大问题无法改正的情况下，将视为乙方违约，甲方有权解除合同并向乙方主张</w:t>
      </w:r>
      <w:r>
        <w:rPr>
          <w:rFonts w:hint="eastAsia" w:asciiTheme="minorEastAsia" w:hAnsiTheme="minorEastAsia" w:eastAsiaTheme="minorEastAsia" w:cstheme="minorEastAsia"/>
          <w:szCs w:val="24"/>
        </w:rPr>
        <w:t>中标金额20%违约责任</w:t>
      </w:r>
      <w:r>
        <w:rPr>
          <w:rFonts w:hint="eastAsia" w:asciiTheme="minorEastAsia" w:hAnsiTheme="minorEastAsia" w:eastAsiaTheme="minorEastAsia" w:cstheme="minorEastAsia"/>
          <w:kern w:val="2"/>
          <w:szCs w:val="24"/>
        </w:rPr>
        <w:t>。</w:t>
      </w:r>
    </w:p>
    <w:p>
      <w:pPr>
        <w:pStyle w:val="6"/>
        <w:numPr>
          <w:ilvl w:val="0"/>
          <w:numId w:val="0"/>
        </w:numPr>
        <w:spacing w:line="360" w:lineRule="auto"/>
        <w:ind w:firstLine="480" w:firstLineChars="200"/>
        <w:rPr>
          <w:rFonts w:asciiTheme="minorEastAsia" w:hAnsiTheme="minorEastAsia" w:eastAsiaTheme="minorEastAsia" w:cstheme="minorEastAsia"/>
          <w:bCs w:val="0"/>
          <w:szCs w:val="24"/>
        </w:rPr>
      </w:pPr>
      <w:r>
        <w:rPr>
          <w:rFonts w:hint="eastAsia" w:asciiTheme="minorEastAsia" w:hAnsiTheme="minorEastAsia" w:eastAsiaTheme="minorEastAsia" w:cstheme="minorEastAsia"/>
          <w:bCs w:val="0"/>
          <w:szCs w:val="24"/>
        </w:rPr>
        <w:t>10.8、在明确违约责任后，乙方应在接到书面通知书起七天内支付违约金、赔偿金等。</w:t>
      </w:r>
    </w:p>
    <w:p>
      <w:pPr>
        <w:pStyle w:val="5"/>
        <w:widowControl/>
        <w:spacing w:line="360" w:lineRule="auto"/>
        <w:ind w:firstLine="480" w:firstLine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10.9、乙方每月申请支付服务费时应提供上月工资发放情况表，包含工资条和银行流水等。</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11、知识产权</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11.1乙方提供的采购标的应符合国家知识产权法律、法规的规定且非假冒伪劣品；乙方还应保证乙方不受到第三方关于侵犯知识产权及专利权、商标权或工业设计权等知识产权方面的指控，若任何第三方提出此方面指控均与乙方无关，乙方应与第三方交涉，并承担可能发生的一切法律责任、费用和后果；若乙方因此而遭致损失，则乙方应赔偿该损失。</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11.2若乙方提供的采购标的不符合国家知识产权法律、法规的规定或被有关主管机关认定为假冒伪劣品，则乙方中标资格将被取消；乙方还将按照有关法律、法规和规章的规定进行处理，具体如下： </w:t>
      </w:r>
      <w:r>
        <w:rPr>
          <w:rFonts w:hint="eastAsia" w:asciiTheme="minorEastAsia" w:hAnsiTheme="minorEastAsia" w:eastAsiaTheme="minorEastAsia" w:cstheme="minorEastAsia"/>
          <w:szCs w:val="24"/>
          <w:u w:val="single"/>
        </w:rPr>
        <w:t xml:space="preserve">  /（按照实际情况编制填写）</w:t>
      </w:r>
      <w:r>
        <w:rPr>
          <w:rFonts w:hint="eastAsia" w:asciiTheme="minorEastAsia" w:hAnsiTheme="minorEastAsia" w:eastAsiaTheme="minorEastAsia" w:cstheme="minorEastAsia"/>
          <w:szCs w:val="24"/>
        </w:rPr>
        <w:t>。</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12、解决争议的方法</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12.1甲、乙双方协商解决。</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12.2若协商解决不成，则通过下列途径之一解决：</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☑向人民法院提起诉讼，具体如下：</w:t>
      </w:r>
      <w:r>
        <w:rPr>
          <w:rFonts w:hint="eastAsia" w:asciiTheme="minorEastAsia" w:hAnsiTheme="minorEastAsia" w:eastAsiaTheme="minorEastAsia" w:cstheme="minorEastAsia"/>
          <w:szCs w:val="24"/>
          <w:u w:val="single"/>
        </w:rPr>
        <w:t>向连城县人民法院提起诉讼</w:t>
      </w:r>
      <w:r>
        <w:rPr>
          <w:rFonts w:hint="eastAsia" w:asciiTheme="minorEastAsia" w:hAnsiTheme="minorEastAsia" w:eastAsiaTheme="minorEastAsia" w:cstheme="minorEastAsia"/>
          <w:szCs w:val="24"/>
        </w:rPr>
        <w:t>。</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13、不可抗力</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14、合同条款</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按照实际情况编制填写。竞价文件已有规定的，双方均不得变更或调整；竞价文件未作规定的，双方可通过友好协商进行约定</w:t>
      </w:r>
      <w:r>
        <w:rPr>
          <w:rFonts w:hint="eastAsia" w:asciiTheme="minorEastAsia" w:hAnsiTheme="minorEastAsia" w:eastAsiaTheme="minorEastAsia" w:cstheme="minorEastAsia"/>
          <w:szCs w:val="24"/>
        </w:rPr>
        <w:t>。</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15、其他约定</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15.1合同文件与本合同具有同等法律效力。</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15.2本合同未尽事宜，双方可另行补充。</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15.3合同生效：自签订之日起生效。</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15.4本合同一式</w:t>
      </w:r>
      <w:r>
        <w:rPr>
          <w:rFonts w:hint="eastAsia" w:asciiTheme="minorEastAsia" w:hAnsiTheme="minorEastAsia" w:eastAsiaTheme="minorEastAsia" w:cstheme="minorEastAsia"/>
          <w:szCs w:val="24"/>
          <w:u w:val="single"/>
        </w:rPr>
        <w:t xml:space="preserve"> 肆 </w:t>
      </w:r>
      <w:r>
        <w:rPr>
          <w:rFonts w:hint="eastAsia" w:asciiTheme="minorEastAsia" w:hAnsiTheme="minorEastAsia" w:eastAsiaTheme="minorEastAsia" w:cstheme="minorEastAsia"/>
          <w:szCs w:val="24"/>
        </w:rPr>
        <w:t>份，经双方授权代表签字并盖章后生效。乙方、乙方各执</w:t>
      </w:r>
      <w:r>
        <w:rPr>
          <w:rFonts w:hint="eastAsia" w:asciiTheme="minorEastAsia" w:hAnsiTheme="minorEastAsia" w:eastAsiaTheme="minorEastAsia" w:cstheme="minorEastAsia"/>
          <w:szCs w:val="24"/>
          <w:u w:val="single"/>
        </w:rPr>
        <w:t xml:space="preserve"> 贰 </w:t>
      </w:r>
      <w:r>
        <w:rPr>
          <w:rFonts w:hint="eastAsia" w:asciiTheme="minorEastAsia" w:hAnsiTheme="minorEastAsia" w:eastAsiaTheme="minorEastAsia" w:cstheme="minorEastAsia"/>
          <w:szCs w:val="24"/>
        </w:rPr>
        <w:t>份，具有同等效力。</w:t>
      </w:r>
    </w:p>
    <w:p>
      <w:pPr>
        <w:pStyle w:val="5"/>
        <w:widowControl/>
        <w:spacing w:before="50" w:after="50" w:line="360" w:lineRule="auto"/>
        <w:ind w:firstLine="3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15.5其他：☑无。□</w:t>
      </w:r>
      <w:r>
        <w:rPr>
          <w:rFonts w:hint="eastAsia" w:asciiTheme="minorEastAsia" w:hAnsiTheme="minorEastAsia" w:eastAsiaTheme="minorEastAsia" w:cstheme="minorEastAsia"/>
          <w:szCs w:val="24"/>
          <w:u w:val="single"/>
        </w:rPr>
        <w:t>（按照实际情况编制填写需要增加的内容）</w:t>
      </w:r>
      <w:r>
        <w:rPr>
          <w:rFonts w:hint="eastAsia" w:asciiTheme="minorEastAsia" w:hAnsiTheme="minorEastAsia" w:eastAsiaTheme="minorEastAsia" w:cstheme="minorEastAsia"/>
          <w:szCs w:val="24"/>
        </w:rPr>
        <w:t>。</w:t>
      </w:r>
    </w:p>
    <w:p>
      <w:pPr>
        <w:pStyle w:val="5"/>
        <w:widowControl/>
        <w:spacing w:before="50" w:after="50"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（以下无正文）</w:t>
      </w:r>
    </w:p>
    <w:p>
      <w:pPr>
        <w:pStyle w:val="5"/>
        <w:spacing w:before="75" w:after="7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乙方：</w:t>
      </w:r>
    </w:p>
    <w:p>
      <w:pPr>
        <w:pStyle w:val="5"/>
        <w:spacing w:before="75" w:after="7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住所：                住所：</w:t>
      </w:r>
    </w:p>
    <w:p>
      <w:pPr>
        <w:pStyle w:val="5"/>
        <w:spacing w:before="75" w:after="75"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法定代表</w:t>
      </w:r>
      <w:r>
        <w:rPr>
          <w:rFonts w:hint="eastAsia" w:asciiTheme="minorEastAsia" w:hAnsiTheme="minorEastAsia" w:eastAsiaTheme="minorEastAsia" w:cstheme="minorEastAsia"/>
        </w:rPr>
        <w:t xml:space="preserve">人：                </w:t>
      </w:r>
      <w:r>
        <w:rPr>
          <w:rFonts w:hint="eastAsia" w:asciiTheme="minorEastAsia" w:hAnsiTheme="minorEastAsia" w:eastAsiaTheme="minorEastAsia" w:cstheme="minorEastAsia"/>
          <w:lang w:val="en-US" w:eastAsia="zh-CN"/>
        </w:rPr>
        <w:t>法定代表</w:t>
      </w:r>
      <w:r>
        <w:rPr>
          <w:rFonts w:hint="eastAsia" w:asciiTheme="minorEastAsia" w:hAnsiTheme="minorEastAsia" w:eastAsiaTheme="minorEastAsia" w:cstheme="minorEastAsia"/>
        </w:rPr>
        <w:t>人：</w:t>
      </w:r>
    </w:p>
    <w:p>
      <w:pPr>
        <w:pStyle w:val="5"/>
        <w:spacing w:before="75" w:after="75" w:line="360" w:lineRule="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统一社会信用代码：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统一社会信用代码：</w:t>
      </w:r>
    </w:p>
    <w:p>
      <w:pPr>
        <w:pStyle w:val="5"/>
        <w:spacing w:before="75" w:after="7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pPr>
        <w:pStyle w:val="5"/>
        <w:spacing w:before="75" w:after="7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开户银行：              开户银行</w:t>
      </w:r>
      <w:r>
        <w:rPr>
          <w:rFonts w:hint="eastAsia" w:asciiTheme="minorEastAsia" w:hAnsiTheme="minorEastAsia" w:eastAsiaTheme="minorEastAsia" w:cstheme="minorEastAsia"/>
          <w:lang w:eastAsia="zh-CN"/>
        </w:rPr>
        <w:t>：</w:t>
      </w:r>
    </w:p>
    <w:p>
      <w:pPr>
        <w:pStyle w:val="5"/>
        <w:spacing w:before="75" w:after="7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pStyle w:val="5"/>
        <w:spacing w:before="75" w:after="7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pStyle w:val="5"/>
        <w:spacing w:before="75" w:after="7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pPr>
        <w:pStyle w:val="5"/>
        <w:spacing w:before="75" w:after="7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bookmarkStart w:id="0" w:name="_GoBack"/>
      <w:bookmarkEnd w:id="0"/>
    </w:p>
    <w:p>
      <w:pPr>
        <w:spacing w:line="360" w:lineRule="auto"/>
        <w:rPr>
          <w:rFonts w:asciiTheme="minorEastAsia" w:hAnsiTheme="minorEastAsia" w:eastAsiaTheme="minorEastAsia" w:cstheme="minorEastAsia"/>
        </w:rPr>
      </w:pPr>
    </w:p>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FD99F"/>
    <w:multiLevelType w:val="singleLevel"/>
    <w:tmpl w:val="CE4FD99F"/>
    <w:lvl w:ilvl="0" w:tentative="0">
      <w:start w:val="6"/>
      <w:numFmt w:val="decimal"/>
      <w:suff w:val="nothing"/>
      <w:lvlText w:val="%1、"/>
      <w:lvlJc w:val="left"/>
    </w:lvl>
  </w:abstractNum>
  <w:abstractNum w:abstractNumId="1">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2">
    <w:nsid w:val="1594B3C0"/>
    <w:multiLevelType w:val="singleLevel"/>
    <w:tmpl w:val="1594B3C0"/>
    <w:lvl w:ilvl="0" w:tentative="0">
      <w:start w:val="1"/>
      <w:numFmt w:val="decimal"/>
      <w:suff w:val="nothing"/>
      <w:lvlText w:val="%1、"/>
      <w:lvlJc w:val="left"/>
    </w:lvl>
  </w:abstractNum>
  <w:abstractNum w:abstractNumId="3">
    <w:nsid w:val="5EC6BB90"/>
    <w:multiLevelType w:val="singleLevel"/>
    <w:tmpl w:val="5EC6BB90"/>
    <w:lvl w:ilvl="0" w:tentative="0">
      <w:start w:val="10"/>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7022C0B"/>
    <w:rsid w:val="67022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4">
    <w:name w:val="Plain Text"/>
    <w:basedOn w:val="1"/>
    <w:next w:val="1"/>
    <w:qFormat/>
    <w:uiPriority w:val="0"/>
    <w:rPr>
      <w:rFonts w:ascii="宋体" w:hAnsi="Courier New"/>
      <w:szCs w:val="20"/>
    </w:rPr>
  </w:style>
  <w:style w:type="paragraph" w:styleId="5">
    <w:name w:val="Normal (Web)"/>
    <w:basedOn w:val="1"/>
    <w:next w:val="6"/>
    <w:qFormat/>
    <w:uiPriority w:val="0"/>
    <w:pPr>
      <w:jc w:val="left"/>
    </w:pPr>
    <w:rPr>
      <w:rFonts w:ascii="微软雅黑" w:hAnsi="微软雅黑" w:eastAsia="微软雅黑" w:cs="Times New Roman"/>
      <w:kern w:val="0"/>
      <w:sz w:val="24"/>
    </w:rPr>
  </w:style>
  <w:style w:type="paragraph" w:customStyle="1" w:styleId="6">
    <w:name w:val="样式 标题 3 + (中文) 黑体 小四 非加粗 段前: 7.8 磅 段后: 0 磅 行距: 固定值 20 磅"/>
    <w:basedOn w:val="3"/>
    <w:autoRedefine/>
    <w:qFormat/>
    <w:uiPriority w:val="0"/>
    <w:pPr>
      <w:tabs>
        <w:tab w:val="left" w:pos="425"/>
      </w:tabs>
      <w:spacing w:before="0" w:after="0" w:line="400" w:lineRule="exact"/>
    </w:pPr>
    <w:rPr>
      <w:rFonts w:eastAsia="黑体" w:cs="宋体"/>
      <w:b w:val="0"/>
      <w:sz w:val="24"/>
      <w:szCs w:val="20"/>
    </w:rPr>
  </w:style>
  <w:style w:type="paragraph" w:styleId="7">
    <w:name w:val="Title"/>
    <w:basedOn w:val="1"/>
    <w:next w:val="1"/>
    <w:qFormat/>
    <w:uiPriority w:val="0"/>
    <w:pPr>
      <w:spacing w:before="240" w:after="60"/>
      <w:jc w:val="center"/>
      <w:outlineLvl w:val="0"/>
    </w:pPr>
    <w:rPr>
      <w:rFonts w:ascii="Calibri Light" w:hAnsi="Calibri Light"/>
      <w:b/>
      <w:bCs/>
      <w:sz w:val="32"/>
      <w:szCs w:val="32"/>
    </w:rPr>
  </w:style>
  <w:style w:type="character" w:styleId="10">
    <w:name w:val="Strong"/>
    <w:basedOn w:val="9"/>
    <w:qFormat/>
    <w:uiPriority w:val="0"/>
    <w:rPr>
      <w:b/>
    </w:rPr>
  </w:style>
  <w:style w:type="paragraph" w:customStyle="1" w:styleId="11">
    <w:name w:val="首行缩进"/>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2024-03-21T02:15:00Z</dcterms:created>
  <dc:creator>土豆排骨的滋味</dc:creator>
  <cp:lastModifiedBy>土豆排骨的滋味</cp:lastModifiedBy>
  <dcterms:modified xsi:type="dcterms:W3CDTF">2024-03-21T02:16:07Z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1AB12EA1D3464D6DB93360F6DD0C2509_11</vt:lpwstr>
  </property>
</Properties>
</file>