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0318-1</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3月18日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3月12日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3月15日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连城县游泳馆游泳培训服务采购项目</w:t>
      </w:r>
      <w:r>
        <w:rPr>
          <w:rFonts w:hint="eastAsia" w:asciiTheme="minorEastAsia" w:hAnsiTheme="minorEastAsia" w:eastAsiaTheme="minorEastAsia" w:cstheme="minorEastAsia"/>
          <w:color w:val="auto"/>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项目概况：连城县游泳馆按照大型体育场馆建设标准实施，占地面积8878.3㎡，按50m*25m标准游泳池建设，馆内采用自动水处理循环系统、“三集一体”恒温除湿系统设计，建筑占地面积5481.19㎡，总建筑面积7808.97㎡（其中：地上6570.53㎡、地下1238.44㎡）。区内道路及停车场2106.21㎡，绿化面积1290.9㎡，内设1503个观众席（固定座椅463个、活动座椅1040个）、休息室、贵宾室、办公室、冲洗室、更衣室、音响室等配套设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3.服务</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000FF"/>
          <w:spacing w:val="0"/>
          <w:sz w:val="24"/>
          <w:szCs w:val="24"/>
          <w:shd w:val="clear" w:fill="FFFFFF"/>
          <w:lang w:val="en-US" w:eastAsia="zh-CN"/>
        </w:rPr>
        <w:t>连城县游泳馆</w:t>
      </w:r>
      <w:r>
        <w:rPr>
          <w:rFonts w:hint="eastAsia" w:ascii="宋体" w:hAnsi="宋体" w:eastAsia="宋体" w:cs="宋体"/>
          <w:i w:val="0"/>
          <w:iCs w:val="0"/>
          <w:caps w:val="0"/>
          <w:color w:val="333333"/>
          <w:spacing w:val="0"/>
          <w:sz w:val="24"/>
          <w:szCs w:val="24"/>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heme="minorEastAsia" w:hAnsiTheme="minorEastAsia" w:eastAsiaTheme="minorEastAsia" w:cstheme="minorEastAsia"/>
          <w:b w:val="0"/>
          <w:bCs w:val="0"/>
          <w:color w:val="auto"/>
          <w:kern w:val="2"/>
          <w:sz w:val="24"/>
          <w:szCs w:val="24"/>
          <w:shd w:val="clear"/>
          <w:lang w:val="en-US" w:eastAsia="zh-CN" w:bidi="ar-SA"/>
        </w:rPr>
      </w:pPr>
      <w:r>
        <w:rPr>
          <w:rFonts w:hint="eastAsia" w:asciiTheme="minorEastAsia" w:hAnsiTheme="minorEastAsia" w:eastAsiaTheme="minorEastAsia" w:cstheme="minorEastAsia"/>
          <w:b w:val="0"/>
          <w:bCs w:val="0"/>
          <w:color w:val="auto"/>
          <w:kern w:val="2"/>
          <w:sz w:val="24"/>
          <w:szCs w:val="24"/>
          <w:shd w:val="clear"/>
          <w:lang w:val="en-US" w:eastAsia="zh-CN" w:bidi="ar-SA"/>
        </w:rPr>
        <w:t>4.合同服务期限：成交之日起至2024年9月1日。</w:t>
      </w:r>
    </w:p>
    <w:p>
      <w:pPr>
        <w:spacing w:line="360" w:lineRule="auto"/>
        <w:ind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5.服务要求：</w:t>
      </w:r>
    </w:p>
    <w:p>
      <w:pPr>
        <w:spacing w:line="360" w:lineRule="auto"/>
        <w:ind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（1）培训期间，教学安全由成交人全权负责。</w:t>
      </w:r>
    </w:p>
    <w:p>
      <w:pPr>
        <w:spacing w:line="360" w:lineRule="auto"/>
        <w:ind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（2）教学时间及场地使用，成交人获申报批准后，方可执行。</w:t>
      </w:r>
    </w:p>
    <w:p>
      <w:pPr>
        <w:spacing w:line="360" w:lineRule="auto"/>
        <w:ind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（3）在教学期间，委托方有权对教学人员资质进行抽查，对教学危险行为进行监督，如有不恰当行为委托方有权责令整改。</w:t>
      </w:r>
    </w:p>
    <w:p>
      <w:pPr>
        <w:spacing w:line="360" w:lineRule="auto"/>
        <w:ind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（4）合同服务期间，每天同时段入馆学员人数不超过100人，每名学员入馆次数不超过20次，成交人提供学员名单。</w:t>
      </w:r>
    </w:p>
    <w:p>
      <w:pPr>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5）成交后，成交人应按照国家有关要求，在培训期间现场需配有救生员资格的救生员保障教学安全，在教学期间发生的一切安全风险责任由成交人全权负责；委托方有监督管理权，如成交人违反国家相关法律法规或存在教学安全风险，委托方有权单方面解除合同。</w:t>
      </w:r>
    </w:p>
    <w:p>
      <w:pPr>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6.支付方式：成交人根据成交金额在合同签订后3日内一次性向委托方</w:t>
      </w:r>
      <w:bookmarkStart w:id="0" w:name="_GoBack"/>
      <w:bookmarkEnd w:id="0"/>
      <w:r>
        <w:rPr>
          <w:rFonts w:hint="eastAsia" w:asciiTheme="minorEastAsia" w:hAnsiTheme="minorEastAsia" w:eastAsiaTheme="minorEastAsia" w:cstheme="minorEastAsia"/>
          <w:b w:val="0"/>
          <w:bCs w:val="0"/>
          <w:color w:val="auto"/>
          <w:kern w:val="2"/>
          <w:sz w:val="24"/>
          <w:szCs w:val="24"/>
          <w:highlight w:val="none"/>
          <w:shd w:val="clear"/>
          <w:lang w:val="en-US" w:eastAsia="zh-CN"/>
        </w:rPr>
        <w:t>缴纳场地租赁费；固定学员管理费（50元/人）于合同服务期限结束后根据实际学员人数进行结算，并于3日内一次性向委托方支付。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7.起标价：场地租赁费20000元，另收取固定学员管理费50元/人。竞价人以</w:t>
      </w:r>
      <w:r>
        <w:rPr>
          <w:rFonts w:hint="eastAsia" w:asciiTheme="minorEastAsia" w:hAnsiTheme="minorEastAsia" w:eastAsiaTheme="minorEastAsia" w:cstheme="minorEastAsia"/>
          <w:b/>
          <w:bCs/>
          <w:color w:val="0000FF"/>
          <w:kern w:val="2"/>
          <w:sz w:val="24"/>
          <w:szCs w:val="24"/>
          <w:shd w:val="clear"/>
          <w:lang w:val="en-US" w:eastAsia="zh-CN" w:bidi="ar-SA"/>
        </w:rPr>
        <w:t>场地租赁费</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进行报价，</w:t>
      </w:r>
      <w:r>
        <w:rPr>
          <w:rFonts w:hint="eastAsia" w:asciiTheme="minorEastAsia" w:hAnsiTheme="minorEastAsia" w:eastAsiaTheme="minorEastAsia" w:cstheme="minorEastAsia"/>
          <w:b/>
          <w:bCs/>
          <w:color w:val="0000FF"/>
          <w:kern w:val="2"/>
          <w:sz w:val="24"/>
          <w:szCs w:val="24"/>
          <w:shd w:val="clear"/>
          <w:lang w:val="en-US" w:eastAsia="zh-CN" w:bidi="ar-SA"/>
        </w:rPr>
        <w:t>固定学员管理费不参与报价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起标价为包干价，包括但不限于管理费、税费等，竞价人应对本次供货内容应有充分认识，自行判断能够完成本项目所需的费用，风险费用应自行考虑计入投标报价，竞价人未考虑风险因素造成的损失由竞价人自行负责。</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1.竞价者必须遵守中华人民共和国法律、法规，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能够提供本竞价文件所述货物及服务的境内供应商</w:t>
      </w:r>
      <w:r>
        <w:rPr>
          <w:rFonts w:hint="eastAsia" w:asciiTheme="minorEastAsia" w:hAnsiTheme="minorEastAsia" w:eastAsiaTheme="minorEastAsia" w:cstheme="minorEastAsia"/>
          <w:b w:val="0"/>
          <w:bCs w:val="0"/>
          <w:color w:val="auto"/>
          <w:sz w:val="24"/>
          <w:szCs w:val="24"/>
          <w:shd w:val="clear"/>
        </w:rPr>
        <w:t>（失信被执行人除外）。</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550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2024年3月15日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pPr>
        <w:widowControl/>
        <w:shd w:val="clear"/>
        <w:snapToGrid/>
        <w:spacing w:before="0" w:line="520" w:lineRule="exact"/>
        <w:ind w:left="0" w:firstLine="482" w:firstLineChars="200"/>
        <w:rPr>
          <w:rFonts w:hint="eastAsia" w:ascii="宋体" w:hAnsi="宋体" w:cs="宋体"/>
          <w:b/>
          <w:bCs/>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须提供1名拟派人员的社会体育指导员（游泳方向）资格证书复印件并提供与拟派人员签订的劳动协议复印件及竞价人为其缴纳近一年的社保证明</w:t>
      </w:r>
      <w:r>
        <w:rPr>
          <w:rFonts w:hint="eastAsia" w:ascii="宋体" w:hAnsi="宋体" w:cs="宋体"/>
          <w:b/>
          <w:bCs/>
          <w:color w:val="000000" w:themeColor="text1"/>
          <w:kern w:val="0"/>
          <w:sz w:val="24"/>
          <w:lang w:eastAsia="zh-CN"/>
          <w14:textFill>
            <w14:solidFill>
              <w14:schemeClr w14:val="tx1"/>
            </w14:solidFill>
          </w14:textFill>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正</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价高者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Theme="minorEastAsia" w:hAnsiTheme="minorEastAsia" w:eastAsiaTheme="minorEastAsia" w:cstheme="minorEastAsia"/>
          <w:b/>
          <w:bCs/>
          <w:color w:val="0000FF"/>
          <w:kern w:val="2"/>
          <w:sz w:val="24"/>
          <w:szCs w:val="24"/>
          <w:shd w:val="clear"/>
          <w:lang w:val="en-US" w:eastAsia="zh-CN" w:bidi="ar-SA"/>
        </w:rPr>
        <w:t>场地租赁费</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0000FF"/>
          <w:kern w:val="2"/>
          <w:sz w:val="24"/>
          <w:szCs w:val="24"/>
          <w:shd w:val="clear"/>
          <w:lang w:val="en-US" w:eastAsia="zh-CN" w:bidi="ar-SA"/>
        </w:rPr>
        <w:t>场地租赁费</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20000元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最低价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20000元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价格低</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20000元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总价最高的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color w:val="0000FF"/>
          <w:kern w:val="2"/>
          <w:sz w:val="24"/>
          <w:szCs w:val="24"/>
          <w:shd w:val="clear"/>
        </w:rPr>
        <w:t>不</w:t>
      </w:r>
      <w:r>
        <w:rPr>
          <w:rFonts w:hint="eastAsia" w:asciiTheme="minorEastAsia" w:hAnsiTheme="minorEastAsia" w:eastAsiaTheme="minorEastAsia" w:cstheme="minorEastAsia"/>
          <w:color w:val="0000FF"/>
          <w:kern w:val="2"/>
          <w:sz w:val="24"/>
          <w:szCs w:val="24"/>
          <w:shd w:val="clear"/>
          <w:lang w:val="en-US" w:eastAsia="zh-CN"/>
        </w:rPr>
        <w:t>低</w:t>
      </w:r>
      <w:r>
        <w:rPr>
          <w:rFonts w:hint="eastAsia" w:asciiTheme="minorEastAsia" w:hAnsiTheme="minorEastAsia" w:eastAsiaTheme="minorEastAsia" w:cstheme="minorEastAsia"/>
          <w:color w:val="0000FF"/>
          <w:kern w:val="2"/>
          <w:sz w:val="24"/>
          <w:szCs w:val="24"/>
          <w:shd w:val="clear"/>
        </w:rPr>
        <w:t>于最</w:t>
      </w:r>
      <w:r>
        <w:rPr>
          <w:rFonts w:hint="eastAsia" w:asciiTheme="minorEastAsia" w:hAnsiTheme="minorEastAsia" w:eastAsiaTheme="minorEastAsia" w:cstheme="minorEastAsia"/>
          <w:color w:val="0000FF"/>
          <w:kern w:val="2"/>
          <w:sz w:val="24"/>
          <w:szCs w:val="24"/>
          <w:shd w:val="clear"/>
          <w:lang w:val="en-US" w:eastAsia="zh-CN"/>
        </w:rPr>
        <w:t>低</w:t>
      </w:r>
      <w:r>
        <w:rPr>
          <w:rFonts w:hint="eastAsia" w:asciiTheme="minorEastAsia" w:hAnsiTheme="minorEastAsia" w:eastAsiaTheme="minorEastAsia" w:cstheme="minorEastAsia"/>
          <w:color w:val="0000FF"/>
          <w:kern w:val="2"/>
          <w:sz w:val="24"/>
          <w:szCs w:val="24"/>
          <w:shd w:val="clear"/>
        </w:rPr>
        <w:t>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0" w:firstLineChars="200"/>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3.</w:t>
      </w:r>
      <w:r>
        <w:rPr>
          <w:rFonts w:hint="eastAsia" w:ascii="宋体" w:hAnsi="宋体" w:eastAsia="宋体" w:cs="宋体"/>
          <w:b w:val="0"/>
          <w:bCs w:val="0"/>
          <w:color w:val="auto"/>
          <w:kern w:val="0"/>
          <w:sz w:val="24"/>
          <w:highlight w:val="none"/>
          <w:lang w:eastAsia="zh-CN"/>
        </w:rPr>
        <w:t>合同签订并</w:t>
      </w:r>
      <w:r>
        <w:rPr>
          <w:rFonts w:hint="eastAsia" w:ascii="宋体" w:hAnsi="宋体" w:eastAsia="宋体" w:cs="宋体"/>
          <w:b w:val="0"/>
          <w:bCs w:val="0"/>
          <w:color w:val="auto"/>
          <w:kern w:val="0"/>
          <w:sz w:val="24"/>
          <w:highlight w:val="none"/>
          <w:lang w:val="zh-CN" w:eastAsia="zh-CN"/>
        </w:rPr>
        <w:t>完成交付全部货物</w:t>
      </w:r>
      <w:r>
        <w:rPr>
          <w:rFonts w:hint="eastAsia" w:ascii="宋体" w:hAnsi="宋体" w:cs="宋体"/>
          <w:b w:val="0"/>
          <w:bCs w:val="0"/>
          <w:color w:val="auto"/>
          <w:kern w:val="0"/>
          <w:sz w:val="24"/>
          <w:highlight w:val="none"/>
          <w:lang w:val="en-US" w:eastAsia="zh-CN"/>
        </w:rPr>
        <w:t>，</w:t>
      </w:r>
      <w:r>
        <w:rPr>
          <w:rFonts w:hint="eastAsia" w:asciiTheme="minorEastAsia" w:hAnsiTheme="minorEastAsia" w:eastAsiaTheme="minorEastAsia" w:cstheme="minorEastAsia"/>
          <w:color w:val="auto"/>
          <w:kern w:val="2"/>
          <w:sz w:val="24"/>
          <w:szCs w:val="24"/>
          <w:lang w:val="en-US" w:eastAsia="zh-CN" w:bidi="ar-SA"/>
        </w:rPr>
        <w:t>委托方</w:t>
      </w:r>
      <w:r>
        <w:rPr>
          <w:rFonts w:hint="eastAsia" w:ascii="宋体" w:hAnsi="宋体" w:cs="宋体"/>
          <w:b w:val="0"/>
          <w:bCs w:val="0"/>
          <w:color w:val="auto"/>
          <w:kern w:val="0"/>
          <w:sz w:val="24"/>
          <w:highlight w:val="none"/>
          <w:lang w:val="en-US" w:eastAsia="zh-CN"/>
        </w:rPr>
        <w:t>验收合格并成交人提供相应票据后15日内支付全部合同价款。</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2024年3月12日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ind w:firstLine="88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3月18日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正</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连城县游泳馆游泳培训服务采购项目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0318-1</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8"/>
      </w:pPr>
    </w:p>
    <w:p/>
    <w:p>
      <w:pPr>
        <w:pStyle w:val="8"/>
      </w:pPr>
    </w:p>
    <w:p/>
    <w:p>
      <w:pPr>
        <w:pStyle w:val="8"/>
      </w:pPr>
    </w:p>
    <w:p/>
    <w:p>
      <w:pPr>
        <w:pStyle w:val="8"/>
      </w:pPr>
    </w:p>
    <w:p/>
    <w:p>
      <w:pPr>
        <w:pStyle w:val="8"/>
      </w:pPr>
    </w:p>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19"/>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5"/>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5"/>
          <w:rFonts w:hint="eastAsia" w:asciiTheme="minorEastAsia" w:hAnsiTheme="minorEastAsia" w:eastAsiaTheme="minorEastAsia" w:cstheme="minorEastAsia"/>
          <w:b/>
          <w:bCs/>
          <w:color w:val="auto"/>
          <w:sz w:val="24"/>
          <w:highlight w:val="none"/>
        </w:rPr>
        <w:t>2、签订合同时，</w:t>
      </w:r>
      <w:r>
        <w:rPr>
          <w:rStyle w:val="15"/>
          <w:rFonts w:hint="eastAsia" w:asciiTheme="minorEastAsia" w:hAnsiTheme="minorEastAsia" w:eastAsiaTheme="minorEastAsia" w:cstheme="minorEastAsia"/>
          <w:b/>
          <w:bCs/>
          <w:color w:val="auto"/>
          <w:sz w:val="24"/>
          <w:highlight w:val="none"/>
          <w:lang w:val="en-US" w:eastAsia="zh-CN"/>
        </w:rPr>
        <w:t>委托方</w:t>
      </w:r>
      <w:r>
        <w:rPr>
          <w:rStyle w:val="15"/>
          <w:rFonts w:hint="eastAsia" w:asciiTheme="minorEastAsia" w:hAnsiTheme="minorEastAsia" w:eastAsiaTheme="minorEastAsia" w:cstheme="minorEastAsia"/>
          <w:b/>
          <w:bCs/>
          <w:color w:val="auto"/>
          <w:sz w:val="24"/>
          <w:highlight w:val="none"/>
        </w:rPr>
        <w:t>与</w:t>
      </w:r>
      <w:r>
        <w:rPr>
          <w:rStyle w:val="15"/>
          <w:rFonts w:hint="eastAsia" w:asciiTheme="minorEastAsia" w:hAnsiTheme="minorEastAsia" w:eastAsiaTheme="minorEastAsia" w:cstheme="minorEastAsia"/>
          <w:b/>
          <w:bCs/>
          <w:color w:val="auto"/>
          <w:sz w:val="24"/>
          <w:highlight w:val="none"/>
          <w:lang w:val="en-US" w:eastAsia="zh-CN"/>
        </w:rPr>
        <w:t>成交人</w:t>
      </w:r>
      <w:r>
        <w:rPr>
          <w:rStyle w:val="15"/>
          <w:rFonts w:hint="eastAsia" w:asciiTheme="minorEastAsia" w:hAnsiTheme="minorEastAsia" w:eastAsiaTheme="minorEastAsia" w:cstheme="minorEastAsia"/>
          <w:b/>
          <w:bCs/>
          <w:color w:val="auto"/>
          <w:sz w:val="24"/>
          <w:highlight w:val="none"/>
        </w:rPr>
        <w:t>应结合</w:t>
      </w:r>
      <w:r>
        <w:rPr>
          <w:rStyle w:val="15"/>
          <w:rFonts w:hint="eastAsia" w:asciiTheme="minorEastAsia" w:hAnsiTheme="minorEastAsia" w:eastAsiaTheme="minorEastAsia" w:cstheme="minorEastAsia"/>
          <w:b/>
          <w:bCs/>
          <w:color w:val="auto"/>
          <w:sz w:val="24"/>
          <w:highlight w:val="none"/>
          <w:lang w:val="en-US" w:eastAsia="zh-CN"/>
        </w:rPr>
        <w:t>竞价文件相关</w:t>
      </w:r>
      <w:r>
        <w:rPr>
          <w:rStyle w:val="15"/>
          <w:rFonts w:hint="eastAsia" w:asciiTheme="minorEastAsia" w:hAnsiTheme="minorEastAsia" w:eastAsiaTheme="minorEastAsia" w:cstheme="minorEastAsia"/>
          <w:b/>
          <w:bCs/>
          <w:color w:val="auto"/>
          <w:sz w:val="24"/>
          <w:highlight w:val="none"/>
        </w:rPr>
        <w:t>规定填列相应内容。</w:t>
      </w:r>
      <w:r>
        <w:rPr>
          <w:rStyle w:val="15"/>
          <w:rFonts w:hint="eastAsia" w:asciiTheme="minorEastAsia" w:hAnsiTheme="minorEastAsia" w:eastAsiaTheme="minorEastAsia" w:cstheme="minorEastAsia"/>
          <w:b/>
          <w:bCs/>
          <w:color w:val="auto"/>
          <w:sz w:val="24"/>
          <w:highlight w:val="none"/>
          <w:lang w:val="en-US" w:eastAsia="zh-CN"/>
        </w:rPr>
        <w:t>竞价文件</w:t>
      </w:r>
      <w:r>
        <w:rPr>
          <w:rStyle w:val="15"/>
          <w:rFonts w:hint="eastAsia" w:asciiTheme="minorEastAsia" w:hAnsiTheme="minorEastAsia" w:eastAsiaTheme="minorEastAsia" w:cstheme="minorEastAsia"/>
          <w:b/>
          <w:bCs/>
          <w:color w:val="auto"/>
          <w:sz w:val="24"/>
          <w:highlight w:val="none"/>
        </w:rPr>
        <w:t>已有规定的，双方均不得变更或调整；</w:t>
      </w:r>
      <w:r>
        <w:rPr>
          <w:rStyle w:val="15"/>
          <w:rFonts w:hint="eastAsia" w:asciiTheme="minorEastAsia" w:hAnsiTheme="minorEastAsia" w:eastAsiaTheme="minorEastAsia" w:cstheme="minorEastAsia"/>
          <w:b/>
          <w:bCs/>
          <w:color w:val="auto"/>
          <w:sz w:val="24"/>
          <w:highlight w:val="none"/>
          <w:lang w:val="en-US" w:eastAsia="zh-CN"/>
        </w:rPr>
        <w:t>竞价文件</w:t>
      </w:r>
      <w:r>
        <w:rPr>
          <w:rStyle w:val="15"/>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5"/>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龙岩福豸企业管理有限公司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pStyle w:val="10"/>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 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项目（以下简称：“本项目”）的招标结果，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p>
    <w:tbl>
      <w:tblPr>
        <w:tblStyle w:val="12"/>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34" w:type="dxa"/>
            <w:noWrap w:val="0"/>
            <w:vAlign w:val="center"/>
          </w:tcPr>
          <w:p>
            <w:pPr>
              <w:spacing w:line="360"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合同标的</w:t>
            </w:r>
          </w:p>
        </w:tc>
        <w:tc>
          <w:tcPr>
            <w:tcW w:w="2465" w:type="dxa"/>
            <w:noWrap w:val="0"/>
            <w:vAlign w:val="center"/>
          </w:tcPr>
          <w:p>
            <w:pPr>
              <w:spacing w:line="360"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734" w:type="dxa"/>
            <w:noWrap w:val="0"/>
            <w:vAlign w:val="center"/>
          </w:tcPr>
          <w:p>
            <w:pPr>
              <w:spacing w:line="36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连城县游泳馆游泳培训服务采购项目</w:t>
            </w:r>
          </w:p>
        </w:tc>
        <w:tc>
          <w:tcPr>
            <w:tcW w:w="2465" w:type="dxa"/>
            <w:noWrap w:val="0"/>
            <w:vAlign w:val="center"/>
          </w:tcPr>
          <w:p>
            <w:pPr>
              <w:spacing w:line="360"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1项</w:t>
            </w:r>
          </w:p>
        </w:tc>
      </w:tr>
    </w:tbl>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spacing w:before="120" w:line="360" w:lineRule="auto"/>
        <w:ind w:firstLine="240" w:firstLineChars="100"/>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Theme="minorEastAsia" w:hAnsiTheme="minorEastAsia" w:eastAsiaTheme="minorEastAsia"/>
          <w:color w:val="auto"/>
          <w:sz w:val="24"/>
          <w:highlight w:val="none"/>
          <w:u w:val="single"/>
        </w:rPr>
        <w:t>连城县</w:t>
      </w:r>
      <w:r>
        <w:rPr>
          <w:rFonts w:hint="eastAsia" w:asciiTheme="minorEastAsia" w:hAnsiTheme="minorEastAsia" w:eastAsiaTheme="minorEastAsia"/>
          <w:color w:val="auto"/>
          <w:sz w:val="24"/>
          <w:highlight w:val="none"/>
          <w:u w:val="single"/>
          <w:lang w:val="en-US" w:eastAsia="zh-CN"/>
        </w:rPr>
        <w:t>游泳馆</w:t>
      </w:r>
      <w:r>
        <w:rPr>
          <w:rFonts w:hint="eastAsia" w:asciiTheme="minorEastAsia" w:hAnsiTheme="minorEastAsia" w:eastAsiaTheme="minorEastAsia"/>
          <w:color w:val="auto"/>
          <w:sz w:val="24"/>
          <w:highlight w:val="none"/>
          <w:u w:val="single"/>
          <w:lang w:eastAsia="zh-CN"/>
        </w:rPr>
        <w:t>。</w:t>
      </w:r>
    </w:p>
    <w:p>
      <w:pPr>
        <w:spacing w:before="12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5、合同标的应符合</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乙方响</w:t>
      </w:r>
      <w:r>
        <w:rPr>
          <w:rFonts w:hint="eastAsia" w:asciiTheme="minorEastAsia" w:hAnsiTheme="minorEastAsia" w:eastAsiaTheme="minorEastAsia" w:cstheme="minorEastAsia"/>
          <w:color w:val="auto"/>
          <w:spacing w:val="0"/>
          <w:sz w:val="24"/>
          <w:szCs w:val="24"/>
          <w:highlight w:val="none"/>
          <w:lang w:eastAsia="zh-CN"/>
        </w:rPr>
        <w:t>应文件</w:t>
      </w:r>
      <w:r>
        <w:rPr>
          <w:rFonts w:hint="eastAsia" w:asciiTheme="minorEastAsia" w:hAnsiTheme="minorEastAsia" w:eastAsiaTheme="minorEastAsia" w:cstheme="minorEastAsia"/>
          <w:color w:val="auto"/>
          <w:spacing w:val="0"/>
          <w:sz w:val="24"/>
          <w:szCs w:val="24"/>
          <w:highlight w:val="none"/>
        </w:rPr>
        <w:t>的规定或约定，具体如下：</w:t>
      </w:r>
    </w:p>
    <w:p>
      <w:pPr>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w:t>
      </w:r>
      <w:r>
        <w:rPr>
          <w:rFonts w:hint="eastAsia" w:ascii="宋体" w:hAnsi="宋体" w:cs="宋体"/>
          <w:color w:val="auto"/>
          <w:sz w:val="24"/>
          <w:szCs w:val="24"/>
          <w:highlight w:val="none"/>
          <w:u w:val="single"/>
          <w:lang w:val="en-US" w:eastAsia="zh-CN"/>
        </w:rPr>
        <w:t>竞价文件</w:t>
      </w:r>
      <w:r>
        <w:rPr>
          <w:rFonts w:hint="eastAsia" w:ascii="宋体" w:hAnsi="宋体" w:eastAsia="宋体" w:cs="宋体"/>
          <w:color w:val="auto"/>
          <w:sz w:val="24"/>
          <w:szCs w:val="24"/>
          <w:highlight w:val="none"/>
          <w:u w:val="single"/>
          <w:lang w:val="en-US" w:eastAsia="zh-CN"/>
        </w:rPr>
        <w:t>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保证严格按照《</w:t>
      </w:r>
      <w:r>
        <w:rPr>
          <w:rFonts w:hint="eastAsia" w:ascii="宋体" w:hAnsi="宋体" w:cs="宋体"/>
          <w:color w:val="auto"/>
          <w:sz w:val="24"/>
          <w:szCs w:val="24"/>
          <w:highlight w:val="none"/>
          <w:u w:val="single"/>
          <w:lang w:eastAsia="zh-CN"/>
        </w:rPr>
        <w:t>连城县游泳馆游泳培训服务采购项目</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竞价文件</w:t>
      </w:r>
      <w:r>
        <w:rPr>
          <w:rFonts w:hint="eastAsia" w:ascii="宋体" w:hAnsi="宋体" w:eastAsia="宋体" w:cs="宋体"/>
          <w:color w:val="auto"/>
          <w:sz w:val="24"/>
          <w:szCs w:val="24"/>
          <w:highlight w:val="none"/>
          <w:u w:val="single"/>
        </w:rPr>
        <w:t>和</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的</w:t>
      </w:r>
      <w:r>
        <w:rPr>
          <w:rFonts w:hint="eastAsia" w:ascii="宋体" w:hAnsi="宋体" w:cs="宋体"/>
          <w:color w:val="auto"/>
          <w:sz w:val="24"/>
          <w:szCs w:val="24"/>
          <w:highlight w:val="none"/>
          <w:u w:val="single"/>
          <w:lang w:eastAsia="zh-CN"/>
        </w:rPr>
        <w:t>响应文件</w:t>
      </w:r>
      <w:r>
        <w:rPr>
          <w:rFonts w:hint="eastAsia" w:ascii="宋体" w:hAnsi="宋体" w:eastAsia="宋体" w:cs="宋体"/>
          <w:color w:val="auto"/>
          <w:sz w:val="24"/>
          <w:szCs w:val="24"/>
          <w:highlight w:val="none"/>
          <w:u w:val="single"/>
        </w:rPr>
        <w:t>执行。</w:t>
      </w:r>
    </w:p>
    <w:p>
      <w:pPr>
        <w:pStyle w:val="10"/>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color w:val="auto"/>
          <w:spacing w:val="0"/>
          <w:kern w:val="0"/>
          <w:sz w:val="24"/>
          <w:szCs w:val="24"/>
          <w:highlight w:val="none"/>
          <w:lang w:val="en-US" w:eastAsia="zh-CN" w:bidi="ar-SA"/>
        </w:rPr>
        <w:t>6、验收标准：</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本竞价文件技术参数</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供应商响应情况及国家相关标准、行业标准</w:t>
      </w:r>
      <w:r>
        <w:rPr>
          <w:rFonts w:hint="eastAsia" w:ascii="宋体" w:hAnsi="宋体" w:eastAsia="宋体" w:cs="宋体"/>
          <w:color w:val="auto"/>
          <w:sz w:val="24"/>
          <w:szCs w:val="24"/>
          <w:highlight w:val="none"/>
        </w:rPr>
        <w:t>进行验收</w:t>
      </w:r>
      <w:r>
        <w:rPr>
          <w:rFonts w:hint="eastAsia" w:asciiTheme="minorEastAsia" w:hAnsiTheme="minorEastAsia" w:eastAsiaTheme="minorEastAsia" w:cstheme="minorEastAsia"/>
          <w:b w:val="0"/>
          <w:color w:val="auto"/>
          <w:spacing w:val="0"/>
          <w:kern w:val="0"/>
          <w:sz w:val="24"/>
          <w:szCs w:val="24"/>
          <w:highlight w:val="none"/>
          <w:lang w:val="en-US" w:eastAsia="zh-CN" w:bidi="ar-SA"/>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7、</w:t>
      </w:r>
      <w:r>
        <w:rPr>
          <w:rFonts w:hint="eastAsia" w:asciiTheme="minorEastAsia" w:hAnsiTheme="minorEastAsia" w:eastAsiaTheme="minorEastAsia" w:cstheme="minorEastAsia"/>
          <w:color w:val="auto"/>
          <w:spacing w:val="0"/>
          <w:sz w:val="24"/>
          <w:szCs w:val="24"/>
          <w:highlight w:val="none"/>
          <w:lang w:val="en-US" w:eastAsia="zh-CN"/>
        </w:rPr>
        <w:t>支付方式</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b w:val="0"/>
          <w:bCs w:val="0"/>
          <w:color w:val="auto"/>
          <w:kern w:val="2"/>
          <w:sz w:val="24"/>
          <w:szCs w:val="24"/>
          <w:highlight w:val="none"/>
          <w:shd w:val="clear"/>
          <w:lang w:val="en-US" w:eastAsia="zh-CN"/>
        </w:rPr>
        <w:t>乙方根据成交金额在合同签订后3日内一次性向甲方缴纳场地租赁费；固定学员管理费（50元/人）于合同服务期限结束后根据实际学员人数进行结算，并于3日内一次性向甲方支付。</w:t>
      </w:r>
    </w:p>
    <w:p>
      <w:pPr>
        <w:spacing w:afterLines="50" w:line="360" w:lineRule="auto"/>
        <w:ind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9"/>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9"/>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8.2商业秘密指双方有关项目设计信息、作品创意构思及其它技术信息。</w:t>
      </w:r>
    </w:p>
    <w:p>
      <w:pPr>
        <w:pStyle w:val="9"/>
        <w:spacing w:after="156"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0"/>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cstheme="minorEastAsia"/>
          <w:color w:val="auto"/>
          <w:spacing w:val="0"/>
          <w:sz w:val="24"/>
          <w:szCs w:val="24"/>
          <w:highlight w:val="none"/>
          <w:u w:val="single"/>
          <w:lang w:val="en-US" w:eastAsia="zh-CN"/>
        </w:rPr>
        <w:t xml:space="preserve">                        。</w:t>
      </w:r>
    </w:p>
    <w:p>
      <w:pPr>
        <w:pStyle w:val="10"/>
        <w:keepNext w:val="0"/>
        <w:keepLines w:val="0"/>
        <w:widowControl/>
        <w:numPr>
          <w:ilvl w:val="0"/>
          <w:numId w:val="1"/>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违约责任</w:t>
      </w:r>
    </w:p>
    <w:p>
      <w:pPr>
        <w:pStyle w:val="9"/>
        <w:spacing w:after="156"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的返工要求后七个工作日内或双方商定的时间内重新设计提交。</w:t>
      </w:r>
    </w:p>
    <w:p>
      <w:pPr>
        <w:pStyle w:val="9"/>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9"/>
        <w:spacing w:after="50" w:line="360" w:lineRule="auto"/>
        <w:ind w:left="0" w:leftChars="0" w:firstLine="0"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asciiTheme="minorEastAsia" w:hAnsiTheme="minorEastAsia" w:eastAsiaTheme="minorEastAsia"/>
          <w:color w:val="auto"/>
          <w:sz w:val="24"/>
          <w:szCs w:val="24"/>
          <w:highlight w:val="none"/>
        </w:rPr>
        <w:t>15日内仍未取得显著改观的，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9"/>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9"/>
        <w:tabs>
          <w:tab w:val="left" w:pos="1985"/>
        </w:tabs>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9"/>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9"/>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9"/>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9"/>
        <w:spacing w:after="50" w:line="360" w:lineRule="auto"/>
        <w:ind w:left="0" w:leftChars="0" w:firstLine="240" w:firstLineChars="1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10.9供应商未按本合同约定的时间向甲方交付成果的，每逾期一天向甲方支付本合同千分之一的违约金，逾期超过30天的，甲方有权解除合同。</w:t>
      </w:r>
    </w:p>
    <w:p>
      <w:pPr>
        <w:pStyle w:val="10"/>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9"/>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9"/>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9"/>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9"/>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1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0"/>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BB90"/>
    <w:multiLevelType w:val="singleLevel"/>
    <w:tmpl w:val="5EC6BB90"/>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OWI2NDE3ZjE1YzgxOWVkMjYzMjI0NzhiOTBjODcifQ=="/>
    <w:docVar w:name="KSO_WPS_MARK_KEY" w:val="36b8acbf-cf64-4cd1-b9a6-4edb4ecc0d53"/>
  </w:docVars>
  <w:rsids>
    <w:rsidRoot w:val="1F986481"/>
    <w:rsid w:val="025874A5"/>
    <w:rsid w:val="039B541A"/>
    <w:rsid w:val="05DA79C7"/>
    <w:rsid w:val="090F6BE7"/>
    <w:rsid w:val="09B93FF4"/>
    <w:rsid w:val="0A2F0DBE"/>
    <w:rsid w:val="0AC76F92"/>
    <w:rsid w:val="0D6D27E5"/>
    <w:rsid w:val="0EF820C6"/>
    <w:rsid w:val="0F222CCA"/>
    <w:rsid w:val="11DE683A"/>
    <w:rsid w:val="131E5E73"/>
    <w:rsid w:val="13761663"/>
    <w:rsid w:val="1F986481"/>
    <w:rsid w:val="21B83433"/>
    <w:rsid w:val="27257379"/>
    <w:rsid w:val="290520D8"/>
    <w:rsid w:val="2AEB24EE"/>
    <w:rsid w:val="2BAF7B59"/>
    <w:rsid w:val="2BDB5197"/>
    <w:rsid w:val="303411DC"/>
    <w:rsid w:val="3802063D"/>
    <w:rsid w:val="397208C0"/>
    <w:rsid w:val="3A06128C"/>
    <w:rsid w:val="3F555BC3"/>
    <w:rsid w:val="43FB0349"/>
    <w:rsid w:val="44A21BB1"/>
    <w:rsid w:val="48D82045"/>
    <w:rsid w:val="4B952493"/>
    <w:rsid w:val="4E87669E"/>
    <w:rsid w:val="51BD6537"/>
    <w:rsid w:val="54E707AD"/>
    <w:rsid w:val="558C043F"/>
    <w:rsid w:val="578A4E52"/>
    <w:rsid w:val="5B94004E"/>
    <w:rsid w:val="5D081E82"/>
    <w:rsid w:val="5D1C319C"/>
    <w:rsid w:val="5D211DB5"/>
    <w:rsid w:val="5DDB6408"/>
    <w:rsid w:val="5DFD637E"/>
    <w:rsid w:val="60E05979"/>
    <w:rsid w:val="61AF4C4A"/>
    <w:rsid w:val="674C68BC"/>
    <w:rsid w:val="6B0D2154"/>
    <w:rsid w:val="6B4A616F"/>
    <w:rsid w:val="733C47ED"/>
    <w:rsid w:val="7C2A25D8"/>
    <w:rsid w:val="7C7B0EF7"/>
    <w:rsid w:val="7E483361"/>
    <w:rsid w:val="7E611BB9"/>
    <w:rsid w:val="7E9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autoRedefine/>
    <w:qFormat/>
    <w:uiPriority w:val="0"/>
    <w:pPr>
      <w:keepNext/>
      <w:keepLines/>
      <w:spacing w:before="260" w:after="260" w:line="413" w:lineRule="auto"/>
      <w:outlineLvl w:val="2"/>
    </w:pPr>
    <w:rPr>
      <w:b/>
      <w:sz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80" w:lineRule="exact"/>
    </w:pPr>
    <w:rPr>
      <w:sz w:val="24"/>
    </w:rPr>
  </w:style>
  <w:style w:type="paragraph" w:customStyle="1" w:styleId="3">
    <w:name w:val="样式 表格正文 + 两端对齐"/>
    <w:basedOn w:val="1"/>
    <w:next w:val="4"/>
    <w:autoRedefine/>
    <w:qFormat/>
    <w:uiPriority w:val="0"/>
    <w:pPr>
      <w:spacing w:line="300" w:lineRule="auto"/>
    </w:pPr>
  </w:style>
  <w:style w:type="paragraph" w:customStyle="1" w:styleId="4">
    <w:name w:val="正文1"/>
    <w:basedOn w:val="1"/>
    <w:autoRedefine/>
    <w:qFormat/>
    <w:uiPriority w:val="0"/>
    <w:pPr>
      <w:spacing w:line="480" w:lineRule="exact"/>
      <w:ind w:firstLine="567"/>
    </w:pPr>
    <w:rPr>
      <w:rFonts w:ascii="幼圆" w:eastAsia="幼圆"/>
      <w:sz w:val="28"/>
      <w:szCs w:val="20"/>
    </w:rPr>
  </w:style>
  <w:style w:type="paragraph" w:styleId="6">
    <w:name w:val="Plain Text"/>
    <w:basedOn w:val="1"/>
    <w:next w:val="1"/>
    <w:autoRedefine/>
    <w:qFormat/>
    <w:uiPriority w:val="0"/>
    <w:rPr>
      <w:rFonts w:ascii="宋体" w:hAnsi="Courier New"/>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toc 1"/>
    <w:basedOn w:val="1"/>
    <w:next w:val="1"/>
    <w:autoRedefine/>
    <w:qFormat/>
    <w:uiPriority w:val="39"/>
    <w:pPr>
      <w:spacing w:before="120" w:after="120"/>
      <w:jc w:val="left"/>
    </w:pPr>
    <w:rPr>
      <w:rFonts w:ascii="Calibri" w:hAnsi="Calibri"/>
      <w:b/>
      <w:bCs/>
      <w:caps/>
      <w:sz w:val="20"/>
    </w:rPr>
  </w:style>
  <w:style w:type="paragraph" w:styleId="9">
    <w:name w:val="Body Text Indent 3"/>
    <w:basedOn w:val="1"/>
    <w:autoRedefine/>
    <w:unhideWhenUsed/>
    <w:qFormat/>
    <w:uiPriority w:val="99"/>
    <w:pPr>
      <w:spacing w:after="120"/>
      <w:ind w:left="420" w:leftChars="200"/>
    </w:pPr>
    <w:rPr>
      <w:kern w:val="2"/>
      <w:sz w:val="16"/>
      <w:szCs w:val="16"/>
    </w:rPr>
  </w:style>
  <w:style w:type="paragraph" w:styleId="10">
    <w:name w:val="Normal (Web)"/>
    <w:basedOn w:val="1"/>
    <w:next w:val="1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1">
    <w:name w:val="样式 标题 3 + (中文) 黑体 小四 非加粗 段前: 7.8 磅 段后: 0 磅 行距: 固定值 20 磅"/>
    <w:basedOn w:val="5"/>
    <w:autoRedefine/>
    <w:qFormat/>
    <w:uiPriority w:val="0"/>
    <w:pPr>
      <w:spacing w:before="0" w:after="0" w:line="400" w:lineRule="exact"/>
    </w:pPr>
    <w:rPr>
      <w:rFonts w:ascii="Courier New" w:hAnsi="Courier New" w:eastAsia="（使用中文字体）" w:cs="HiddenHorzOCl"/>
      <w:b w:val="0"/>
      <w:sz w:val="24"/>
      <w:szCs w:val="20"/>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style>
  <w:style w:type="paragraph" w:customStyle="1" w:styleId="1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7">
    <w:name w:val="正文格式"/>
    <w:basedOn w:val="1"/>
    <w:autoRedefine/>
    <w:qFormat/>
    <w:uiPriority w:val="0"/>
    <w:pPr>
      <w:widowControl/>
      <w:adjustRightInd w:val="0"/>
      <w:snapToGrid w:val="0"/>
      <w:spacing w:line="400" w:lineRule="atLeast"/>
      <w:ind w:firstLine="482"/>
      <w:textAlignment w:val="baseline"/>
    </w:pPr>
    <w:rPr>
      <w:kern w:val="0"/>
      <w:sz w:val="24"/>
    </w:rPr>
  </w:style>
  <w:style w:type="character" w:customStyle="1" w:styleId="18">
    <w:name w:val="15"/>
    <w:basedOn w:val="14"/>
    <w:autoRedefine/>
    <w:qFormat/>
    <w:uiPriority w:val="0"/>
    <w:rPr>
      <w:rFonts w:hint="default" w:ascii="Tahoma" w:hAnsi="Tahoma" w:eastAsia="Tahoma" w:cs="Tahoma"/>
      <w:b/>
      <w:sz w:val="24"/>
      <w:szCs w:val="24"/>
    </w:rPr>
  </w:style>
  <w:style w:type="paragraph" w:customStyle="1" w:styleId="19">
    <w:name w:val="样式3"/>
    <w:basedOn w:val="6"/>
    <w:autoRedefine/>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6436</Words>
  <Characters>6828</Characters>
  <Lines>0</Lines>
  <Paragraphs>0</Paragraphs>
  <TotalTime>2</TotalTime>
  <ScaleCrop>false</ScaleCrop>
  <LinksUpToDate>false</LinksUpToDate>
  <CharactersWithSpaces>7114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林锋</cp:lastModifiedBy>
  <dcterms:modified xsi:type="dcterms:W3CDTF">2024-03-12T09:02:08Z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8AEF00998A294AE58A580090F2586342_11</vt:lpwstr>
  </property>
</Properties>
</file>