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0318</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3月18日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3月12日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3月15日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连城县游泳馆药品采购项目</w:t>
      </w:r>
      <w:r>
        <w:rPr>
          <w:rFonts w:hint="eastAsia" w:asciiTheme="minorEastAsia" w:hAnsiTheme="minorEastAsia" w:eastAsiaTheme="minorEastAsia" w:cstheme="minorEastAsia"/>
          <w:color w:val="auto"/>
          <w:sz w:val="24"/>
          <w:szCs w:val="24"/>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.供货</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000FF"/>
          <w:spacing w:val="0"/>
          <w:sz w:val="24"/>
          <w:szCs w:val="24"/>
          <w:shd w:val="clear" w:fill="FFFFFF"/>
          <w:lang w:val="en-US" w:eastAsia="zh-CN"/>
        </w:rPr>
        <w:t>连城县游泳馆</w:t>
      </w:r>
      <w:r>
        <w:rPr>
          <w:rFonts w:hint="eastAsia" w:ascii="宋体" w:hAnsi="宋体" w:eastAsia="宋体" w:cs="宋体"/>
          <w:i w:val="0"/>
          <w:iCs w:val="0"/>
          <w:caps w:val="0"/>
          <w:color w:val="333333"/>
          <w:spacing w:val="0"/>
          <w:sz w:val="24"/>
          <w:szCs w:val="24"/>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.采购清单</w:t>
      </w:r>
      <w:r>
        <w:rPr>
          <w:rFonts w:hint="eastAsia" w:ascii="宋体" w:hAnsi="宋体" w:eastAsia="宋体" w:cs="宋体"/>
          <w:i w:val="0"/>
          <w:iCs w:val="0"/>
          <w:caps w:val="0"/>
          <w:color w:val="333333"/>
          <w:spacing w:val="0"/>
          <w:sz w:val="24"/>
          <w:szCs w:val="24"/>
          <w:shd w:val="clear" w:fill="FFFFFF"/>
        </w:rPr>
        <w:t>：</w:t>
      </w:r>
    </w:p>
    <w:tbl>
      <w:tblPr>
        <w:tblStyle w:val="11"/>
        <w:tblW w:w="10140" w:type="dxa"/>
        <w:tblInd w:w="-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575"/>
        <w:gridCol w:w="4455"/>
        <w:gridCol w:w="1245"/>
        <w:gridCol w:w="88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序号</w:t>
            </w:r>
          </w:p>
        </w:tc>
        <w:tc>
          <w:tcPr>
            <w:tcW w:w="157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药品名称</w:t>
            </w:r>
          </w:p>
        </w:tc>
        <w:tc>
          <w:tcPr>
            <w:tcW w:w="445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规格</w:t>
            </w:r>
          </w:p>
        </w:tc>
        <w:tc>
          <w:tcPr>
            <w:tcW w:w="124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单价</w:t>
            </w:r>
          </w:p>
        </w:tc>
        <w:tc>
          <w:tcPr>
            <w:tcW w:w="88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数量</w:t>
            </w:r>
          </w:p>
        </w:tc>
        <w:tc>
          <w:tcPr>
            <w:tcW w:w="121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6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1</w:t>
            </w:r>
          </w:p>
        </w:tc>
        <w:tc>
          <w:tcPr>
            <w:tcW w:w="157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酵素澄清剂</w:t>
            </w:r>
          </w:p>
        </w:tc>
        <w:tc>
          <w:tcPr>
            <w:tcW w:w="4455" w:type="dxa"/>
            <w:vAlign w:val="center"/>
          </w:tcPr>
          <w:p>
            <w:pPr>
              <w:pStyle w:val="8"/>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460" w:lineRule="exact"/>
              <w:ind w:right="0"/>
              <w:jc w:val="both"/>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液态，950ml/瓶；</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right="0" w:rightChars="0"/>
              <w:jc w:val="both"/>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2.</w:t>
            </w:r>
            <w:r>
              <w:rPr>
                <w:rFonts w:hint="eastAsia" w:ascii="宋体" w:hAnsi="宋体" w:eastAsia="宋体" w:cs="宋体"/>
                <w:b/>
                <w:bCs/>
                <w:color w:val="000000" w:themeColor="text1"/>
                <w:kern w:val="0"/>
                <w:sz w:val="24"/>
                <w14:textFill>
                  <w14:solidFill>
                    <w14:schemeClr w14:val="tx1"/>
                  </w14:solidFill>
                </w14:textFill>
              </w:rPr>
              <w:t>须提供具有检验检测机构资质的机构出具的有效</w:t>
            </w:r>
            <w:r>
              <w:rPr>
                <w:rFonts w:hint="eastAsia" w:ascii="宋体" w:hAnsi="宋体" w:eastAsia="宋体" w:cs="宋体"/>
                <w:b/>
                <w:bCs/>
                <w:color w:val="000000" w:themeColor="text1"/>
                <w:kern w:val="0"/>
                <w:sz w:val="24"/>
                <w:lang w:val="en-US" w:eastAsia="zh-CN"/>
                <w14:textFill>
                  <w14:solidFill>
                    <w14:schemeClr w14:val="tx1"/>
                  </w14:solidFill>
                </w14:textFill>
              </w:rPr>
              <w:t>药品</w:t>
            </w:r>
            <w:r>
              <w:rPr>
                <w:rFonts w:hint="eastAsia" w:ascii="宋体" w:hAnsi="宋体" w:eastAsia="宋体" w:cs="宋体"/>
                <w:b/>
                <w:bCs/>
                <w:color w:val="000000" w:themeColor="text1"/>
                <w:kern w:val="0"/>
                <w:sz w:val="24"/>
                <w14:textFill>
                  <w14:solidFill>
                    <w14:schemeClr w14:val="tx1"/>
                  </w14:solidFill>
                </w14:textFill>
              </w:rPr>
              <w:t>检验检测报告复印件</w:t>
            </w:r>
            <w:r>
              <w:rPr>
                <w:rFonts w:hint="eastAsia" w:ascii="宋体" w:hAnsi="宋体" w:eastAsia="宋体" w:cs="宋体"/>
                <w:b/>
                <w:bCs/>
                <w:color w:val="000000" w:themeColor="text1"/>
                <w:kern w:val="0"/>
                <w:sz w:val="24"/>
                <w:lang w:eastAsia="zh-CN"/>
                <w14:textFill>
                  <w14:solidFill>
                    <w14:schemeClr w14:val="tx1"/>
                  </w14:solidFill>
                </w14:textFill>
              </w:rPr>
              <w:t>，检测报告上须体现“</w:t>
            </w:r>
            <w:r>
              <w:rPr>
                <w:rFonts w:hint="eastAsia" w:ascii="宋体" w:hAnsi="宋体" w:eastAsia="宋体" w:cs="宋体"/>
                <w:b/>
                <w:bCs/>
                <w:color w:val="000000" w:themeColor="text1"/>
                <w:kern w:val="0"/>
                <w:sz w:val="24"/>
                <w:lang w:val="en-US" w:eastAsia="zh-CN"/>
                <w14:textFill>
                  <w14:solidFill>
                    <w14:schemeClr w14:val="tx1"/>
                  </w14:solidFill>
                </w14:textFill>
              </w:rPr>
              <w:t>CMA</w:t>
            </w:r>
            <w:r>
              <w:rPr>
                <w:rFonts w:hint="eastAsia" w:ascii="宋体" w:hAnsi="宋体" w:eastAsia="宋体" w:cs="宋体"/>
                <w:b/>
                <w:bCs/>
                <w:color w:val="000000" w:themeColor="text1"/>
                <w:kern w:val="0"/>
                <w:sz w:val="24"/>
                <w:lang w:eastAsia="zh-CN"/>
                <w14:textFill>
                  <w14:solidFill>
                    <w14:schemeClr w14:val="tx1"/>
                  </w14:solidFill>
                </w14:textFill>
              </w:rPr>
              <w:t>”标志；</w:t>
            </w:r>
          </w:p>
        </w:tc>
        <w:tc>
          <w:tcPr>
            <w:tcW w:w="124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80元/瓶</w:t>
            </w:r>
          </w:p>
        </w:tc>
        <w:tc>
          <w:tcPr>
            <w:tcW w:w="88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20瓶</w:t>
            </w:r>
          </w:p>
        </w:tc>
        <w:tc>
          <w:tcPr>
            <w:tcW w:w="121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6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2</w:t>
            </w:r>
          </w:p>
        </w:tc>
        <w:tc>
          <w:tcPr>
            <w:tcW w:w="157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三氯异氰尿酸（速溶）</w:t>
            </w:r>
          </w:p>
        </w:tc>
        <w:tc>
          <w:tcPr>
            <w:tcW w:w="445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1.50KG/桶，含量50%；</w:t>
            </w:r>
          </w:p>
          <w:p>
            <w:pPr>
              <w:pStyle w:val="9"/>
              <w:numPr>
                <w:ilvl w:val="0"/>
                <w:numId w:val="1"/>
              </w:numPr>
              <w:ind w:left="0" w:leftChars="0" w:firstLine="0" w:firstLineChars="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须提供具有检验检测机构资质的机构出具的有效药品检验检测报告复印件</w:t>
            </w:r>
            <w:r>
              <w:rPr>
                <w:rFonts w:hint="eastAsia" w:ascii="宋体" w:hAnsi="宋体" w:eastAsia="宋体" w:cs="宋体"/>
                <w:b/>
                <w:bCs/>
                <w:color w:val="000000" w:themeColor="text1"/>
                <w:kern w:val="0"/>
                <w:sz w:val="24"/>
                <w:lang w:eastAsia="zh-CN"/>
                <w14:textFill>
                  <w14:solidFill>
                    <w14:schemeClr w14:val="tx1"/>
                  </w14:solidFill>
                </w14:textFill>
              </w:rPr>
              <w:t>，检测报告上须体现“</w:t>
            </w:r>
            <w:r>
              <w:rPr>
                <w:rFonts w:hint="eastAsia" w:ascii="宋体" w:hAnsi="宋体" w:eastAsia="宋体" w:cs="宋体"/>
                <w:b/>
                <w:bCs/>
                <w:color w:val="000000" w:themeColor="text1"/>
                <w:kern w:val="0"/>
                <w:sz w:val="24"/>
                <w:lang w:val="en-US" w:eastAsia="zh-CN"/>
                <w14:textFill>
                  <w14:solidFill>
                    <w14:schemeClr w14:val="tx1"/>
                  </w14:solidFill>
                </w14:textFill>
              </w:rPr>
              <w:t>CMA</w:t>
            </w:r>
            <w:r>
              <w:rPr>
                <w:rFonts w:hint="eastAsia" w:ascii="宋体" w:hAnsi="宋体" w:eastAsia="宋体" w:cs="宋体"/>
                <w:b/>
                <w:bCs/>
                <w:color w:val="000000" w:themeColor="text1"/>
                <w:kern w:val="0"/>
                <w:sz w:val="24"/>
                <w:lang w:eastAsia="zh-CN"/>
                <w14:textFill>
                  <w14:solidFill>
                    <w14:schemeClr w14:val="tx1"/>
                  </w14:solidFill>
                </w14:textFill>
              </w:rPr>
              <w:t>”标志；</w:t>
            </w:r>
          </w:p>
          <w:p>
            <w:pPr>
              <w:pStyle w:val="9"/>
              <w:numPr>
                <w:ilvl w:val="0"/>
                <w:numId w:val="0"/>
              </w:numPr>
              <w:ind w:leftChars="0"/>
              <w:rPr>
                <w:rFonts w:hint="eastAsia" w:ascii="宋体" w:hAnsi="宋体" w:eastAsia="宋体" w:cs="宋体"/>
                <w:b/>
                <w:bCs w:val="0"/>
                <w:color w:val="000000" w:themeColor="text1"/>
                <w:kern w:val="2"/>
                <w:sz w:val="24"/>
                <w:szCs w:val="22"/>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2"/>
                <w:lang w:val="en-US" w:eastAsia="zh-CN" w:bidi="ar-SA"/>
                <w14:textFill>
                  <w14:solidFill>
                    <w14:schemeClr w14:val="tx1"/>
                  </w14:solidFill>
                </w14:textFill>
              </w:rPr>
              <w:t>3.须提供产品生产企业卫生许可证和危险化学品经营许可证复印件；</w:t>
            </w:r>
          </w:p>
          <w:p>
            <w:pPr>
              <w:pStyle w:val="9"/>
              <w:numPr>
                <w:ilvl w:val="0"/>
                <w:numId w:val="0"/>
              </w:numPr>
              <w:ind w:leftChars="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kern w:val="2"/>
                <w:sz w:val="24"/>
                <w:szCs w:val="22"/>
                <w:lang w:val="en-US" w:eastAsia="zh-CN" w:bidi="ar-SA"/>
                <w14:textFill>
                  <w14:solidFill>
                    <w14:schemeClr w14:val="tx1"/>
                  </w14:solidFill>
                </w14:textFill>
              </w:rPr>
              <w:t>4.须提供产品的MSDS文件。</w:t>
            </w:r>
          </w:p>
        </w:tc>
        <w:tc>
          <w:tcPr>
            <w:tcW w:w="124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630元/桶</w:t>
            </w:r>
          </w:p>
        </w:tc>
        <w:tc>
          <w:tcPr>
            <w:tcW w:w="88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42桶</w:t>
            </w:r>
          </w:p>
        </w:tc>
        <w:tc>
          <w:tcPr>
            <w:tcW w:w="121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26460元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6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3</w:t>
            </w:r>
          </w:p>
        </w:tc>
        <w:tc>
          <w:tcPr>
            <w:tcW w:w="157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硅藻土</w:t>
            </w:r>
          </w:p>
        </w:tc>
        <w:tc>
          <w:tcPr>
            <w:tcW w:w="4455" w:type="dxa"/>
            <w:vAlign w:val="center"/>
          </w:tcPr>
          <w:p>
            <w:pPr>
              <w:pStyle w:val="8"/>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460" w:lineRule="exact"/>
              <w:ind w:right="0"/>
              <w:jc w:val="both"/>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食品级，20KG/包；</w:t>
            </w:r>
          </w:p>
          <w:p>
            <w:pPr>
              <w:pStyle w:val="8"/>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须提供具有检验检测机构资质的机构出具的有效药品检验检测报告复印件</w:t>
            </w:r>
            <w:r>
              <w:rPr>
                <w:rFonts w:hint="eastAsia" w:ascii="宋体" w:hAnsi="宋体" w:eastAsia="宋体" w:cs="宋体"/>
                <w:b/>
                <w:bCs/>
                <w:color w:val="000000" w:themeColor="text1"/>
                <w:kern w:val="0"/>
                <w:sz w:val="24"/>
                <w:lang w:eastAsia="zh-CN"/>
                <w14:textFill>
                  <w14:solidFill>
                    <w14:schemeClr w14:val="tx1"/>
                  </w14:solidFill>
                </w14:textFill>
              </w:rPr>
              <w:t>，检测报告上须体现“</w:t>
            </w:r>
            <w:r>
              <w:rPr>
                <w:rFonts w:hint="eastAsia" w:ascii="宋体" w:hAnsi="宋体" w:eastAsia="宋体" w:cs="宋体"/>
                <w:b/>
                <w:bCs/>
                <w:color w:val="000000" w:themeColor="text1"/>
                <w:kern w:val="0"/>
                <w:sz w:val="24"/>
                <w:lang w:val="en-US" w:eastAsia="zh-CN"/>
                <w14:textFill>
                  <w14:solidFill>
                    <w14:schemeClr w14:val="tx1"/>
                  </w14:solidFill>
                </w14:textFill>
              </w:rPr>
              <w:t>CMA</w:t>
            </w:r>
            <w:r>
              <w:rPr>
                <w:rFonts w:hint="eastAsia" w:ascii="宋体" w:hAnsi="宋体" w:eastAsia="宋体" w:cs="宋体"/>
                <w:b/>
                <w:bCs/>
                <w:color w:val="000000" w:themeColor="text1"/>
                <w:kern w:val="0"/>
                <w:sz w:val="24"/>
                <w:lang w:eastAsia="zh-CN"/>
                <w14:textFill>
                  <w14:solidFill>
                    <w14:schemeClr w14:val="tx1"/>
                  </w14:solidFill>
                </w14:textFill>
              </w:rPr>
              <w:t>”标志；</w:t>
            </w:r>
          </w:p>
        </w:tc>
        <w:tc>
          <w:tcPr>
            <w:tcW w:w="124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240元/包</w:t>
            </w:r>
          </w:p>
        </w:tc>
        <w:tc>
          <w:tcPr>
            <w:tcW w:w="88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26包</w:t>
            </w:r>
          </w:p>
        </w:tc>
        <w:tc>
          <w:tcPr>
            <w:tcW w:w="121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6240元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4</w:t>
            </w:r>
          </w:p>
        </w:tc>
        <w:tc>
          <w:tcPr>
            <w:tcW w:w="157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三氯异氰尿酸（缓溶）</w:t>
            </w:r>
          </w:p>
        </w:tc>
        <w:tc>
          <w:tcPr>
            <w:tcW w:w="445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both"/>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1.50KG/桶，含量90%；</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both"/>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2.</w:t>
            </w:r>
            <w:r>
              <w:rPr>
                <w:rFonts w:hint="eastAsia" w:ascii="宋体" w:hAnsi="宋体" w:eastAsia="宋体" w:cs="宋体"/>
                <w:b/>
                <w:bCs/>
                <w:color w:val="000000" w:themeColor="text1"/>
                <w:kern w:val="0"/>
                <w:sz w:val="24"/>
                <w14:textFill>
                  <w14:solidFill>
                    <w14:schemeClr w14:val="tx1"/>
                  </w14:solidFill>
                </w14:textFill>
              </w:rPr>
              <w:t>须提供具有检验检测机构资质的机构出具的有效</w:t>
            </w:r>
            <w:r>
              <w:rPr>
                <w:rFonts w:hint="eastAsia" w:ascii="宋体" w:hAnsi="宋体" w:eastAsia="宋体" w:cs="宋体"/>
                <w:b/>
                <w:bCs/>
                <w:color w:val="000000" w:themeColor="text1"/>
                <w:kern w:val="0"/>
                <w:sz w:val="24"/>
                <w:lang w:val="en-US" w:eastAsia="zh-CN"/>
                <w14:textFill>
                  <w14:solidFill>
                    <w14:schemeClr w14:val="tx1"/>
                  </w14:solidFill>
                </w14:textFill>
              </w:rPr>
              <w:t>药品</w:t>
            </w:r>
            <w:r>
              <w:rPr>
                <w:rFonts w:hint="eastAsia" w:ascii="宋体" w:hAnsi="宋体" w:eastAsia="宋体" w:cs="宋体"/>
                <w:b/>
                <w:bCs/>
                <w:color w:val="000000" w:themeColor="text1"/>
                <w:kern w:val="0"/>
                <w:sz w:val="24"/>
                <w14:textFill>
                  <w14:solidFill>
                    <w14:schemeClr w14:val="tx1"/>
                  </w14:solidFill>
                </w14:textFill>
              </w:rPr>
              <w:t>检验检测报告复印件</w:t>
            </w:r>
            <w:r>
              <w:rPr>
                <w:rFonts w:hint="eastAsia" w:ascii="宋体" w:hAnsi="宋体" w:eastAsia="宋体" w:cs="宋体"/>
                <w:b/>
                <w:bCs/>
                <w:color w:val="000000" w:themeColor="text1"/>
                <w:kern w:val="0"/>
                <w:sz w:val="24"/>
                <w:lang w:eastAsia="zh-CN"/>
                <w14:textFill>
                  <w14:solidFill>
                    <w14:schemeClr w14:val="tx1"/>
                  </w14:solidFill>
                </w14:textFill>
              </w:rPr>
              <w:t>，检测报告上须体现“</w:t>
            </w:r>
            <w:r>
              <w:rPr>
                <w:rFonts w:hint="eastAsia" w:ascii="宋体" w:hAnsi="宋体" w:eastAsia="宋体" w:cs="宋体"/>
                <w:b/>
                <w:bCs/>
                <w:color w:val="000000" w:themeColor="text1"/>
                <w:kern w:val="0"/>
                <w:sz w:val="24"/>
                <w:lang w:val="en-US" w:eastAsia="zh-CN"/>
                <w14:textFill>
                  <w14:solidFill>
                    <w14:schemeClr w14:val="tx1"/>
                  </w14:solidFill>
                </w14:textFill>
              </w:rPr>
              <w:t>CMA</w:t>
            </w:r>
            <w:r>
              <w:rPr>
                <w:rFonts w:hint="eastAsia" w:ascii="宋体" w:hAnsi="宋体" w:eastAsia="宋体" w:cs="宋体"/>
                <w:b/>
                <w:bCs/>
                <w:color w:val="000000" w:themeColor="text1"/>
                <w:kern w:val="0"/>
                <w:sz w:val="24"/>
                <w:lang w:eastAsia="zh-CN"/>
                <w14:textFill>
                  <w14:solidFill>
                    <w14:schemeClr w14:val="tx1"/>
                  </w14:solidFill>
                </w14:textFill>
              </w:rPr>
              <w:t>”标志；</w:t>
            </w:r>
          </w:p>
        </w:tc>
        <w:tc>
          <w:tcPr>
            <w:tcW w:w="124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800元/桶</w:t>
            </w:r>
          </w:p>
        </w:tc>
        <w:tc>
          <w:tcPr>
            <w:tcW w:w="88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12桶</w:t>
            </w:r>
          </w:p>
        </w:tc>
        <w:tc>
          <w:tcPr>
            <w:tcW w:w="121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9600元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925" w:type="dxa"/>
            <w:gridSpan w:val="5"/>
            <w:vAlign w:val="center"/>
          </w:tcPr>
          <w:p>
            <w:pPr>
              <w:pStyle w:val="8"/>
              <w:keepNext w:val="0"/>
              <w:keepLines w:val="0"/>
              <w:pageBreakBefore w:val="0"/>
              <w:widowControl/>
              <w:tabs>
                <w:tab w:val="left" w:pos="5310"/>
              </w:tabs>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总价（含税包干）</w:t>
            </w:r>
          </w:p>
        </w:tc>
        <w:tc>
          <w:tcPr>
            <w:tcW w:w="1215"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vertAlign w:val="baseline"/>
                <w:lang w:val="en-US" w:eastAsia="zh-CN" w:bidi="ar"/>
                <w14:textFill>
                  <w14:solidFill>
                    <w14:schemeClr w14:val="tx1"/>
                  </w14:solidFill>
                </w14:textFill>
              </w:rPr>
              <w:t>43900元</w:t>
            </w:r>
          </w:p>
        </w:tc>
      </w:tr>
    </w:tbl>
    <w:p>
      <w:pPr>
        <w:spacing w:line="360" w:lineRule="auto"/>
        <w:jc w:val="left"/>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注：</w:t>
      </w:r>
      <w:r>
        <w:rPr>
          <w:rFonts w:hint="eastAsia" w:ascii="宋体" w:hAnsi="宋体" w:cs="宋体"/>
          <w:b w:val="0"/>
          <w:bCs/>
          <w:color w:val="000000" w:themeColor="text1"/>
          <w:sz w:val="24"/>
          <w:lang w:eastAsia="zh-CN"/>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采购的所有药剂均为合格产品且在供货时</w:t>
      </w:r>
      <w:r>
        <w:rPr>
          <w:rFonts w:hint="eastAsia" w:ascii="宋体" w:hAnsi="宋体" w:cs="宋体"/>
          <w:b w:val="0"/>
          <w:bCs/>
          <w:color w:val="000000" w:themeColor="text1"/>
          <w:sz w:val="24"/>
          <w:lang w:val="en-US" w:eastAsia="zh-CN"/>
          <w14:textFill>
            <w14:solidFill>
              <w14:schemeClr w14:val="tx1"/>
            </w14:solidFill>
          </w14:textFill>
        </w:rPr>
        <w:t>提供上述带有</w:t>
      </w:r>
      <w:r>
        <w:rPr>
          <w:rFonts w:hint="eastAsia" w:ascii="宋体" w:hAnsi="宋体" w:eastAsia="宋体" w:cs="宋体"/>
          <w:b w:val="0"/>
          <w:bCs w:val="0"/>
          <w:color w:val="000000" w:themeColor="text1"/>
          <w:kern w:val="0"/>
          <w:sz w:val="24"/>
          <w:lang w:eastAsia="zh-CN"/>
          <w14:textFill>
            <w14:solidFill>
              <w14:schemeClr w14:val="tx1"/>
            </w14:solidFill>
          </w14:textFill>
        </w:rPr>
        <w:t>“</w:t>
      </w:r>
      <w:r>
        <w:rPr>
          <w:rFonts w:hint="eastAsia" w:ascii="宋体" w:hAnsi="宋体" w:eastAsia="宋体" w:cs="宋体"/>
          <w:b w:val="0"/>
          <w:bCs w:val="0"/>
          <w:color w:val="000000" w:themeColor="text1"/>
          <w:kern w:val="0"/>
          <w:sz w:val="24"/>
          <w:lang w:val="en-US" w:eastAsia="zh-CN"/>
          <w14:textFill>
            <w14:solidFill>
              <w14:schemeClr w14:val="tx1"/>
            </w14:solidFill>
          </w14:textFill>
        </w:rPr>
        <w:t>CMA</w:t>
      </w:r>
      <w:r>
        <w:rPr>
          <w:rFonts w:hint="eastAsia" w:ascii="宋体" w:hAnsi="宋体" w:eastAsia="宋体" w:cs="宋体"/>
          <w:b w:val="0"/>
          <w:bCs w:val="0"/>
          <w:color w:val="000000" w:themeColor="text1"/>
          <w:kern w:val="0"/>
          <w:sz w:val="24"/>
          <w:lang w:eastAsia="zh-CN"/>
          <w14:textFill>
            <w14:solidFill>
              <w14:schemeClr w14:val="tx1"/>
            </w14:solidFill>
          </w14:textFill>
        </w:rPr>
        <w:t>”标志的</w:t>
      </w:r>
      <w:r>
        <w:rPr>
          <w:rFonts w:hint="eastAsia" w:ascii="宋体" w:hAnsi="宋体" w:cs="宋体"/>
          <w:b w:val="0"/>
          <w:bCs/>
          <w:color w:val="000000" w:themeColor="text1"/>
          <w:sz w:val="24"/>
          <w:lang w:val="en-US" w:eastAsia="zh-CN"/>
          <w14:textFill>
            <w14:solidFill>
              <w14:schemeClr w14:val="tx1"/>
            </w14:solidFill>
          </w14:textFill>
        </w:rPr>
        <w:t>检测报告</w:t>
      </w:r>
      <w:r>
        <w:rPr>
          <w:rFonts w:hint="eastAsia" w:ascii="宋体" w:hAnsi="宋体" w:cs="宋体"/>
          <w:b w:val="0"/>
          <w:bCs/>
          <w:i w:val="0"/>
          <w:iCs w:val="0"/>
          <w:caps w:val="0"/>
          <w:color w:val="000000" w:themeColor="text1"/>
          <w:spacing w:val="0"/>
          <w:sz w:val="24"/>
          <w:szCs w:val="24"/>
          <w:shd w:val="clear" w:color="auto" w:fill="FFFFFF"/>
          <w:lang w:val="en-US" w:eastAsia="zh-CN"/>
          <w14:textFill>
            <w14:solidFill>
              <w14:schemeClr w14:val="tx1"/>
            </w14:solidFill>
          </w14:textFill>
        </w:rPr>
        <w:t>原件给采购人核对</w:t>
      </w:r>
      <w:r>
        <w:rPr>
          <w:rFonts w:hint="eastAsia" w:ascii="宋体" w:hAnsi="宋体" w:eastAsia="宋体" w:cs="宋体"/>
          <w:b w:val="0"/>
          <w:bCs/>
          <w:color w:val="000000" w:themeColor="text1"/>
          <w:sz w:val="24"/>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否则</w:t>
      </w:r>
      <w:r>
        <w:rPr>
          <w:rFonts w:hint="eastAsia" w:ascii="宋体" w:hAnsi="宋体" w:cs="宋体"/>
          <w:b w:val="0"/>
          <w:bCs/>
          <w:i w:val="0"/>
          <w:iCs w:val="0"/>
          <w:caps w:val="0"/>
          <w:color w:val="000000" w:themeColor="text1"/>
          <w:spacing w:val="0"/>
          <w:sz w:val="24"/>
          <w:szCs w:val="24"/>
          <w:shd w:val="clear" w:color="auto" w:fill="FFFFFF"/>
          <w:lang w:val="en-US" w:eastAsia="zh-CN"/>
          <w14:textFill>
            <w14:solidFill>
              <w14:schemeClr w14:val="tx1"/>
            </w14:solidFill>
          </w14:textFill>
        </w:rPr>
        <w:t>采购人有权</w:t>
      </w:r>
      <w:r>
        <w:rPr>
          <w:rFonts w:hint="eastAsia" w:ascii="宋体" w:hAnsi="宋体" w:eastAsia="宋体" w:cs="宋体"/>
          <w:b w:val="0"/>
          <w:bCs/>
          <w:color w:val="000000" w:themeColor="text1"/>
          <w:sz w:val="24"/>
          <w:lang w:val="en-US" w:eastAsia="zh-CN"/>
          <w14:textFill>
            <w14:solidFill>
              <w14:schemeClr w14:val="tx1"/>
            </w14:solidFill>
          </w14:textFill>
        </w:rPr>
        <w:t>视为</w:t>
      </w:r>
      <w:r>
        <w:rPr>
          <w:rFonts w:hint="eastAsia" w:ascii="宋体" w:hAnsi="宋体" w:cs="宋体"/>
          <w:b w:val="0"/>
          <w:bCs/>
          <w:color w:val="000000" w:themeColor="text1"/>
          <w:sz w:val="24"/>
          <w:lang w:val="en-US" w:eastAsia="zh-CN"/>
          <w14:textFill>
            <w14:solidFill>
              <w14:schemeClr w14:val="tx1"/>
            </w14:solidFill>
          </w14:textFill>
        </w:rPr>
        <w:t>所供产品为</w:t>
      </w:r>
      <w:r>
        <w:rPr>
          <w:rFonts w:hint="eastAsia" w:ascii="宋体" w:hAnsi="宋体" w:eastAsia="宋体" w:cs="宋体"/>
          <w:b w:val="0"/>
          <w:bCs/>
          <w:color w:val="000000" w:themeColor="text1"/>
          <w:sz w:val="24"/>
          <w:lang w:val="en-US" w:eastAsia="zh-CN"/>
          <w14:textFill>
            <w14:solidFill>
              <w14:schemeClr w14:val="tx1"/>
            </w14:solidFill>
          </w14:textFill>
        </w:rPr>
        <w:t>不合格品，</w:t>
      </w:r>
      <w:r>
        <w:rPr>
          <w:rFonts w:hint="eastAsia" w:ascii="宋体" w:hAnsi="宋体" w:cs="宋体"/>
          <w:b w:val="0"/>
          <w:bCs/>
          <w:color w:val="000000" w:themeColor="text1"/>
          <w:sz w:val="24"/>
          <w:lang w:val="en-US" w:eastAsia="zh-CN"/>
          <w14:textFill>
            <w14:solidFill>
              <w14:schemeClr w14:val="tx1"/>
            </w14:solidFill>
          </w14:textFill>
        </w:rPr>
        <w:t>采购</w:t>
      </w:r>
      <w:r>
        <w:rPr>
          <w:rFonts w:hint="eastAsia" w:ascii="宋体" w:hAnsi="宋体" w:eastAsia="宋体" w:cs="宋体"/>
          <w:b w:val="0"/>
          <w:bCs/>
          <w:color w:val="000000" w:themeColor="text1"/>
          <w:sz w:val="24"/>
          <w:lang w:val="en-US" w:eastAsia="zh-CN"/>
          <w14:textFill>
            <w14:solidFill>
              <w14:schemeClr w14:val="tx1"/>
            </w14:solidFill>
          </w14:textFill>
        </w:rPr>
        <w:t>人有权要求退换货，</w:t>
      </w:r>
      <w:r>
        <w:rPr>
          <w:rFonts w:hint="eastAsia" w:ascii="宋体" w:hAnsi="宋体" w:eastAsia="宋体" w:cs="宋体"/>
          <w:b w:val="0"/>
          <w:bCs/>
          <w:color w:val="000000" w:themeColor="text1"/>
          <w:sz w:val="24"/>
          <w14:textFill>
            <w14:solidFill>
              <w14:schemeClr w14:val="tx1"/>
            </w14:solidFill>
          </w14:textFill>
        </w:rPr>
        <w:t>因退换货产生的相关费用均由</w:t>
      </w:r>
      <w:r>
        <w:rPr>
          <w:rFonts w:hint="eastAsia" w:ascii="宋体" w:hAnsi="宋体" w:cs="宋体"/>
          <w:b w:val="0"/>
          <w:bCs/>
          <w:color w:val="000000" w:themeColor="text1"/>
          <w:sz w:val="24"/>
          <w:lang w:val="en-US" w:eastAsia="zh-CN"/>
          <w14:textFill>
            <w14:solidFill>
              <w14:schemeClr w14:val="tx1"/>
            </w14:solidFill>
          </w14:textFill>
        </w:rPr>
        <w:t>成交人</w:t>
      </w:r>
      <w:r>
        <w:rPr>
          <w:rFonts w:hint="eastAsia" w:ascii="宋体" w:hAnsi="宋体" w:eastAsia="宋体" w:cs="宋体"/>
          <w:b w:val="0"/>
          <w:bCs/>
          <w:color w:val="000000" w:themeColor="text1"/>
          <w:sz w:val="24"/>
          <w14:textFill>
            <w14:solidFill>
              <w14:schemeClr w14:val="tx1"/>
            </w14:solidFill>
          </w14:textFill>
        </w:rPr>
        <w:t>承担，</w:t>
      </w:r>
      <w:r>
        <w:rPr>
          <w:rFonts w:hint="eastAsia" w:ascii="宋体" w:hAnsi="宋体" w:cs="宋体"/>
          <w:b w:val="0"/>
          <w:bCs/>
          <w:color w:val="000000" w:themeColor="text1"/>
          <w:sz w:val="24"/>
          <w:lang w:val="en-US" w:eastAsia="zh-CN"/>
          <w14:textFill>
            <w14:solidFill>
              <w14:schemeClr w14:val="tx1"/>
            </w14:solidFill>
          </w14:textFill>
        </w:rPr>
        <w:t>采购</w:t>
      </w:r>
      <w:r>
        <w:rPr>
          <w:rFonts w:hint="eastAsia" w:ascii="宋体" w:hAnsi="宋体" w:eastAsia="宋体" w:cs="宋体"/>
          <w:b w:val="0"/>
          <w:bCs/>
          <w:color w:val="000000" w:themeColor="text1"/>
          <w:sz w:val="24"/>
          <w14:textFill>
            <w14:solidFill>
              <w14:schemeClr w14:val="tx1"/>
            </w14:solidFill>
          </w14:textFill>
        </w:rPr>
        <w:t>人有权因此对</w:t>
      </w:r>
      <w:r>
        <w:rPr>
          <w:rFonts w:hint="eastAsia" w:ascii="宋体" w:hAnsi="宋体" w:cs="宋体"/>
          <w:b w:val="0"/>
          <w:bCs/>
          <w:color w:val="000000" w:themeColor="text1"/>
          <w:sz w:val="24"/>
          <w:lang w:val="en-US" w:eastAsia="zh-CN"/>
          <w14:textFill>
            <w14:solidFill>
              <w14:schemeClr w14:val="tx1"/>
            </w14:solidFill>
          </w14:textFill>
        </w:rPr>
        <w:t>成交</w:t>
      </w:r>
      <w:r>
        <w:rPr>
          <w:rFonts w:hint="eastAsia" w:ascii="宋体" w:hAnsi="宋体" w:eastAsia="宋体" w:cs="宋体"/>
          <w:b w:val="0"/>
          <w:bCs/>
          <w:color w:val="000000" w:themeColor="text1"/>
          <w:sz w:val="24"/>
          <w14:textFill>
            <w14:solidFill>
              <w14:schemeClr w14:val="tx1"/>
            </w14:solidFill>
          </w14:textFill>
        </w:rPr>
        <w:t>人追究赔偿责任。</w:t>
      </w:r>
    </w:p>
    <w:p>
      <w:pPr>
        <w:spacing w:line="360" w:lineRule="auto"/>
        <w:jc w:val="left"/>
        <w:rPr>
          <w:rFonts w:hint="eastAsia" w:ascii="宋体" w:hAnsi="宋体" w:eastAsia="宋体" w:cs="宋体"/>
          <w:b w:val="0"/>
          <w:bCs/>
          <w:color w:val="FF0000"/>
          <w:sz w:val="24"/>
          <w:lang w:val="en-US" w:eastAsia="zh-CN"/>
        </w:rPr>
      </w:pPr>
      <w:r>
        <w:rPr>
          <w:rFonts w:hint="eastAsia" w:ascii="宋体" w:hAnsi="宋体" w:cs="宋体"/>
          <w:b w:val="0"/>
          <w:bCs/>
          <w:color w:val="000000" w:themeColor="text1"/>
          <w:sz w:val="24"/>
          <w:lang w:val="en-US" w:eastAsia="zh-CN"/>
          <w14:textFill>
            <w14:solidFill>
              <w14:schemeClr w14:val="tx1"/>
            </w14:solidFill>
          </w14:textFill>
        </w:rPr>
        <w:t>（2）</w:t>
      </w:r>
      <w:r>
        <w:rPr>
          <w:rFonts w:hint="eastAsia" w:ascii="宋体" w:hAnsi="宋体" w:eastAsia="宋体" w:cs="宋体"/>
          <w:b w:val="0"/>
          <w:bCs/>
          <w:color w:val="000000" w:themeColor="text1"/>
          <w:sz w:val="24"/>
          <w:lang w:val="en-US" w:eastAsia="zh-CN"/>
          <w14:textFill>
            <w14:solidFill>
              <w14:schemeClr w14:val="tx1"/>
            </w14:solidFill>
          </w14:textFill>
        </w:rPr>
        <w:t>在采购人使用药剂产品后1个月内，</w:t>
      </w:r>
      <w:r>
        <w:rPr>
          <w:rFonts w:hint="eastAsia" w:ascii="宋体" w:hAnsi="宋体" w:cs="宋体"/>
          <w:b w:val="0"/>
          <w:bCs/>
          <w:color w:val="000000" w:themeColor="text1"/>
          <w:sz w:val="24"/>
          <w:lang w:val="en-US" w:eastAsia="zh-CN"/>
          <w14:textFill>
            <w14:solidFill>
              <w14:schemeClr w14:val="tx1"/>
            </w14:solidFill>
          </w14:textFill>
        </w:rPr>
        <w:t>成交</w:t>
      </w:r>
      <w:r>
        <w:rPr>
          <w:rFonts w:hint="eastAsia" w:ascii="宋体" w:hAnsi="宋体" w:eastAsia="宋体" w:cs="宋体"/>
          <w:b w:val="0"/>
          <w:bCs/>
          <w:color w:val="000000" w:themeColor="text1"/>
          <w:sz w:val="24"/>
          <w14:textFill>
            <w14:solidFill>
              <w14:schemeClr w14:val="tx1"/>
            </w14:solidFill>
          </w14:textFill>
        </w:rPr>
        <w:t>人</w:t>
      </w:r>
      <w:r>
        <w:rPr>
          <w:rFonts w:hint="eastAsia" w:ascii="宋体" w:hAnsi="宋体" w:eastAsia="宋体" w:cs="宋体"/>
          <w:b w:val="0"/>
          <w:bCs/>
          <w:color w:val="000000" w:themeColor="text1"/>
          <w:sz w:val="24"/>
          <w:lang w:val="en-US" w:eastAsia="zh-CN"/>
          <w14:textFill>
            <w14:solidFill>
              <w14:schemeClr w14:val="tx1"/>
            </w14:solidFill>
          </w14:textFill>
        </w:rPr>
        <w:t>需免费上门1次进行水质专业检测</w:t>
      </w:r>
      <w:r>
        <w:rPr>
          <w:rFonts w:hint="eastAsia" w:ascii="宋体" w:hAnsi="宋体" w:cs="宋体"/>
          <w:b w:val="0"/>
          <w:bCs/>
          <w:color w:val="000000" w:themeColor="text1"/>
          <w:sz w:val="24"/>
          <w:lang w:val="en-US"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检测方法为：</w:t>
      </w:r>
      <w:r>
        <w:rPr>
          <w:rFonts w:hint="eastAsia" w:ascii="宋体" w:hAnsi="宋体"/>
          <w:color w:val="000000" w:themeColor="text1"/>
          <w:sz w:val="24"/>
          <w:szCs w:val="24"/>
          <w:u w:val="none"/>
          <w:lang w:val="en-US" w:eastAsia="zh-CN"/>
          <w14:textFill>
            <w14:solidFill>
              <w14:schemeClr w14:val="tx1"/>
            </w14:solidFill>
          </w14:textFill>
        </w:rPr>
        <w:t>酚红法、光度比色法；</w:t>
      </w:r>
      <w:r>
        <w:rPr>
          <w:rFonts w:hint="eastAsia" w:ascii="宋体" w:hAnsi="宋体" w:eastAsia="宋体" w:cs="宋体"/>
          <w:b w:val="0"/>
          <w:bCs/>
          <w:color w:val="000000" w:themeColor="text1"/>
          <w:sz w:val="24"/>
          <w:lang w:val="en-US" w:eastAsia="zh-CN"/>
          <w14:textFill>
            <w14:solidFill>
              <w14:schemeClr w14:val="tx1"/>
            </w14:solidFill>
          </w14:textFill>
        </w:rPr>
        <w:t>内容包括：</w:t>
      </w:r>
      <w: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t>余氯/总氯/化合氯/PH/氰尿酸/尿素/ORP/水温等泳池水质指标，</w:t>
      </w:r>
      <w:r>
        <w:rPr>
          <w:rFonts w:hint="eastAsia" w:ascii="宋体" w:hAnsi="宋体" w:eastAsia="宋体" w:cs="宋体"/>
          <w:b w:val="0"/>
          <w:bCs/>
          <w:color w:val="000000" w:themeColor="text1"/>
          <w:sz w:val="24"/>
          <w:szCs w:val="24"/>
          <w:lang w:val="en-US" w:eastAsia="zh-CN"/>
          <w14:textFill>
            <w14:solidFill>
              <w14:schemeClr w14:val="tx1"/>
            </w14:solidFill>
          </w14:textFill>
        </w:rPr>
        <w:t>并提供水质处理具体实施书面方案。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heme="minorEastAsia" w:hAnsiTheme="minorEastAsia" w:eastAsiaTheme="minorEastAsia" w:cstheme="minorEastAsia"/>
          <w:b w:val="0"/>
          <w:bCs w:val="0"/>
          <w:color w:val="auto"/>
          <w:kern w:val="2"/>
          <w:sz w:val="24"/>
          <w:szCs w:val="24"/>
          <w:shd w:val="clear"/>
          <w:lang w:val="en-US" w:eastAsia="zh-CN" w:bidi="ar-SA"/>
        </w:rPr>
      </w:pPr>
      <w:r>
        <w:rPr>
          <w:rFonts w:hint="eastAsia" w:asciiTheme="minorEastAsia" w:hAnsiTheme="minorEastAsia" w:eastAsiaTheme="minorEastAsia" w:cstheme="minorEastAsia"/>
          <w:b w:val="0"/>
          <w:bCs w:val="0"/>
          <w:color w:val="auto"/>
          <w:kern w:val="2"/>
          <w:sz w:val="24"/>
          <w:szCs w:val="24"/>
          <w:shd w:val="clear"/>
          <w:lang w:val="en-US" w:eastAsia="zh-CN" w:bidi="ar-SA"/>
        </w:rPr>
        <w:t>4.交付时间：合同签订后15日内完成交付全部货物。</w:t>
      </w:r>
    </w:p>
    <w:p>
      <w:pPr>
        <w:spacing w:line="360" w:lineRule="auto"/>
        <w:ind w:firstLine="480" w:firstLineChars="200"/>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5.供货要求：成交人根据与采购人签订的《采购合同》完成供货。</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w:t>
      </w:r>
      <w:r>
        <w:rPr>
          <w:rFonts w:hint="eastAsia" w:ascii="宋体" w:hAnsi="宋体" w:cs="宋体"/>
          <w:i w:val="0"/>
          <w:iCs w:val="0"/>
          <w:caps w:val="0"/>
          <w:color w:val="auto"/>
          <w:spacing w:val="0"/>
          <w:kern w:val="0"/>
          <w:sz w:val="24"/>
          <w:szCs w:val="24"/>
          <w:highlight w:val="none"/>
          <w:shd w:val="clear" w:color="auto" w:fill="FFFFFF"/>
          <w:lang w:val="en-US" w:eastAsia="zh-CN" w:bidi="ar"/>
        </w:rPr>
        <w:t>交付条件：按照国家相关标准、行业标准及竞价文件要求执行。</w:t>
      </w:r>
      <w:r>
        <w:rPr>
          <w:rFonts w:hint="eastAsia" w:asciiTheme="minorEastAsia" w:hAnsiTheme="minorEastAsia" w:eastAsiaTheme="minorEastAsia" w:cstheme="minorEastAsia"/>
          <w:b w:val="0"/>
          <w:bCs w:val="0"/>
          <w:color w:val="auto"/>
          <w:kern w:val="2"/>
          <w:sz w:val="24"/>
          <w:szCs w:val="24"/>
          <w:shd w:val="clear"/>
          <w:lang w:val="en-US" w:eastAsia="zh-CN"/>
        </w:rPr>
        <w:t>。</w:t>
      </w:r>
    </w:p>
    <w:p>
      <w:pPr>
        <w:spacing w:line="360" w:lineRule="auto"/>
        <w:ind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7.服务承诺及结算方式：具体根据双方签订的《采购合同》约定履行。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8.最高控制限价：43900元。竞价人以总价报价方式进行报价。最高控制限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1.竞价者必须遵守中华人民共和国法律、法规，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能够提供本竞价文件所述货物及服务的境内供应商</w:t>
      </w:r>
      <w:r>
        <w:rPr>
          <w:rFonts w:hint="eastAsia" w:asciiTheme="minorEastAsia" w:hAnsiTheme="minorEastAsia" w:eastAsiaTheme="minorEastAsia" w:cstheme="minorEastAsia"/>
          <w:b w:val="0"/>
          <w:bCs w:val="0"/>
          <w:color w:val="auto"/>
          <w:sz w:val="24"/>
          <w:szCs w:val="24"/>
          <w:shd w:val="clear"/>
        </w:rPr>
        <w:t>（失信被执行人除外）。</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800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2024年3月15日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widowControl/>
        <w:shd w:val="clear"/>
        <w:snapToGrid/>
        <w:spacing w:before="0" w:line="520" w:lineRule="exact"/>
        <w:ind w:left="0" w:firstLine="482" w:firstLineChars="200"/>
        <w:rPr>
          <w:rFonts w:hint="eastAsia" w:eastAsia="宋体" w:asciiTheme="minorEastAsia" w:hAnsiTheme="minorEastAsia" w:cstheme="minorEastAsia"/>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宋体" w:hAnsi="宋体" w:eastAsia="宋体" w:cs="宋体"/>
          <w:b/>
          <w:bCs/>
          <w:color w:val="000000" w:themeColor="text1"/>
          <w:kern w:val="0"/>
          <w:sz w:val="24"/>
          <w14:textFill>
            <w14:solidFill>
              <w14:schemeClr w14:val="tx1"/>
            </w14:solidFill>
          </w14:textFill>
        </w:rPr>
        <w:t>检验检测报告</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许可证书和</w:t>
      </w:r>
      <w:r>
        <w:rPr>
          <w:rFonts w:hint="eastAsia" w:ascii="宋体" w:hAnsi="宋体" w:eastAsia="宋体" w:cs="宋体"/>
          <w:b/>
          <w:bCs w:val="0"/>
          <w:color w:val="000000" w:themeColor="text1"/>
          <w:kern w:val="2"/>
          <w:sz w:val="24"/>
          <w:szCs w:val="22"/>
          <w:lang w:val="en-US" w:eastAsia="zh-CN" w:bidi="ar-SA"/>
          <w14:textFill>
            <w14:solidFill>
              <w14:schemeClr w14:val="tx1"/>
            </w14:solidFill>
          </w14:textFill>
        </w:rPr>
        <w:t>MSDS文件</w:t>
      </w:r>
      <w:r>
        <w:rPr>
          <w:rFonts w:hint="eastAsia" w:ascii="宋体" w:hAnsi="宋体" w:cs="宋体"/>
          <w:b/>
          <w:bCs w:val="0"/>
          <w:color w:val="000000" w:themeColor="text1"/>
          <w:kern w:val="2"/>
          <w:sz w:val="24"/>
          <w:szCs w:val="22"/>
          <w:lang w:val="en-US" w:eastAsia="zh-CN" w:bidi="ar-SA"/>
          <w14:textFill>
            <w14:solidFill>
              <w14:schemeClr w14:val="tx1"/>
            </w14:solidFill>
          </w14:textFill>
        </w:rPr>
        <w:t>等</w:t>
      </w:r>
      <w:bookmarkStart w:id="0" w:name="_GoBack"/>
      <w:bookmarkEnd w:id="0"/>
      <w:r>
        <w:rPr>
          <w:rFonts w:hint="eastAsia" w:ascii="宋体" w:hAnsi="宋体" w:eastAsia="宋体" w:cs="宋体"/>
          <w:b/>
          <w:bCs/>
          <w:color w:val="000000" w:themeColor="text1"/>
          <w:kern w:val="0"/>
          <w:sz w:val="24"/>
          <w14:textFill>
            <w14:solidFill>
              <w14:schemeClr w14:val="tx1"/>
            </w14:solidFill>
          </w14:textFill>
        </w:rPr>
        <w:t>复印件</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具体详见采购清单</w:t>
      </w:r>
      <w:r>
        <w:rPr>
          <w:rFonts w:hint="eastAsia" w:ascii="宋体" w:hAnsi="宋体" w:cs="宋体"/>
          <w:b/>
          <w:bCs/>
          <w:color w:val="000000" w:themeColor="text1"/>
          <w:kern w:val="0"/>
          <w:sz w:val="24"/>
          <w:lang w:eastAsia="zh-CN"/>
          <w14:textFill>
            <w14:solidFill>
              <w14:schemeClr w14:val="tx1"/>
            </w14:solidFill>
          </w14:textFill>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43900元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43900元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43900元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0" w:firstLineChars="200"/>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3.</w:t>
      </w:r>
      <w:r>
        <w:rPr>
          <w:rFonts w:hint="eastAsia" w:ascii="宋体" w:hAnsi="宋体" w:eastAsia="宋体" w:cs="宋体"/>
          <w:b w:val="0"/>
          <w:bCs w:val="0"/>
          <w:color w:val="auto"/>
          <w:kern w:val="0"/>
          <w:sz w:val="24"/>
          <w:highlight w:val="none"/>
          <w:lang w:eastAsia="zh-CN"/>
        </w:rPr>
        <w:t>合同签订并</w:t>
      </w:r>
      <w:r>
        <w:rPr>
          <w:rFonts w:hint="eastAsia" w:ascii="宋体" w:hAnsi="宋体" w:eastAsia="宋体" w:cs="宋体"/>
          <w:b w:val="0"/>
          <w:bCs w:val="0"/>
          <w:color w:val="auto"/>
          <w:kern w:val="0"/>
          <w:sz w:val="24"/>
          <w:highlight w:val="none"/>
          <w:lang w:val="zh-CN" w:eastAsia="zh-CN"/>
        </w:rPr>
        <w:t>完成交付全部货物</w:t>
      </w:r>
      <w:r>
        <w:rPr>
          <w:rFonts w:hint="eastAsia" w:ascii="宋体" w:hAnsi="宋体" w:cs="宋体"/>
          <w:b w:val="0"/>
          <w:bCs w:val="0"/>
          <w:color w:val="auto"/>
          <w:kern w:val="0"/>
          <w:sz w:val="24"/>
          <w:highlight w:val="none"/>
          <w:lang w:val="en-US" w:eastAsia="zh-CN"/>
        </w:rPr>
        <w:t>，</w:t>
      </w:r>
      <w:r>
        <w:rPr>
          <w:rFonts w:hint="eastAsia" w:asciiTheme="minorEastAsia" w:hAnsiTheme="minorEastAsia" w:eastAsiaTheme="minorEastAsia" w:cstheme="minorEastAsia"/>
          <w:color w:val="auto"/>
          <w:kern w:val="2"/>
          <w:sz w:val="24"/>
          <w:szCs w:val="24"/>
          <w:lang w:val="en-US" w:eastAsia="zh-CN" w:bidi="ar-SA"/>
        </w:rPr>
        <w:t>委托方</w:t>
      </w:r>
      <w:r>
        <w:rPr>
          <w:rFonts w:hint="eastAsia" w:ascii="宋体" w:hAnsi="宋体" w:cs="宋体"/>
          <w:b w:val="0"/>
          <w:bCs w:val="0"/>
          <w:color w:val="auto"/>
          <w:kern w:val="0"/>
          <w:sz w:val="24"/>
          <w:highlight w:val="none"/>
          <w:lang w:val="en-US" w:eastAsia="zh-CN"/>
        </w:rPr>
        <w:t>验收合格并成交人提供相应票据后15日内支付全部合同价款。</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、特别提示</w:t>
      </w:r>
    </w:p>
    <w:tbl>
      <w:tblPr>
        <w:tblStyle w:val="10"/>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2024年3月12日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ind w:firstLine="88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3月18日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连城县游泳馆药品采购项目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0318</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2"/>
      </w:pPr>
    </w:p>
    <w:p/>
    <w:p>
      <w:pPr>
        <w:pStyle w:val="2"/>
      </w:pPr>
    </w:p>
    <w:p/>
    <w:p>
      <w:pPr>
        <w:pStyle w:val="2"/>
      </w:pPr>
    </w:p>
    <w:p/>
    <w:p>
      <w:pPr>
        <w:pStyle w:val="2"/>
      </w:pPr>
    </w:p>
    <w:p/>
    <w:p>
      <w:pPr>
        <w:pStyle w:val="2"/>
      </w:pPr>
    </w:p>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采购合同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17"/>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3"/>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3"/>
          <w:rFonts w:hint="eastAsia" w:asciiTheme="minorEastAsia" w:hAnsiTheme="minorEastAsia" w:eastAsiaTheme="minorEastAsia" w:cstheme="minorEastAsia"/>
          <w:b/>
          <w:bCs/>
          <w:color w:val="auto"/>
          <w:sz w:val="24"/>
          <w:highlight w:val="none"/>
        </w:rPr>
        <w:t>2、签订合同时，</w:t>
      </w:r>
      <w:r>
        <w:rPr>
          <w:rStyle w:val="13"/>
          <w:rFonts w:hint="eastAsia" w:asciiTheme="minorEastAsia" w:hAnsiTheme="minorEastAsia" w:eastAsiaTheme="minorEastAsia" w:cstheme="minorEastAsia"/>
          <w:b/>
          <w:bCs/>
          <w:color w:val="auto"/>
          <w:sz w:val="24"/>
          <w:highlight w:val="none"/>
          <w:lang w:val="en-US" w:eastAsia="zh-CN"/>
        </w:rPr>
        <w:t>委托方</w:t>
      </w:r>
      <w:r>
        <w:rPr>
          <w:rStyle w:val="13"/>
          <w:rFonts w:hint="eastAsia" w:asciiTheme="minorEastAsia" w:hAnsiTheme="minorEastAsia" w:eastAsiaTheme="minorEastAsia" w:cstheme="minorEastAsia"/>
          <w:b/>
          <w:bCs/>
          <w:color w:val="auto"/>
          <w:sz w:val="24"/>
          <w:highlight w:val="none"/>
        </w:rPr>
        <w:t>与</w:t>
      </w:r>
      <w:r>
        <w:rPr>
          <w:rStyle w:val="13"/>
          <w:rFonts w:hint="eastAsia" w:asciiTheme="minorEastAsia" w:hAnsiTheme="minorEastAsia" w:eastAsiaTheme="minorEastAsia" w:cstheme="minorEastAsia"/>
          <w:b/>
          <w:bCs/>
          <w:color w:val="auto"/>
          <w:sz w:val="24"/>
          <w:highlight w:val="none"/>
          <w:lang w:val="en-US" w:eastAsia="zh-CN"/>
        </w:rPr>
        <w:t>成交人</w:t>
      </w:r>
      <w:r>
        <w:rPr>
          <w:rStyle w:val="13"/>
          <w:rFonts w:hint="eastAsia" w:asciiTheme="minorEastAsia" w:hAnsiTheme="minorEastAsia" w:eastAsiaTheme="minorEastAsia" w:cstheme="minorEastAsia"/>
          <w:b/>
          <w:bCs/>
          <w:color w:val="auto"/>
          <w:sz w:val="24"/>
          <w:highlight w:val="none"/>
        </w:rPr>
        <w:t>应结合</w:t>
      </w:r>
      <w:r>
        <w:rPr>
          <w:rStyle w:val="13"/>
          <w:rFonts w:hint="eastAsia" w:asciiTheme="minorEastAsia" w:hAnsiTheme="minorEastAsia" w:eastAsiaTheme="minorEastAsia" w:cstheme="minorEastAsia"/>
          <w:b/>
          <w:bCs/>
          <w:color w:val="auto"/>
          <w:sz w:val="24"/>
          <w:highlight w:val="none"/>
          <w:lang w:val="en-US" w:eastAsia="zh-CN"/>
        </w:rPr>
        <w:t>竞价文件相关</w:t>
      </w:r>
      <w:r>
        <w:rPr>
          <w:rStyle w:val="13"/>
          <w:rFonts w:hint="eastAsia" w:asciiTheme="minorEastAsia" w:hAnsiTheme="minorEastAsia" w:eastAsiaTheme="minorEastAsia" w:cstheme="minorEastAsia"/>
          <w:b/>
          <w:bCs/>
          <w:color w:val="auto"/>
          <w:sz w:val="24"/>
          <w:highlight w:val="none"/>
        </w:rPr>
        <w:t>规定填列相应内容。</w:t>
      </w:r>
      <w:r>
        <w:rPr>
          <w:rStyle w:val="13"/>
          <w:rFonts w:hint="eastAsia" w:asciiTheme="minorEastAsia" w:hAnsiTheme="minorEastAsia" w:eastAsiaTheme="minorEastAsia" w:cstheme="minorEastAsia"/>
          <w:b/>
          <w:bCs/>
          <w:color w:val="auto"/>
          <w:sz w:val="24"/>
          <w:highlight w:val="none"/>
          <w:lang w:val="en-US" w:eastAsia="zh-CN"/>
        </w:rPr>
        <w:t>竞价文件</w:t>
      </w:r>
      <w:r>
        <w:rPr>
          <w:rStyle w:val="13"/>
          <w:rFonts w:hint="eastAsia" w:asciiTheme="minorEastAsia" w:hAnsiTheme="minorEastAsia" w:eastAsiaTheme="minorEastAsia" w:cstheme="minorEastAsia"/>
          <w:b/>
          <w:bCs/>
          <w:color w:val="auto"/>
          <w:sz w:val="24"/>
          <w:highlight w:val="none"/>
        </w:rPr>
        <w:t>已有规定的，双方均不得变更或调整；</w:t>
      </w:r>
      <w:r>
        <w:rPr>
          <w:rStyle w:val="13"/>
          <w:rFonts w:hint="eastAsia" w:asciiTheme="minorEastAsia" w:hAnsiTheme="minorEastAsia" w:eastAsiaTheme="minorEastAsia" w:cstheme="minorEastAsia"/>
          <w:b/>
          <w:bCs/>
          <w:color w:val="auto"/>
          <w:sz w:val="24"/>
          <w:highlight w:val="none"/>
          <w:lang w:val="en-US" w:eastAsia="zh-CN"/>
        </w:rPr>
        <w:t>竞价文件</w:t>
      </w:r>
      <w:r>
        <w:rPr>
          <w:rStyle w:val="13"/>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3"/>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龙岩福豸企业管理有限公司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pStyle w:val="8"/>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 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项目（以下简称：“本项目”）的招标结果，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p>
    <w:tbl>
      <w:tblPr>
        <w:tblStyle w:val="10"/>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34" w:type="dxa"/>
            <w:noWrap w:val="0"/>
            <w:vAlign w:val="center"/>
          </w:tcPr>
          <w:p>
            <w:pPr>
              <w:spacing w:line="360"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合同标的</w:t>
            </w:r>
          </w:p>
        </w:tc>
        <w:tc>
          <w:tcPr>
            <w:tcW w:w="2465" w:type="dxa"/>
            <w:noWrap w:val="0"/>
            <w:vAlign w:val="center"/>
          </w:tcPr>
          <w:p>
            <w:pPr>
              <w:spacing w:line="360"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734" w:type="dxa"/>
            <w:noWrap w:val="0"/>
            <w:vAlign w:val="center"/>
          </w:tcPr>
          <w:p>
            <w:pPr>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连城县游泳馆药品采购项目</w:t>
            </w:r>
          </w:p>
        </w:tc>
        <w:tc>
          <w:tcPr>
            <w:tcW w:w="2465" w:type="dxa"/>
            <w:noWrap w:val="0"/>
            <w:vAlign w:val="center"/>
          </w:tcPr>
          <w:p>
            <w:pPr>
              <w:spacing w:line="360"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1项</w:t>
            </w:r>
          </w:p>
        </w:tc>
      </w:tr>
    </w:tbl>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其中，分项报价如下：</w:t>
      </w:r>
    </w:p>
    <w:tbl>
      <w:tblPr>
        <w:tblStyle w:val="11"/>
        <w:tblW w:w="10397" w:type="dxa"/>
        <w:tblInd w:w="-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680"/>
        <w:gridCol w:w="1218"/>
        <w:gridCol w:w="1380"/>
        <w:gridCol w:w="1388"/>
        <w:gridCol w:w="1282"/>
        <w:gridCol w:w="150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3"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序号</w:t>
            </w:r>
          </w:p>
        </w:tc>
        <w:tc>
          <w:tcPr>
            <w:tcW w:w="168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药品名称</w:t>
            </w:r>
          </w:p>
        </w:tc>
        <w:tc>
          <w:tcPr>
            <w:tcW w:w="1218"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规格型号</w:t>
            </w:r>
          </w:p>
        </w:tc>
        <w:tc>
          <w:tcPr>
            <w:tcW w:w="138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品牌</w:t>
            </w:r>
          </w:p>
        </w:tc>
        <w:tc>
          <w:tcPr>
            <w:tcW w:w="1388"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生产厂家</w:t>
            </w:r>
          </w:p>
        </w:tc>
        <w:tc>
          <w:tcPr>
            <w:tcW w:w="1282"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单价</w:t>
            </w:r>
          </w:p>
        </w:tc>
        <w:tc>
          <w:tcPr>
            <w:tcW w:w="150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数量</w:t>
            </w:r>
          </w:p>
        </w:tc>
        <w:tc>
          <w:tcPr>
            <w:tcW w:w="1246"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3"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1</w:t>
            </w:r>
          </w:p>
        </w:tc>
        <w:tc>
          <w:tcPr>
            <w:tcW w:w="168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酵素澄清剂</w:t>
            </w:r>
          </w:p>
        </w:tc>
        <w:tc>
          <w:tcPr>
            <w:tcW w:w="1218"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right="0" w:right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38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right="0" w:right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388"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right="0" w:right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282"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50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246"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703"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2</w:t>
            </w:r>
          </w:p>
        </w:tc>
        <w:tc>
          <w:tcPr>
            <w:tcW w:w="168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三氯异氰尿酸（速溶）</w:t>
            </w:r>
          </w:p>
        </w:tc>
        <w:tc>
          <w:tcPr>
            <w:tcW w:w="1218"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sz w:val="24"/>
                <w:szCs w:val="24"/>
                <w:lang w:val="en-US" w:eastAsia="zh-CN"/>
              </w:rPr>
            </w:pPr>
          </w:p>
        </w:tc>
        <w:tc>
          <w:tcPr>
            <w:tcW w:w="138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sz w:val="24"/>
                <w:szCs w:val="24"/>
                <w:lang w:val="en-US" w:eastAsia="zh-CN"/>
              </w:rPr>
            </w:pPr>
          </w:p>
        </w:tc>
        <w:tc>
          <w:tcPr>
            <w:tcW w:w="1388"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sz w:val="24"/>
                <w:szCs w:val="24"/>
                <w:lang w:val="en-US" w:eastAsia="zh-CN"/>
              </w:rPr>
            </w:pPr>
          </w:p>
        </w:tc>
        <w:tc>
          <w:tcPr>
            <w:tcW w:w="1282"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50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246"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3"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3</w:t>
            </w:r>
          </w:p>
        </w:tc>
        <w:tc>
          <w:tcPr>
            <w:tcW w:w="168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硅藻土</w:t>
            </w:r>
          </w:p>
        </w:tc>
        <w:tc>
          <w:tcPr>
            <w:tcW w:w="1218"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38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388"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282"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50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246"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703"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4</w:t>
            </w:r>
          </w:p>
        </w:tc>
        <w:tc>
          <w:tcPr>
            <w:tcW w:w="168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三氯异氰尿酸（缓溶）</w:t>
            </w:r>
          </w:p>
        </w:tc>
        <w:tc>
          <w:tcPr>
            <w:tcW w:w="1218"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38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388"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60" w:lineRule="exact"/>
              <w:ind w:left="0" w:leftChars="0" w:right="0" w:rightChars="0" w:firstLine="0" w:firstLineChars="0"/>
              <w:jc w:val="both"/>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282"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500"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c>
          <w:tcPr>
            <w:tcW w:w="1246" w:type="dxa"/>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rightChars="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69" w:type="dxa"/>
            <w:gridSpan w:val="5"/>
            <w:vAlign w:val="center"/>
          </w:tcPr>
          <w:p>
            <w:pPr>
              <w:pStyle w:val="8"/>
              <w:keepNext w:val="0"/>
              <w:keepLines w:val="0"/>
              <w:pageBreakBefore w:val="0"/>
              <w:widowControl/>
              <w:tabs>
                <w:tab w:val="left" w:pos="5310"/>
              </w:tabs>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总价（含税包干）</w:t>
            </w:r>
          </w:p>
        </w:tc>
        <w:tc>
          <w:tcPr>
            <w:tcW w:w="4028" w:type="dxa"/>
            <w:gridSpan w:val="3"/>
            <w:vAlign w:val="center"/>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 xml:space="preserve"> </w:t>
            </w:r>
          </w:p>
        </w:tc>
      </w:tr>
    </w:tbl>
    <w:p>
      <w:pPr>
        <w:pStyle w:val="8"/>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spacing w:before="120" w:line="360" w:lineRule="auto"/>
        <w:ind w:firstLine="240" w:firstLineChars="100"/>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Theme="minorEastAsia" w:hAnsiTheme="minorEastAsia" w:eastAsiaTheme="minorEastAsia"/>
          <w:color w:val="auto"/>
          <w:sz w:val="24"/>
          <w:highlight w:val="none"/>
          <w:u w:val="single"/>
        </w:rPr>
        <w:t>连城县</w:t>
      </w:r>
      <w:r>
        <w:rPr>
          <w:rFonts w:hint="eastAsia" w:asciiTheme="minorEastAsia" w:hAnsiTheme="minorEastAsia" w:eastAsiaTheme="minorEastAsia"/>
          <w:color w:val="auto"/>
          <w:sz w:val="24"/>
          <w:highlight w:val="none"/>
          <w:u w:val="single"/>
          <w:lang w:val="en-US" w:eastAsia="zh-CN"/>
        </w:rPr>
        <w:t>游泳馆</w:t>
      </w:r>
      <w:r>
        <w:rPr>
          <w:rFonts w:hint="eastAsia" w:asciiTheme="minorEastAsia" w:hAnsiTheme="minorEastAsia" w:eastAsiaTheme="minorEastAsia"/>
          <w:color w:val="auto"/>
          <w:sz w:val="24"/>
          <w:highlight w:val="none"/>
          <w:u w:val="single"/>
          <w:lang w:eastAsia="zh-CN"/>
        </w:rPr>
        <w:t>。</w:t>
      </w:r>
    </w:p>
    <w:p>
      <w:pPr>
        <w:spacing w:before="1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5、合同标的应符合</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乙方响</w:t>
      </w:r>
      <w:r>
        <w:rPr>
          <w:rFonts w:hint="eastAsia" w:asciiTheme="minorEastAsia" w:hAnsiTheme="minorEastAsia" w:eastAsiaTheme="minorEastAsia" w:cstheme="minorEastAsia"/>
          <w:color w:val="auto"/>
          <w:spacing w:val="0"/>
          <w:sz w:val="24"/>
          <w:szCs w:val="24"/>
          <w:highlight w:val="none"/>
          <w:lang w:eastAsia="zh-CN"/>
        </w:rPr>
        <w:t>应文件</w:t>
      </w:r>
      <w:r>
        <w:rPr>
          <w:rFonts w:hint="eastAsia" w:asciiTheme="minorEastAsia" w:hAnsiTheme="minorEastAsia" w:eastAsiaTheme="minorEastAsia" w:cstheme="minorEastAsia"/>
          <w:color w:val="auto"/>
          <w:spacing w:val="0"/>
          <w:sz w:val="24"/>
          <w:szCs w:val="24"/>
          <w:highlight w:val="none"/>
        </w:rPr>
        <w:t>的规定或约定，具体如下：</w:t>
      </w:r>
    </w:p>
    <w:p>
      <w:pPr>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w:t>
      </w:r>
      <w:r>
        <w:rPr>
          <w:rFonts w:hint="eastAsia" w:ascii="宋体" w:hAnsi="宋体" w:cs="宋体"/>
          <w:color w:val="auto"/>
          <w:sz w:val="24"/>
          <w:szCs w:val="24"/>
          <w:highlight w:val="none"/>
          <w:u w:val="single"/>
          <w:lang w:val="en-US" w:eastAsia="zh-CN"/>
        </w:rPr>
        <w:t>竞价文件</w:t>
      </w:r>
      <w:r>
        <w:rPr>
          <w:rFonts w:hint="eastAsia" w:ascii="宋体" w:hAnsi="宋体" w:eastAsia="宋体" w:cs="宋体"/>
          <w:color w:val="auto"/>
          <w:sz w:val="24"/>
          <w:szCs w:val="24"/>
          <w:highlight w:val="none"/>
          <w:u w:val="single"/>
          <w:lang w:val="en-US" w:eastAsia="zh-CN"/>
        </w:rPr>
        <w:t>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保证严格按照《</w:t>
      </w:r>
      <w:r>
        <w:rPr>
          <w:rFonts w:hint="eastAsia" w:ascii="宋体" w:hAnsi="宋体" w:cs="宋体"/>
          <w:color w:val="auto"/>
          <w:sz w:val="24"/>
          <w:szCs w:val="24"/>
          <w:highlight w:val="none"/>
          <w:u w:val="single"/>
          <w:lang w:eastAsia="zh-CN"/>
        </w:rPr>
        <w:t>连城县游泳馆药品采购项目</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竞价文件</w:t>
      </w:r>
      <w:r>
        <w:rPr>
          <w:rFonts w:hint="eastAsia" w:ascii="宋体" w:hAnsi="宋体" w:eastAsia="宋体" w:cs="宋体"/>
          <w:color w:val="auto"/>
          <w:sz w:val="24"/>
          <w:szCs w:val="24"/>
          <w:highlight w:val="none"/>
          <w:u w:val="single"/>
        </w:rPr>
        <w:t>和</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的</w:t>
      </w:r>
      <w:r>
        <w:rPr>
          <w:rFonts w:hint="eastAsia" w:ascii="宋体" w:hAnsi="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执行。</w:t>
      </w:r>
    </w:p>
    <w:p>
      <w:pPr>
        <w:pStyle w:val="8"/>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color w:val="auto"/>
          <w:spacing w:val="0"/>
          <w:kern w:val="0"/>
          <w:sz w:val="24"/>
          <w:szCs w:val="24"/>
          <w:highlight w:val="none"/>
          <w:lang w:val="en-US" w:eastAsia="zh-CN" w:bidi="ar-SA"/>
        </w:rPr>
        <w:t>6、验收标准：</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本竞价文件技术参数</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供应商响应情况及国家相关标准、行业标准</w:t>
      </w:r>
      <w:r>
        <w:rPr>
          <w:rFonts w:hint="eastAsia" w:ascii="宋体" w:hAnsi="宋体" w:eastAsia="宋体" w:cs="宋体"/>
          <w:color w:val="auto"/>
          <w:sz w:val="24"/>
          <w:szCs w:val="24"/>
          <w:highlight w:val="none"/>
        </w:rPr>
        <w:t>进行验收</w:t>
      </w:r>
      <w:r>
        <w:rPr>
          <w:rFonts w:hint="eastAsia" w:asciiTheme="minorEastAsia" w:hAnsiTheme="minorEastAsia" w:eastAsiaTheme="minorEastAsia" w:cstheme="minorEastAsia"/>
          <w:b w:val="0"/>
          <w:color w:val="auto"/>
          <w:spacing w:val="0"/>
          <w:kern w:val="0"/>
          <w:sz w:val="24"/>
          <w:szCs w:val="24"/>
          <w:highlight w:val="none"/>
          <w:lang w:val="en-US" w:eastAsia="zh-CN" w:bidi="ar-SA"/>
        </w:rPr>
        <w:t>。</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7、</w:t>
      </w:r>
      <w:r>
        <w:rPr>
          <w:rFonts w:hint="eastAsia" w:asciiTheme="minorEastAsia" w:hAnsiTheme="minorEastAsia" w:eastAsiaTheme="minorEastAsia" w:cstheme="minorEastAsia"/>
          <w:color w:val="auto"/>
          <w:spacing w:val="0"/>
          <w:sz w:val="24"/>
          <w:szCs w:val="24"/>
          <w:highlight w:val="none"/>
          <w:lang w:val="en-US" w:eastAsia="zh-CN"/>
        </w:rPr>
        <w:t>支付方式</w:t>
      </w:r>
      <w:r>
        <w:rPr>
          <w:rFonts w:hint="eastAsia" w:asciiTheme="minorEastAsia" w:hAnsiTheme="minorEastAsia" w:eastAsiaTheme="minorEastAsia" w:cstheme="minorEastAsia"/>
          <w:color w:val="auto"/>
          <w:spacing w:val="0"/>
          <w:sz w:val="24"/>
          <w:szCs w:val="24"/>
          <w:highlight w:val="none"/>
        </w:rPr>
        <w:t>：</w:t>
      </w:r>
    </w:p>
    <w:tbl>
      <w:tblPr>
        <w:tblStyle w:val="10"/>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w:t>
            </w:r>
          </w:p>
        </w:tc>
        <w:tc>
          <w:tcPr>
            <w:tcW w:w="1815" w:type="dxa"/>
            <w:tcBorders>
              <w:top w:val="outset" w:color="auto" w:sz="6" w:space="0"/>
              <w:left w:val="outset" w:color="auto" w:sz="6" w:space="0"/>
              <w:bottom w:val="outset" w:color="auto" w:sz="6" w:space="0"/>
              <w:right w:val="outset" w:color="auto" w:sz="6" w:space="0"/>
            </w:tcBorders>
            <w:vAlign w:val="center"/>
          </w:tcPr>
          <w:p>
            <w:pPr>
              <w:widowControl/>
              <w:snapToGrid w:val="0"/>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100</w:t>
            </w:r>
          </w:p>
        </w:tc>
        <w:tc>
          <w:tcPr>
            <w:tcW w:w="6354" w:type="dxa"/>
            <w:tcBorders>
              <w:top w:val="outset" w:color="auto" w:sz="6" w:space="0"/>
              <w:left w:val="outset" w:color="auto" w:sz="6" w:space="0"/>
              <w:bottom w:val="outset" w:color="auto" w:sz="6" w:space="0"/>
              <w:right w:val="outset" w:color="auto" w:sz="6" w:space="0"/>
            </w:tcBorders>
            <w:vAlign w:val="center"/>
          </w:tcPr>
          <w:p>
            <w:pPr>
              <w:widowControl/>
              <w:autoSpaceDE w:val="0"/>
              <w:snapToGrid w:val="0"/>
              <w:spacing w:line="288"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合同签订并</w:t>
            </w:r>
            <w:r>
              <w:rPr>
                <w:rFonts w:hint="eastAsia" w:ascii="宋体" w:hAnsi="宋体" w:cs="宋体"/>
                <w:kern w:val="0"/>
                <w:sz w:val="24"/>
                <w:highlight w:val="none"/>
                <w:lang w:val="zh-CN"/>
              </w:rPr>
              <w:t>完成交付全部货物</w:t>
            </w:r>
            <w:r>
              <w:rPr>
                <w:rFonts w:hint="eastAsia" w:ascii="宋体" w:hAnsi="宋体" w:cs="宋体"/>
                <w:color w:val="auto"/>
                <w:kern w:val="0"/>
                <w:sz w:val="24"/>
                <w:highlight w:val="none"/>
                <w:lang w:val="en-US" w:eastAsia="zh-CN"/>
              </w:rPr>
              <w:t>，甲方验收</w:t>
            </w:r>
            <w:r>
              <w:rPr>
                <w:rFonts w:hint="eastAsia" w:ascii="宋体" w:hAnsi="宋体" w:eastAsia="宋体" w:cs="宋体"/>
                <w:color w:val="auto"/>
                <w:kern w:val="0"/>
                <w:sz w:val="24"/>
                <w:highlight w:val="none"/>
                <w:lang w:eastAsia="zh-CN"/>
              </w:rPr>
              <w:t>合格</w:t>
            </w:r>
            <w:r>
              <w:rPr>
                <w:rFonts w:hint="eastAsia" w:ascii="宋体" w:hAnsi="宋体" w:cs="宋体"/>
                <w:kern w:val="0"/>
                <w:sz w:val="24"/>
                <w:highlight w:val="none"/>
                <w:lang w:val="zh-CN"/>
              </w:rPr>
              <w:t>并</w:t>
            </w:r>
            <w:r>
              <w:rPr>
                <w:rFonts w:hint="eastAsia" w:ascii="宋体" w:hAnsi="宋体" w:cs="宋体"/>
                <w:kern w:val="0"/>
                <w:sz w:val="24"/>
                <w:highlight w:val="none"/>
                <w:lang w:val="en-US" w:eastAsia="zh-CN"/>
              </w:rPr>
              <w:t>乙方</w:t>
            </w:r>
            <w:r>
              <w:rPr>
                <w:rFonts w:hint="eastAsia" w:ascii="宋体" w:hAnsi="宋体" w:cs="宋体"/>
                <w:kern w:val="0"/>
                <w:sz w:val="24"/>
                <w:highlight w:val="none"/>
                <w:lang w:val="zh-CN"/>
              </w:rPr>
              <w:t>提供相应票据</w:t>
            </w:r>
            <w:r>
              <w:rPr>
                <w:rFonts w:hint="eastAsia" w:ascii="宋体" w:hAnsi="宋体" w:eastAsia="宋体" w:cs="宋体"/>
                <w:color w:val="auto"/>
                <w:kern w:val="0"/>
                <w:sz w:val="24"/>
                <w:highlight w:val="none"/>
                <w:lang w:eastAsia="zh-CN"/>
              </w:rPr>
              <w:t>后15日内支付</w:t>
            </w:r>
            <w:r>
              <w:rPr>
                <w:rFonts w:hint="eastAsia" w:ascii="宋体" w:hAnsi="宋体" w:cs="宋体"/>
                <w:color w:val="auto"/>
                <w:kern w:val="0"/>
                <w:sz w:val="24"/>
                <w:highlight w:val="none"/>
                <w:lang w:val="en-US" w:eastAsia="zh-CN"/>
              </w:rPr>
              <w:t>全部</w:t>
            </w:r>
            <w:r>
              <w:rPr>
                <w:rFonts w:hint="eastAsia" w:ascii="宋体" w:hAnsi="宋体" w:eastAsia="宋体" w:cs="宋体"/>
                <w:color w:val="auto"/>
                <w:kern w:val="0"/>
                <w:sz w:val="24"/>
                <w:highlight w:val="none"/>
                <w:lang w:eastAsia="zh-CN"/>
              </w:rPr>
              <w:t>合同价款；</w:t>
            </w:r>
          </w:p>
        </w:tc>
      </w:tr>
    </w:tbl>
    <w:p>
      <w:pPr>
        <w:spacing w:afterLines="50" w:line="360" w:lineRule="auto"/>
        <w:ind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7"/>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7"/>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pPr>
        <w:pStyle w:val="7"/>
        <w:spacing w:after="156"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8"/>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pPr>
        <w:pStyle w:val="8"/>
        <w:keepNext w:val="0"/>
        <w:keepLines w:val="0"/>
        <w:widowControl/>
        <w:numPr>
          <w:ilvl w:val="0"/>
          <w:numId w:val="3"/>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违约责任</w:t>
      </w:r>
    </w:p>
    <w:p>
      <w:pPr>
        <w:pStyle w:val="7"/>
        <w:spacing w:after="156"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的返工要求后七个工作日内或双方商定的时间内重新设计提交。</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7"/>
        <w:spacing w:after="50" w:line="360" w:lineRule="auto"/>
        <w:ind w:left="0" w:leftChars="0" w:firstLine="0"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asciiTheme="minorEastAsia" w:hAnsiTheme="minorEastAsia" w:eastAsiaTheme="minorEastAsia"/>
          <w:color w:val="auto"/>
          <w:sz w:val="24"/>
          <w:szCs w:val="24"/>
          <w:highlight w:val="none"/>
        </w:rPr>
        <w:t>15日内仍未取得显著改观的，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7"/>
        <w:tabs>
          <w:tab w:val="left" w:pos="1985"/>
        </w:tabs>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7"/>
        <w:spacing w:after="50" w:line="360" w:lineRule="auto"/>
        <w:ind w:left="0" w:leftChars="0" w:firstLine="240" w:firstLineChars="1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10.9供应商未按本合同约定的时间向甲方交付成果的，每逾期一天向甲方支付本合同千分之一的违约金，逾期超过30天的，甲方有权解除合同。</w:t>
      </w:r>
    </w:p>
    <w:p>
      <w:pPr>
        <w:pStyle w:val="8"/>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7"/>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8"/>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8"/>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8"/>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8"/>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9"/>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8"/>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8"/>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8"/>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8"/>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8"/>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8"/>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8"/>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8"/>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7D42C"/>
    <w:multiLevelType w:val="singleLevel"/>
    <w:tmpl w:val="F027D42C"/>
    <w:lvl w:ilvl="0" w:tentative="0">
      <w:start w:val="1"/>
      <w:numFmt w:val="decimal"/>
      <w:lvlText w:val="%1."/>
      <w:lvlJc w:val="left"/>
      <w:pPr>
        <w:tabs>
          <w:tab w:val="left" w:pos="312"/>
        </w:tabs>
      </w:pPr>
    </w:lvl>
  </w:abstractNum>
  <w:abstractNum w:abstractNumId="1">
    <w:nsid w:val="4E808E04"/>
    <w:multiLevelType w:val="singleLevel"/>
    <w:tmpl w:val="4E808E04"/>
    <w:lvl w:ilvl="0" w:tentative="0">
      <w:start w:val="1"/>
      <w:numFmt w:val="decimal"/>
      <w:lvlText w:val="%1."/>
      <w:lvlJc w:val="left"/>
      <w:pPr>
        <w:tabs>
          <w:tab w:val="left" w:pos="312"/>
        </w:tabs>
      </w:pPr>
    </w:lvl>
  </w:abstractNum>
  <w:abstractNum w:abstractNumId="2">
    <w:nsid w:val="5EC6BB90"/>
    <w:multiLevelType w:val="singleLevel"/>
    <w:tmpl w:val="5EC6BB90"/>
    <w:lvl w:ilvl="0" w:tentative="0">
      <w:start w:val="10"/>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25874A5"/>
    <w:rsid w:val="039B541A"/>
    <w:rsid w:val="05DA79C7"/>
    <w:rsid w:val="06F526DD"/>
    <w:rsid w:val="0A2F0DBE"/>
    <w:rsid w:val="0D6D27E5"/>
    <w:rsid w:val="131E5E73"/>
    <w:rsid w:val="13761663"/>
    <w:rsid w:val="1B936121"/>
    <w:rsid w:val="1E5E7A6C"/>
    <w:rsid w:val="1F986481"/>
    <w:rsid w:val="21B83433"/>
    <w:rsid w:val="23C7097B"/>
    <w:rsid w:val="27257379"/>
    <w:rsid w:val="290520D8"/>
    <w:rsid w:val="29A65A81"/>
    <w:rsid w:val="2AEB24EE"/>
    <w:rsid w:val="2BDB5197"/>
    <w:rsid w:val="303411DC"/>
    <w:rsid w:val="33123E07"/>
    <w:rsid w:val="3802063D"/>
    <w:rsid w:val="3A06128C"/>
    <w:rsid w:val="43FB0349"/>
    <w:rsid w:val="44A21BB1"/>
    <w:rsid w:val="47054C5A"/>
    <w:rsid w:val="48D82045"/>
    <w:rsid w:val="496D6D7D"/>
    <w:rsid w:val="4B952493"/>
    <w:rsid w:val="51BD6537"/>
    <w:rsid w:val="54E707AD"/>
    <w:rsid w:val="558C043F"/>
    <w:rsid w:val="578A4E52"/>
    <w:rsid w:val="5800753F"/>
    <w:rsid w:val="5B94004E"/>
    <w:rsid w:val="5D081E82"/>
    <w:rsid w:val="5D1C319C"/>
    <w:rsid w:val="5D211DB5"/>
    <w:rsid w:val="5DDB6408"/>
    <w:rsid w:val="5DFD637E"/>
    <w:rsid w:val="60E05979"/>
    <w:rsid w:val="61AF4C4A"/>
    <w:rsid w:val="6B4A616F"/>
    <w:rsid w:val="7C2A25D8"/>
    <w:rsid w:val="7C7B0EF7"/>
    <w:rsid w:val="7E48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4">
    <w:name w:val="Body Text"/>
    <w:basedOn w:val="1"/>
    <w:qFormat/>
    <w:uiPriority w:val="0"/>
    <w:pPr>
      <w:spacing w:line="380" w:lineRule="exact"/>
    </w:pPr>
    <w:rPr>
      <w:sz w:val="24"/>
    </w:rPr>
  </w:style>
  <w:style w:type="paragraph" w:styleId="5">
    <w:name w:val="Plain Text"/>
    <w:basedOn w:val="1"/>
    <w:next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3"/>
    <w:basedOn w:val="1"/>
    <w:unhideWhenUsed/>
    <w:qFormat/>
    <w:uiPriority w:val="99"/>
    <w:pPr>
      <w:spacing w:after="120"/>
      <w:ind w:left="420" w:leftChars="200"/>
    </w:pPr>
    <w:rPr>
      <w:kern w:val="2"/>
      <w:sz w:val="16"/>
      <w:szCs w:val="16"/>
    </w:rPr>
  </w:style>
  <w:style w:type="paragraph" w:styleId="8">
    <w:name w:val="Normal (Web)"/>
    <w:basedOn w:val="1"/>
    <w:next w:val="9"/>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9">
    <w:name w:val="样式 标题 3 + (中文) 黑体 小四 非加粗 段前: 7.8 磅 段后: 0 磅 行距: 固定值 20 磅"/>
    <w:basedOn w:val="3"/>
    <w:qFormat/>
    <w:uiPriority w:val="0"/>
    <w:pPr>
      <w:spacing w:before="0" w:after="0" w:line="400" w:lineRule="exact"/>
    </w:pPr>
    <w:rPr>
      <w:rFonts w:ascii="Courier New" w:hAnsi="Courier New" w:eastAsia="（使用中文字体）" w:cs="HiddenHorzOCl"/>
      <w:b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paragraph" w:customStyle="1" w:styleId="15">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16">
    <w:name w:val="15"/>
    <w:basedOn w:val="12"/>
    <w:qFormat/>
    <w:uiPriority w:val="0"/>
    <w:rPr>
      <w:rFonts w:hint="default" w:ascii="Tahoma" w:hAnsi="Tahoma" w:eastAsia="Tahoma" w:cs="Tahoma"/>
      <w:b/>
      <w:sz w:val="24"/>
      <w:szCs w:val="24"/>
    </w:rPr>
  </w:style>
  <w:style w:type="paragraph" w:customStyle="1" w:styleId="17">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6571</Words>
  <Characters>6990</Characters>
  <Lines>0</Lines>
  <Paragraphs>0</Paragraphs>
  <TotalTime>1</TotalTime>
  <ScaleCrop>false</ScaleCrop>
  <LinksUpToDate>false</LinksUpToDate>
  <CharactersWithSpaces>7276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dcterms:modified xsi:type="dcterms:W3CDTF">2024-03-12T06:56:34Z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