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firstLine="482" w:firstLineChars="20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bookmarkStart w:id="65" w:name="_GoBack"/>
      <w:bookmarkEnd w:id="65"/>
    </w:p>
    <w:p>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center"/>
        <w:textAlignment w:val="auto"/>
        <w:rPr>
          <w:rFonts w:hint="eastAsia" w:ascii="宋体" w:hAnsi="宋体" w:eastAsia="宋体" w:cs="宋体"/>
          <w:b/>
          <w:bCs/>
          <w:color w:val="000000" w:themeColor="text1"/>
          <w:sz w:val="72"/>
          <w:szCs w:val="72"/>
          <w:highlight w:val="none"/>
          <w14:textFill>
            <w14:solidFill>
              <w14:schemeClr w14:val="tx1"/>
            </w14:solidFill>
          </w14:textFill>
        </w:rPr>
      </w:pPr>
    </w:p>
    <w:p>
      <w:pPr>
        <w:pageBreakBefore w:val="0"/>
        <w:kinsoku/>
        <w:wordWrap/>
        <w:overflowPunct/>
        <w:topLinePunct w:val="0"/>
        <w:bidi w:val="0"/>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72"/>
          <w:szCs w:val="72"/>
          <w:highlight w:val="none"/>
          <w14:textFill>
            <w14:solidFill>
              <w14:schemeClr w14:val="tx1"/>
            </w14:solidFill>
          </w14:textFill>
        </w:rPr>
        <w:t>招标文件</w:t>
      </w:r>
    </w:p>
    <w:p>
      <w:pPr>
        <w:pStyle w:val="10"/>
        <w:pageBreakBefore w:val="0"/>
        <w:kinsoku/>
        <w:wordWrap/>
        <w:overflowPunct/>
        <w:topLinePunct w:val="0"/>
        <w:bidi w:val="0"/>
        <w:spacing w:line="360" w:lineRule="auto"/>
        <w:ind w:firstLine="482" w:firstLine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Style w:val="1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pPr>
        <w:pStyle w:val="10"/>
        <w:pageBreakBefore w:val="0"/>
        <w:kinsoku/>
        <w:wordWrap/>
        <w:overflowPunct/>
        <w:topLinePunct w:val="0"/>
        <w:bidi w:val="0"/>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pPr>
        <w:pStyle w:val="10"/>
        <w:pageBreakBefore w:val="0"/>
        <w:kinsoku/>
        <w:wordWrap/>
        <w:overflowPunct/>
        <w:topLinePunct w:val="0"/>
        <w:bidi w:val="0"/>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pPr>
        <w:pStyle w:val="10"/>
        <w:pageBreakBefore w:val="0"/>
        <w:kinsoku/>
        <w:wordWrap/>
        <w:overflowPunct/>
        <w:topLinePunct w:val="0"/>
        <w:bidi w:val="0"/>
        <w:spacing w:line="360" w:lineRule="auto"/>
        <w:textAlignment w:val="auto"/>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招标编号：</w:t>
      </w:r>
      <w:r>
        <w:rPr>
          <w:rFonts w:hint="eastAsia" w:hAnsi="宋体" w:cs="宋体"/>
          <w:bCs/>
          <w:color w:val="000000" w:themeColor="text1"/>
          <w:sz w:val="28"/>
          <w:szCs w:val="28"/>
          <w:highlight w:val="none"/>
          <w:lang w:val="en-US" w:eastAsia="zh-CN"/>
          <w14:textFill>
            <w14:solidFill>
              <w14:schemeClr w14:val="tx1"/>
            </w14:solidFill>
          </w14:textFill>
        </w:rPr>
        <w:t>LCCQ</w:t>
      </w:r>
      <w:r>
        <w:rPr>
          <w:rFonts w:hint="eastAsia" w:hAnsi="宋体" w:cs="宋体"/>
          <w:bCs/>
          <w:color w:val="000000" w:themeColor="text1"/>
          <w:sz w:val="28"/>
          <w:szCs w:val="28"/>
          <w:highlight w:val="none"/>
          <w:lang w:eastAsia="zh-CN"/>
          <w14:textFill>
            <w14:solidFill>
              <w14:schemeClr w14:val="tx1"/>
            </w14:solidFill>
          </w14:textFill>
        </w:rPr>
        <w:t>CGYQ202300</w:t>
      </w:r>
      <w:r>
        <w:rPr>
          <w:rFonts w:hint="eastAsia" w:hAnsi="宋体" w:cs="宋体"/>
          <w:bCs/>
          <w:color w:val="000000" w:themeColor="text1"/>
          <w:sz w:val="28"/>
          <w:szCs w:val="28"/>
          <w:highlight w:val="none"/>
          <w:lang w:val="en-US" w:eastAsia="zh-CN"/>
          <w14:textFill>
            <w14:solidFill>
              <w14:schemeClr w14:val="tx1"/>
            </w14:solidFill>
          </w14:textFill>
        </w:rPr>
        <w:t>1</w:t>
      </w:r>
    </w:p>
    <w:p>
      <w:pPr>
        <w:rPr>
          <w:rFonts w:hint="eastAsia" w:ascii="宋体" w:hAnsi="宋体" w:eastAsia="宋体" w:cs="宋体"/>
          <w:bCs/>
          <w:color w:val="000000" w:themeColor="text1"/>
          <w:sz w:val="28"/>
          <w:szCs w:val="28"/>
          <w:highlight w:val="none"/>
          <w:lang w:val="en-US" w:eastAsia="zh-CN"/>
          <w14:textFill>
            <w14:solidFill>
              <w14:schemeClr w14:val="tx1"/>
            </w14:solidFill>
          </w14:textFill>
        </w:rPr>
      </w:pPr>
    </w:p>
    <w:p>
      <w:pPr>
        <w:pStyle w:val="11"/>
        <w:rPr>
          <w:rFonts w:hint="eastAsia" w:ascii="宋体" w:hAnsi="宋体" w:eastAsia="宋体" w:cs="宋体"/>
          <w:lang w:eastAsia="zh-CN"/>
        </w:rPr>
      </w:pPr>
    </w:p>
    <w:p>
      <w:pPr>
        <w:pStyle w:val="10"/>
        <w:pageBreakBefore w:val="0"/>
        <w:kinsoku/>
        <w:wordWrap/>
        <w:overflowPunct/>
        <w:topLinePunct w:val="0"/>
        <w:bidi w:val="0"/>
        <w:spacing w:line="360" w:lineRule="auto"/>
        <w:textAlignment w:val="auto"/>
        <w:rPr>
          <w:rFonts w:hint="eastAsia" w:ascii="宋体" w:hAnsi="宋体" w:eastAsia="宋体" w:cs="宋体"/>
          <w:bCs/>
          <w:color w:val="000000" w:themeColor="text1"/>
          <w:sz w:val="28"/>
          <w:szCs w:val="28"/>
          <w:highlight w:val="none"/>
          <w:lang w:eastAsia="zh-CN"/>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项目名称</w:t>
      </w:r>
      <w:r>
        <w:rPr>
          <w:rFonts w:hint="eastAsia" w:hAnsi="宋体" w:cs="宋体"/>
          <w:bCs/>
          <w:color w:val="000000" w:themeColor="text1"/>
          <w:sz w:val="28"/>
          <w:szCs w:val="28"/>
          <w:highlight w:val="none"/>
          <w:lang w:eastAsia="zh-CN"/>
          <w14:textFill>
            <w14:solidFill>
              <w14:schemeClr w14:val="tx1"/>
            </w14:solidFill>
          </w14:textFill>
        </w:rPr>
        <w:t>：连城县林坊镇2023年地瓜脱毒种苗扩繁基地—棚内设施建设（二期）项目</w:t>
      </w:r>
    </w:p>
    <w:p>
      <w:pPr>
        <w:pStyle w:val="10"/>
        <w:pageBreakBefore w:val="0"/>
        <w:kinsoku/>
        <w:wordWrap/>
        <w:overflowPunct/>
        <w:topLinePunct w:val="0"/>
        <w:bidi w:val="0"/>
        <w:spacing w:line="360" w:lineRule="auto"/>
        <w:textAlignment w:val="auto"/>
        <w:rPr>
          <w:rFonts w:hint="eastAsia" w:ascii="宋体" w:hAnsi="宋体" w:eastAsia="宋体" w:cs="宋体"/>
          <w:color w:val="000000" w:themeColor="text1"/>
          <w:spacing w:val="20"/>
          <w:sz w:val="28"/>
          <w:szCs w:val="28"/>
          <w:highlight w:val="none"/>
          <w14:textFill>
            <w14:solidFill>
              <w14:schemeClr w14:val="tx1"/>
            </w14:solidFill>
          </w14:textFill>
        </w:rPr>
      </w:pPr>
    </w:p>
    <w:p>
      <w:pPr>
        <w:pStyle w:val="10"/>
        <w:pageBreakBefore w:val="0"/>
        <w:kinsoku/>
        <w:wordWrap/>
        <w:overflowPunct/>
        <w:topLinePunct w:val="0"/>
        <w:bidi w:val="0"/>
        <w:spacing w:line="360" w:lineRule="auto"/>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采购人</w:t>
      </w:r>
      <w:r>
        <w:rPr>
          <w:rFonts w:hint="eastAsia" w:ascii="宋体" w:hAnsi="宋体" w:eastAsia="宋体" w:cs="宋体"/>
          <w:b/>
          <w:color w:val="000000" w:themeColor="text1"/>
          <w:spacing w:val="20"/>
          <w:sz w:val="28"/>
          <w:szCs w:val="28"/>
          <w:highlight w:val="none"/>
          <w:lang w:eastAsia="zh-CN"/>
          <w14:textFill>
            <w14:solidFill>
              <w14:schemeClr w14:val="tx1"/>
            </w14:solidFill>
          </w14:textFill>
        </w:rPr>
        <w:t>：</w:t>
      </w:r>
      <w:r>
        <w:rPr>
          <w:rFonts w:hint="eastAsia" w:ascii="宋体" w:hAnsi="宋体" w:eastAsia="宋体" w:cs="宋体"/>
          <w:bCs/>
          <w:color w:val="000000" w:themeColor="text1"/>
          <w:sz w:val="28"/>
          <w:szCs w:val="28"/>
          <w:highlight w:val="none"/>
          <w:lang w:eastAsia="zh-CN"/>
          <w14:textFill>
            <w14:solidFill>
              <w14:schemeClr w14:val="tx1"/>
            </w14:solidFill>
          </w14:textFill>
        </w:rPr>
        <w:t xml:space="preserve">福建冠豸山现代农业发展有限公司 </w:t>
      </w:r>
    </w:p>
    <w:p>
      <w:pPr>
        <w:pStyle w:val="10"/>
        <w:pageBreakBefore w:val="0"/>
        <w:kinsoku/>
        <w:wordWrap/>
        <w:overflowPunct/>
        <w:topLinePunct w:val="0"/>
        <w:bidi w:val="0"/>
        <w:spacing w:line="360" w:lineRule="auto"/>
        <w:ind w:firstLine="642" w:firstLineChars="200"/>
        <w:jc w:val="left"/>
        <w:textAlignment w:val="auto"/>
        <w:rPr>
          <w:rFonts w:hint="eastAsia" w:ascii="宋体" w:hAnsi="宋体" w:eastAsia="宋体" w:cs="宋体"/>
          <w:b/>
          <w:color w:val="000000" w:themeColor="text1"/>
          <w:spacing w:val="20"/>
          <w:sz w:val="28"/>
          <w:szCs w:val="28"/>
          <w:highlight w:val="none"/>
          <w14:textFill>
            <w14:solidFill>
              <w14:schemeClr w14:val="tx1"/>
            </w14:solidFill>
          </w14:textFill>
        </w:rPr>
      </w:pPr>
    </w:p>
    <w:p>
      <w:pPr>
        <w:pStyle w:val="10"/>
        <w:pageBreakBefore w:val="0"/>
        <w:kinsoku/>
        <w:wordWrap/>
        <w:overflowPunct/>
        <w:topLinePunct w:val="0"/>
        <w:bidi w:val="0"/>
        <w:spacing w:line="360" w:lineRule="auto"/>
        <w:ind w:firstLine="1546" w:firstLineChars="550"/>
        <w:jc w:val="left"/>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pPr>
        <w:pStyle w:val="10"/>
        <w:pageBreakBefore w:val="0"/>
        <w:kinsoku/>
        <w:wordWrap/>
        <w:overflowPunct/>
        <w:topLinePunct w:val="0"/>
        <w:bidi w:val="0"/>
        <w:spacing w:line="360" w:lineRule="auto"/>
        <w:ind w:firstLine="1546" w:firstLineChars="550"/>
        <w:jc w:val="left"/>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pPr>
        <w:pStyle w:val="10"/>
        <w:pageBreakBefore w:val="0"/>
        <w:kinsoku/>
        <w:wordWrap/>
        <w:overflowPunct/>
        <w:topLinePunct w:val="0"/>
        <w:bidi w:val="0"/>
        <w:spacing w:line="360" w:lineRule="auto"/>
        <w:jc w:val="left"/>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p>
    <w:p>
      <w:pPr>
        <w:pStyle w:val="10"/>
        <w:pageBreakBefore w:val="0"/>
        <w:kinsoku/>
        <w:wordWrap/>
        <w:overflowPunct/>
        <w:topLinePunct w:val="0"/>
        <w:bidi w:val="0"/>
        <w:spacing w:line="360" w:lineRule="auto"/>
        <w:jc w:val="center"/>
        <w:textAlignment w:val="auto"/>
        <w:rPr>
          <w:rFonts w:hint="eastAsia" w:ascii="宋体" w:hAnsi="宋体" w:eastAsia="宋体" w:cs="宋体"/>
          <w:b w:val="0"/>
          <w:bCs w:val="0"/>
          <w:color w:val="000000" w:themeColor="text1"/>
          <w:sz w:val="28"/>
          <w:szCs w:val="28"/>
          <w:highlight w:val="none"/>
          <w:lang w:eastAsia="zh-CN"/>
          <w14:textFill>
            <w14:solidFill>
              <w14:schemeClr w14:val="tx1"/>
            </w14:solidFill>
          </w14:textFill>
        </w:rPr>
      </w:pPr>
      <w:r>
        <w:rPr>
          <w:rFonts w:hint="eastAsia" w:hAnsi="宋体" w:cs="宋体"/>
          <w:b w:val="0"/>
          <w:bCs w:val="0"/>
          <w:color w:val="000000" w:themeColor="text1"/>
          <w:sz w:val="28"/>
          <w:szCs w:val="28"/>
          <w:highlight w:val="none"/>
          <w:lang w:eastAsia="zh-CN"/>
          <w14:textFill>
            <w14:solidFill>
              <w14:schemeClr w14:val="tx1"/>
            </w14:solidFill>
          </w14:textFill>
        </w:rPr>
        <w:t>连城县国有资产产权交易服务有限公司</w:t>
      </w:r>
    </w:p>
    <w:p>
      <w:pPr>
        <w:pStyle w:val="10"/>
        <w:pageBreakBefore w:val="0"/>
        <w:kinsoku/>
        <w:wordWrap/>
        <w:overflowPunct/>
        <w:topLinePunct w:val="0"/>
        <w:bidi w:val="0"/>
        <w:spacing w:line="360" w:lineRule="auto"/>
        <w:jc w:val="center"/>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p>
    <w:p>
      <w:pPr>
        <w:pStyle w:val="10"/>
        <w:pageBreakBefore w:val="0"/>
        <w:kinsoku/>
        <w:wordWrap/>
        <w:overflowPunct/>
        <w:topLinePunct w:val="0"/>
        <w:bidi w:val="0"/>
        <w:spacing w:line="360" w:lineRule="auto"/>
        <w:jc w:val="center"/>
        <w:textAlignment w:val="auto"/>
        <w:rPr>
          <w:rFonts w:hint="eastAsia" w:ascii="宋体" w:hAnsi="宋体" w:eastAsia="宋体" w:cs="宋体"/>
          <w:b w:val="0"/>
          <w:bCs w:val="0"/>
          <w:color w:val="000000" w:themeColor="text1"/>
          <w:sz w:val="28"/>
          <w:szCs w:val="28"/>
          <w:highlight w:val="none"/>
          <w:lang w:val="zh-CN"/>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202</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8"/>
          <w:szCs w:val="28"/>
          <w:highlight w:val="none"/>
          <w14:textFill>
            <w14:solidFill>
              <w14:schemeClr w14:val="tx1"/>
            </w14:solidFill>
          </w14:textFill>
        </w:rPr>
        <w:t>年</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 xml:space="preserve"> </w:t>
      </w:r>
      <w:r>
        <w:rPr>
          <w:rFonts w:hint="eastAsia" w:hAnsi="宋体" w:cs="宋体"/>
          <w:b w:val="0"/>
          <w:bCs w:val="0"/>
          <w:color w:val="000000" w:themeColor="text1"/>
          <w:sz w:val="28"/>
          <w:szCs w:val="28"/>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8"/>
          <w:szCs w:val="28"/>
          <w:highlight w:val="none"/>
          <w14:textFill>
            <w14:solidFill>
              <w14:schemeClr w14:val="tx1"/>
            </w14:solidFill>
          </w14:textFill>
        </w:rPr>
        <w:t>月</w:t>
      </w:r>
    </w:p>
    <w:p>
      <w:pPr>
        <w:pStyle w:val="2"/>
        <w:pageBreakBefore w:val="0"/>
        <w:kinsoku/>
        <w:wordWrap/>
        <w:overflowPunct/>
        <w:topLinePunct w:val="0"/>
        <w:bidi w:val="0"/>
        <w:spacing w:line="36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br w:type="page"/>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目录</w:t>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after="240"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ap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aps w:val="0"/>
          <w:color w:val="000000" w:themeColor="text1"/>
          <w:sz w:val="24"/>
          <w:szCs w:val="24"/>
          <w:highlight w:val="none"/>
          <w14:textFill>
            <w14:solidFill>
              <w14:schemeClr w14:val="tx1"/>
            </w14:solidFill>
          </w14:textFill>
        </w:rPr>
        <w:instrText xml:space="preserve"> TOC \o "1-3" \h \z \u </w:instrText>
      </w:r>
      <w:r>
        <w:rPr>
          <w:rFonts w:hint="eastAsia" w:ascii="宋体" w:hAnsi="宋体" w:eastAsia="宋体" w:cs="宋体"/>
          <w:b w:val="0"/>
          <w:bCs w:val="0"/>
          <w:cap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begin"/>
      </w:r>
      <w:r>
        <w:rPr>
          <w:rFonts w:hint="eastAsia" w:ascii="宋体" w:hAnsi="宋体" w:eastAsia="宋体" w:cs="宋体"/>
          <w:bCs w:val="0"/>
          <w:caps w:val="0"/>
          <w:color w:val="000000" w:themeColor="text1"/>
          <w:sz w:val="24"/>
          <w:szCs w:val="24"/>
          <w:highlight w:val="none"/>
          <w14:textFill>
            <w14:solidFill>
              <w14:schemeClr w14:val="tx1"/>
            </w14:solidFill>
          </w14:textFill>
        </w:rPr>
        <w:instrText xml:space="preserve"> HYPERLINK \l _Toc539 </w:instrText>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第一章 投标邀请</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after="240"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_Toc10052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一、投标邀请</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after="240"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_Toc7997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二、招标货物（服务）一览表</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5</w:t>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after="240"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_Toc28715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第二章 投标人须知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6</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after="240"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_Toc17732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投标人须知前附表</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6</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after="240" w:line="360" w:lineRule="auto"/>
        <w:textAlignment w:val="auto"/>
        <w:rPr>
          <w:rFonts w:hint="default" w:ascii="宋体" w:hAnsi="宋体" w:eastAsia="宋体" w:cs="宋体"/>
          <w:bCs/>
          <w:cap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_Toc22274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一、说明</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11</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after="240"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_Toc29853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二、招标文件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3</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after="240"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_Toc20858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三、投标文件的编写</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after="240" w:line="360" w:lineRule="auto"/>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_Toc20294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四、投标文件的提交</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6</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324" w:beforeLines="100" w:after="240" w:line="360" w:lineRule="auto"/>
        <w:ind w:left="21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_Toc14439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五、投标文件的评估和比较</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6</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after="240" w:line="360" w:lineRule="auto"/>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_Toc13929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六、定标与签订合同</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20</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after="240" w:line="360" w:lineRule="auto"/>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_Toc11618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七、质疑</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22</w:t>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after="240"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_Toc24041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第三章 招标内容及要求</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4</w:t>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after="240" w:line="360" w:lineRule="auto"/>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_Toc16136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sz w:val="24"/>
          <w:szCs w:val="24"/>
          <w:highlight w:val="none"/>
          <w14:textFill>
            <w14:solidFill>
              <w14:schemeClr w14:val="tx1"/>
            </w14:solidFill>
          </w14:textFill>
        </w:rPr>
        <w:t>第四章</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pacing w:val="0"/>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pacing w:val="0"/>
          <w:sz w:val="24"/>
          <w:szCs w:val="24"/>
          <w:highlight w:val="none"/>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28</w:t>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after="240" w:line="360" w:lineRule="auto"/>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_Toc15803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第五章 投标文件格式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33</w:t>
      </w:r>
    </w:p>
    <w:p>
      <w:pPr>
        <w:keepNext w:val="0"/>
        <w:keepLines w:val="0"/>
        <w:pageBreakBefore w:val="0"/>
        <w:widowControl w:val="0"/>
        <w:kinsoku/>
        <w:wordWrap/>
        <w:overflowPunct/>
        <w:topLinePunct w:val="0"/>
        <w:autoSpaceDE/>
        <w:autoSpaceDN/>
        <w:bidi w:val="0"/>
        <w:adjustRightInd/>
        <w:snapToGrid/>
        <w:spacing w:before="240" w:beforeLines="100" w:after="24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pPr>
        <w:pStyle w:val="2"/>
        <w:pageBreakBefore w:val="0"/>
        <w:kinsoku/>
        <w:wordWrap/>
        <w:overflowPunct/>
        <w:topLinePunct w:val="0"/>
        <w:bidi w:val="0"/>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19"/>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sectPr>
          <w:headerReference r:id="rId3" w:type="default"/>
          <w:footerReference r:id="rId4" w:type="default"/>
          <w:pgSz w:w="11907" w:h="16840"/>
          <w:pgMar w:top="1134" w:right="1134" w:bottom="1134" w:left="1701" w:header="851" w:footer="992" w:gutter="0"/>
          <w:pgNumType w:fmt="decimal"/>
          <w:cols w:space="720" w:num="1"/>
          <w:docGrid w:linePitch="323" w:charSpace="-2"/>
        </w:sectPr>
      </w:pPr>
      <w:bookmarkStart w:id="0" w:name="_Toc11142868"/>
      <w:bookmarkStart w:id="1" w:name="_Toc11142532"/>
      <w:bookmarkStart w:id="2" w:name="_Toc539"/>
      <w:bookmarkStart w:id="3" w:name="_Toc11142863"/>
    </w:p>
    <w:p>
      <w:pPr>
        <w:pStyle w:val="19"/>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第一章 投标邀请</w:t>
      </w:r>
      <w:bookmarkEnd w:id="0"/>
      <w:bookmarkEnd w:id="1"/>
      <w:bookmarkEnd w:id="2"/>
      <w:bookmarkEnd w:id="3"/>
    </w:p>
    <w:p>
      <w:pPr>
        <w:pStyle w:val="1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受福建冠豸山现代农业发展有限公司委托，对</w:t>
      </w:r>
      <w:r>
        <w:rPr>
          <w:rFonts w:hint="eastAsia" w:hAnsi="宋体" w:cs="宋体"/>
          <w:color w:val="000000" w:themeColor="text1"/>
          <w:sz w:val="24"/>
          <w:szCs w:val="24"/>
          <w:highlight w:val="none"/>
          <w:lang w:eastAsia="zh-CN"/>
          <w14:textFill>
            <w14:solidFill>
              <w14:schemeClr w14:val="tx1"/>
            </w14:solidFill>
          </w14:textFill>
        </w:rPr>
        <w:t>连城县林坊镇2023年地瓜脱毒种苗扩繁基地—棚内设施建设（二期）项目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组织</w:t>
      </w:r>
      <w:r>
        <w:rPr>
          <w:rFonts w:hint="eastAsia" w:ascii="宋体" w:hAnsi="宋体" w:eastAsia="宋体" w:cs="宋体"/>
          <w:color w:val="000000" w:themeColor="text1"/>
          <w:sz w:val="24"/>
          <w:szCs w:val="24"/>
          <w:highlight w:val="none"/>
          <w:lang w:eastAsia="zh-CN"/>
          <w14:textFill>
            <w14:solidFill>
              <w14:schemeClr w14:val="tx1"/>
            </w14:solidFill>
          </w14:textFill>
        </w:rPr>
        <w:t>进行邀请招标，现欢迎受邀请的公司前来投标。</w:t>
      </w:r>
    </w:p>
    <w:p>
      <w:pPr>
        <w:pStyle w:val="1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1、招标编号：详见第二章投标人须知</w:t>
      </w:r>
    </w:p>
    <w:p>
      <w:pPr>
        <w:pStyle w:val="1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2、招标货物(服务)名称、数量及主要技术规格：见后附：招标货物(服务)一览表</w:t>
      </w:r>
    </w:p>
    <w:p>
      <w:pPr>
        <w:pStyle w:val="1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3、本项目须报名，自招标公告发布之日起，供应商可直接在</w:t>
      </w:r>
      <w:r>
        <w:rPr>
          <w:rFonts w:hint="eastAsia" w:hAnsi="宋体" w:cs="宋体"/>
          <w:color w:val="000000" w:themeColor="text1"/>
          <w:sz w:val="24"/>
          <w:szCs w:val="24"/>
          <w:highlight w:val="none"/>
          <w:lang w:eastAsia="zh-CN"/>
          <w14:textFill>
            <w14:solidFill>
              <w14:schemeClr w14:val="tx1"/>
            </w14:solidFill>
          </w14:textFill>
        </w:rPr>
        <w:t>连城产权交易网</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http://www.lcxcqjy.com/</w:t>
      </w:r>
      <w:r>
        <w:rPr>
          <w:rFonts w:hint="eastAsia" w:ascii="宋体" w:hAnsi="宋体" w:eastAsia="宋体" w:cs="宋体"/>
          <w:color w:val="000000" w:themeColor="text1"/>
          <w:sz w:val="24"/>
          <w:szCs w:val="24"/>
          <w:highlight w:val="none"/>
          <w14:textFill>
            <w14:solidFill>
              <w14:schemeClr w14:val="tx1"/>
            </w14:solidFill>
          </w14:textFill>
        </w:rPr>
        <w:t>）、龙岩市公共资源交易中心（</w:t>
      </w:r>
      <w:r>
        <w:rPr>
          <w:rFonts w:hint="eastAsia" w:ascii="宋体" w:hAnsi="宋体" w:eastAsia="宋体" w:cs="宋体"/>
          <w:color w:val="000000" w:themeColor="text1"/>
          <w:sz w:val="24"/>
          <w:szCs w:val="24"/>
          <w:highlight w:val="none"/>
          <w:lang w:eastAsia="zh-CN"/>
          <w14:textFill>
            <w14:solidFill>
              <w14:schemeClr w14:val="tx1"/>
            </w14:solidFill>
          </w14:textFill>
        </w:rPr>
        <w:t>https://ggzy.longyan.gov.cn/</w:t>
      </w:r>
      <w:r>
        <w:rPr>
          <w:rFonts w:hint="eastAsia" w:ascii="宋体" w:hAnsi="宋体" w:eastAsia="宋体" w:cs="宋体"/>
          <w:color w:val="000000" w:themeColor="text1"/>
          <w:sz w:val="24"/>
          <w:szCs w:val="24"/>
          <w:highlight w:val="none"/>
          <w14:textFill>
            <w14:solidFill>
              <w14:schemeClr w14:val="tx1"/>
            </w14:solidFill>
          </w14:textFill>
        </w:rPr>
        <w:t>）公布的招标公告中查看并下载招标文件，投标人制作的投标文件在接受投标文件的时间内递交至开标地点。</w:t>
      </w:r>
    </w:p>
    <w:p>
      <w:pPr>
        <w:pStyle w:val="1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4、招标文件售价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元人民币。</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5、递交投标文件（含相关原件）地点、开始及截止时间：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递交投标文件地点：龙岩市万宝广场市公共资源交易中心交易厅。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递交投标文件截止时间：详见招标公告或更正公告（若有），若不一致，以更正公告（若有）为准。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逾期收到的或不符合规定的投标文件将被拒绝。投标截止时间以接受投标文件地点时钟显示的时间为准。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6、开标时间、地点:</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开标时间：详见招标公告或更正公告（若有），若不一致，以更正公告（若有）为准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开标地点：龙岩市万宝广场市公共资源交易中心交易厅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供应商对本次招标活动事项有疑问的，可向采购单位或招标代理机构提出询问。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8、以上如有变更，[招标代理机构]会通过</w:t>
      </w:r>
      <w:r>
        <w:rPr>
          <w:rFonts w:hint="eastAsia" w:ascii="宋体" w:hAnsi="宋体" w:cs="宋体"/>
          <w:color w:val="000000" w:themeColor="text1"/>
          <w:sz w:val="24"/>
          <w:szCs w:val="24"/>
          <w:highlight w:val="none"/>
          <w:lang w:eastAsia="zh-CN"/>
          <w14:textFill>
            <w14:solidFill>
              <w14:schemeClr w14:val="tx1"/>
            </w14:solidFill>
          </w14:textFill>
        </w:rPr>
        <w:t>连城产权交易网</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http://www.lcxcqjy.com/</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龙岩市公共资源交易中心</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https://ggzy.longyan.gov.cn/</w:t>
      </w:r>
      <w:r>
        <w:rPr>
          <w:rFonts w:hint="eastAsia" w:ascii="宋体" w:hAnsi="宋体" w:eastAsia="宋体" w:cs="宋体"/>
          <w:color w:val="000000" w:themeColor="text1"/>
          <w:sz w:val="24"/>
          <w:szCs w:val="24"/>
          <w:highlight w:val="none"/>
          <w14:textFill>
            <w14:solidFill>
              <w14:schemeClr w14:val="tx1"/>
            </w14:solidFill>
          </w14:textFill>
        </w:rPr>
        <w:t>）通知，请投标人关注。</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9、采购单位：</w:t>
      </w:r>
      <w:r>
        <w:rPr>
          <w:rFonts w:hint="eastAsia" w:ascii="宋体" w:hAnsi="宋体" w:eastAsia="宋体" w:cs="宋体"/>
          <w:color w:val="000000" w:themeColor="text1"/>
          <w:sz w:val="24"/>
          <w:szCs w:val="24"/>
          <w:highlight w:val="none"/>
          <w:lang w:eastAsia="zh-CN"/>
          <w14:textFill>
            <w14:solidFill>
              <w14:schemeClr w14:val="tx1"/>
            </w14:solidFill>
          </w14:textFill>
        </w:rPr>
        <w:t>福建冠豸山现代农业发展有限公司</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黄</w:t>
      </w:r>
      <w:r>
        <w:rPr>
          <w:rFonts w:hint="eastAsia" w:ascii="宋体" w:hAnsi="宋体" w:eastAsia="宋体" w:cs="宋体"/>
          <w:color w:val="000000" w:themeColor="text1"/>
          <w:sz w:val="24"/>
          <w:szCs w:val="24"/>
          <w:highlight w:val="none"/>
          <w14:textFill>
            <w14:solidFill>
              <w14:schemeClr w14:val="tx1"/>
            </w14:solidFill>
          </w14:textFill>
        </w:rPr>
        <w:t xml:space="preserve">先生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0597-8923531</w:t>
      </w:r>
    </w:p>
    <w:p>
      <w:pPr>
        <w:pageBreakBefore w:val="0"/>
        <w:kinsoku/>
        <w:wordWrap/>
        <w:overflowPunct/>
        <w:topLinePunct w:val="0"/>
        <w:bidi w:val="0"/>
        <w:spacing w:line="360" w:lineRule="auto"/>
        <w:ind w:left="478" w:leftChars="228"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lang w:eastAsia="zh-CN"/>
          <w14:textFill>
            <w14:solidFill>
              <w14:schemeClr w14:val="tx1"/>
            </w14:solidFill>
          </w14:textFill>
        </w:rPr>
        <w:t>：</w:t>
      </w:r>
      <w:bookmarkStart w:id="4" w:name="EB87a81725671a4f299dee6072d5ad8e5a"/>
      <w:r>
        <w:rPr>
          <w:rFonts w:hint="eastAsia" w:ascii="宋体" w:hAnsi="宋体" w:eastAsia="宋体" w:cs="宋体"/>
          <w:color w:val="000000"/>
          <w:sz w:val="24"/>
        </w:rPr>
        <w:t>连城县莲峰镇杨屋村89号客家民俗村8幢</w:t>
      </w:r>
      <w:bookmarkEnd w:id="4"/>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邮编：366200</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cs="宋体"/>
          <w:color w:val="000000" w:themeColor="text1"/>
          <w:sz w:val="24"/>
          <w:szCs w:val="24"/>
          <w:highlight w:val="none"/>
          <w:lang w:eastAsia="zh-CN"/>
          <w14:textFill>
            <w14:solidFill>
              <w14:schemeClr w14:val="tx1"/>
            </w14:solidFill>
          </w14:textFill>
        </w:rPr>
        <w:t>连城县国有资产产权交易服务有限公司</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地址：福建省龙岩市连城县莲峰镇李彭村彭坊桥路1号4层</w:t>
      </w:r>
    </w:p>
    <w:p>
      <w:pPr>
        <w:pageBreakBefore w:val="0"/>
        <w:kinsoku/>
        <w:wordWrap/>
        <w:overflowPunct/>
        <w:topLinePunct w:val="0"/>
        <w:bidi w:val="0"/>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邮编：</w:t>
      </w:r>
      <w:r>
        <w:rPr>
          <w:rFonts w:hint="eastAsia" w:ascii="宋体" w:hAnsi="宋体" w:cs="宋体"/>
          <w:color w:val="000000" w:themeColor="text1"/>
          <w:sz w:val="24"/>
          <w:szCs w:val="24"/>
          <w:highlight w:val="none"/>
          <w:lang w:val="en-US" w:eastAsia="zh-CN"/>
          <w14:textFill>
            <w14:solidFill>
              <w14:schemeClr w14:val="tx1"/>
            </w14:solidFill>
          </w14:textFill>
        </w:rPr>
        <w:t>366200</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ascii="宋体" w:hAnsi="宋体" w:cs="宋体"/>
          <w:color w:val="000000" w:themeColor="text1"/>
          <w:sz w:val="24"/>
          <w:szCs w:val="24"/>
          <w:highlight w:val="none"/>
          <w:lang w:val="en-US" w:eastAsia="zh-CN"/>
          <w14:textFill>
            <w14:solidFill>
              <w14:schemeClr w14:val="tx1"/>
            </w14:solidFill>
          </w14:textFill>
        </w:rPr>
        <w:t>江</w:t>
      </w:r>
      <w:r>
        <w:rPr>
          <w:rFonts w:hint="eastAsia" w:ascii="宋体" w:hAnsi="宋体" w:eastAsia="宋体" w:cs="宋体"/>
          <w:color w:val="000000" w:themeColor="text1"/>
          <w:sz w:val="24"/>
          <w:szCs w:val="24"/>
          <w:highlight w:val="none"/>
          <w:lang w:val="en-US" w:eastAsia="zh-CN"/>
          <w14:textFill>
            <w14:solidFill>
              <w14:schemeClr w14:val="tx1"/>
            </w14:solidFill>
          </w14:textFill>
        </w:rPr>
        <w:t>女士</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18054993293</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财务联系人：</w:t>
      </w:r>
      <w:r>
        <w:rPr>
          <w:rFonts w:hint="eastAsia" w:ascii="宋体" w:hAnsi="宋体" w:cs="宋体"/>
          <w:color w:val="auto"/>
          <w:sz w:val="24"/>
          <w:lang w:val="en-US" w:eastAsia="zh-CN"/>
        </w:rPr>
        <w:t>陈</w:t>
      </w:r>
      <w:r>
        <w:rPr>
          <w:rFonts w:hint="eastAsia" w:ascii="宋体" w:hAnsi="宋体" w:eastAsia="宋体" w:cs="宋体"/>
          <w:color w:val="auto"/>
          <w:sz w:val="24"/>
        </w:rPr>
        <w:t>女士      电话：0597-</w:t>
      </w:r>
      <w:r>
        <w:rPr>
          <w:rFonts w:hint="eastAsia" w:ascii="宋体" w:hAnsi="宋体" w:cs="宋体"/>
          <w:color w:val="auto"/>
          <w:sz w:val="24"/>
          <w:lang w:val="en-US" w:eastAsia="zh-CN"/>
        </w:rPr>
        <w:t>8911050</w:t>
      </w:r>
    </w:p>
    <w:p>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电子信箱：lccqjyw@</w:t>
      </w:r>
      <w:r>
        <w:rPr>
          <w:rFonts w:hint="eastAsia" w:ascii="宋体" w:hAnsi="宋体" w:cs="宋体"/>
          <w:color w:val="auto"/>
          <w:sz w:val="24"/>
          <w:lang w:val="en-US" w:eastAsia="zh-CN"/>
        </w:rPr>
        <w:t>163</w:t>
      </w:r>
      <w:r>
        <w:rPr>
          <w:rFonts w:hint="eastAsia" w:ascii="宋体" w:hAnsi="宋体" w:eastAsia="宋体" w:cs="宋体"/>
          <w:color w:val="auto"/>
          <w:sz w:val="24"/>
        </w:rPr>
        <w:t xml:space="preserve">.com   </w:t>
      </w:r>
    </w:p>
    <w:p>
      <w:pPr>
        <w:spacing w:line="360" w:lineRule="auto"/>
        <w:ind w:firstLine="560" w:firstLineChars="200"/>
        <w:outlineLvl w:val="2"/>
        <w:rPr>
          <w:rFonts w:hint="eastAsia" w:ascii="宋体" w:hAnsi="宋体" w:eastAsia="宋体" w:cs="宋体"/>
          <w:b/>
          <w:bCs/>
          <w:color w:val="auto"/>
          <w:sz w:val="28"/>
          <w:szCs w:val="28"/>
        </w:rPr>
      </w:pPr>
    </w:p>
    <w:p>
      <w:pPr>
        <w:spacing w:line="360" w:lineRule="auto"/>
        <w:ind w:firstLine="560" w:firstLineChars="200"/>
        <w:outlineLvl w:val="2"/>
        <w:rPr>
          <w:rFonts w:hint="eastAsia" w:ascii="宋体" w:hAnsi="宋体" w:eastAsia="宋体" w:cs="宋体"/>
          <w:b/>
          <w:bCs/>
          <w:color w:val="auto"/>
          <w:sz w:val="28"/>
          <w:szCs w:val="28"/>
        </w:rPr>
      </w:pPr>
    </w:p>
    <w:p>
      <w:pPr>
        <w:pStyle w:val="4"/>
        <w:pageBreakBefore w:val="0"/>
        <w:numPr>
          <w:ilvl w:val="0"/>
          <w:numId w:val="0"/>
        </w:numPr>
        <w:kinsoku/>
        <w:wordWrap/>
        <w:overflowPunct/>
        <w:topLinePunct w:val="0"/>
        <w:bidi w:val="0"/>
        <w:spacing w:line="360" w:lineRule="auto"/>
        <w:ind w:firstLine="2160" w:firstLineChars="900"/>
        <w:jc w:val="both"/>
        <w:textAlignment w:val="auto"/>
        <w:rPr>
          <w:rFonts w:hint="eastAsia" w:ascii="宋体" w:hAnsi="宋体" w:eastAsia="宋体" w:cs="宋体"/>
        </w:rPr>
      </w:pPr>
      <w:bookmarkStart w:id="5" w:name="_Toc7997"/>
      <w:r>
        <w:rPr>
          <w:rFonts w:hint="eastAsia" w:ascii="宋体" w:hAnsi="宋体" w:eastAsia="宋体" w:cs="宋体"/>
          <w:color w:val="000000" w:themeColor="text1"/>
          <w:sz w:val="24"/>
          <w:szCs w:val="24"/>
          <w:highlight w:val="none"/>
          <w:lang w:eastAsia="zh-CN"/>
          <w14:textFill>
            <w14:solidFill>
              <w14:schemeClr w14:val="tx1"/>
            </w14:solidFill>
          </w14:textFill>
        </w:rPr>
        <w:br w:type="column"/>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招标货物（服务）一览表</w:t>
      </w:r>
      <w:bookmarkEnd w:id="5"/>
    </w:p>
    <w:p>
      <w:pPr>
        <w:pStyle w:val="2"/>
        <w:ind w:left="0" w:leftChars="0" w:firstLine="0" w:firstLineChars="0"/>
        <w:rPr>
          <w:rFonts w:hint="eastAsia" w:ascii="宋体" w:hAnsi="宋体" w:eastAsia="宋体" w:cs="宋体"/>
        </w:rPr>
      </w:pP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3099"/>
        <w:gridCol w:w="1064"/>
        <w:gridCol w:w="1079"/>
        <w:gridCol w:w="2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77" w:type="pct"/>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品目号</w:t>
            </w:r>
          </w:p>
        </w:tc>
        <w:tc>
          <w:tcPr>
            <w:tcW w:w="1669" w:type="pct"/>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采购标的</w:t>
            </w:r>
          </w:p>
        </w:tc>
        <w:tc>
          <w:tcPr>
            <w:tcW w:w="573" w:type="pct"/>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581" w:type="pct"/>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p>
        </w:tc>
        <w:tc>
          <w:tcPr>
            <w:tcW w:w="1598" w:type="pct"/>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77" w:type="pct"/>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669" w:type="pct"/>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连城县林坊镇2023年地瓜脱毒种苗扩繁基地—棚内设施建设（二期）项目</w:t>
            </w:r>
          </w:p>
        </w:tc>
        <w:tc>
          <w:tcPr>
            <w:tcW w:w="573" w:type="pct"/>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581" w:type="pct"/>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w:t>
            </w:r>
          </w:p>
        </w:tc>
        <w:tc>
          <w:tcPr>
            <w:tcW w:w="1598" w:type="pct"/>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详见招标文件第三章</w:t>
            </w:r>
          </w:p>
        </w:tc>
      </w:tr>
    </w:tbl>
    <w:p>
      <w:pPr>
        <w:pageBreakBefore w:val="0"/>
        <w:tabs>
          <w:tab w:val="left" w:pos="8360"/>
        </w:tabs>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tabs>
          <w:tab w:val="left" w:pos="8360"/>
        </w:tabs>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pPr>
        <w:pStyle w:val="10"/>
        <w:tabs>
          <w:tab w:val="left" w:pos="8360"/>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1、本项目为一个合同包，供应商对同一合同包内所有品目号内容投报时必须完整。评审及确定</w:t>
      </w:r>
      <w:r>
        <w:rPr>
          <w:rFonts w:hint="eastAsia" w:ascii="宋体" w:hAnsi="宋体" w:eastAsia="宋体" w:cs="宋体"/>
          <w:sz w:val="24"/>
          <w:szCs w:val="24"/>
          <w:lang w:val="en-US" w:eastAsia="zh-CN"/>
        </w:rPr>
        <w:t>中标单位</w:t>
      </w:r>
      <w:r>
        <w:rPr>
          <w:rFonts w:hint="eastAsia" w:ascii="宋体" w:hAnsi="宋体" w:eastAsia="宋体" w:cs="宋体"/>
          <w:sz w:val="24"/>
          <w:szCs w:val="24"/>
        </w:rPr>
        <w:t>以合同包为单位。</w:t>
      </w:r>
    </w:p>
    <w:p>
      <w:pPr>
        <w:pageBreakBefore w:val="0"/>
        <w:tabs>
          <w:tab w:val="left" w:pos="8360"/>
        </w:tabs>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2.采购需求的详细内容见招标文件第三章。</w:t>
      </w:r>
    </w:p>
    <w:p>
      <w:pPr>
        <w:pStyle w:val="19"/>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6" w:name="_Toc11142869"/>
      <w:bookmarkStart w:id="7" w:name="_Toc11141992"/>
      <w:bookmarkStart w:id="8" w:name="_Toc11141696"/>
      <w:bookmarkStart w:id="9" w:name="_Toc11141149"/>
      <w:bookmarkStart w:id="10" w:name="_Toc11141809"/>
      <w:bookmarkStart w:id="11" w:name="_Toc11141654"/>
      <w:bookmarkStart w:id="12" w:name="_Toc11142533"/>
      <w:bookmarkStart w:id="13" w:name="_Toc28715"/>
      <w:bookmarkStart w:id="14" w:name="_Toc11142864"/>
      <w:bookmarkStart w:id="15" w:name="_Toc11141228"/>
      <w:r>
        <w:rPr>
          <w:rFonts w:hint="eastAsia" w:ascii="宋体" w:hAnsi="宋体" w:eastAsia="宋体" w:cs="宋体"/>
          <w:color w:val="000000" w:themeColor="text1"/>
          <w:sz w:val="24"/>
          <w:szCs w:val="24"/>
          <w:highlight w:val="none"/>
          <w14:textFill>
            <w14:solidFill>
              <w14:schemeClr w14:val="tx1"/>
            </w14:solidFill>
          </w14:textFill>
        </w:rPr>
        <w:t>第二章 投标人须知</w:t>
      </w:r>
      <w:bookmarkEnd w:id="6"/>
      <w:bookmarkEnd w:id="7"/>
      <w:bookmarkEnd w:id="8"/>
      <w:bookmarkEnd w:id="9"/>
      <w:bookmarkEnd w:id="10"/>
      <w:bookmarkEnd w:id="11"/>
      <w:bookmarkEnd w:id="12"/>
      <w:bookmarkEnd w:id="13"/>
      <w:bookmarkEnd w:id="14"/>
      <w:bookmarkEnd w:id="15"/>
    </w:p>
    <w:p>
      <w:pPr>
        <w:pStyle w:val="4"/>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6" w:name="_Toc17732"/>
      <w:r>
        <w:rPr>
          <w:rFonts w:hint="eastAsia" w:ascii="宋体" w:hAnsi="宋体" w:eastAsia="宋体" w:cs="宋体"/>
          <w:color w:val="000000" w:themeColor="text1"/>
          <w:sz w:val="24"/>
          <w:szCs w:val="24"/>
          <w:highlight w:val="none"/>
          <w14:textFill>
            <w14:solidFill>
              <w14:schemeClr w14:val="tx1"/>
            </w14:solidFill>
          </w14:textFill>
        </w:rPr>
        <w:t>投标人须知前附表</w:t>
      </w:r>
      <w:bookmarkEnd w:id="16"/>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本须知前附表的条款号是与《投标人须知》中条款的项号相对应的。如果不一致的话，应以本须知前附表为准。</w:t>
      </w:r>
    </w:p>
    <w:tbl>
      <w:tblPr>
        <w:tblStyle w:val="21"/>
        <w:tblW w:w="892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94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80" w:type="dxa"/>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945" w:type="dxa"/>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7200" w:type="dxa"/>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45"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7200" w:type="dxa"/>
            <w:vAlign w:val="center"/>
          </w:tcPr>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连城县林坊镇2023年地瓜脱毒种苗扩繁基地—棚内设施建设（二期）项目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采购人名称：</w:t>
            </w:r>
            <w:r>
              <w:rPr>
                <w:rFonts w:hint="eastAsia" w:ascii="宋体" w:hAnsi="宋体" w:eastAsia="宋体" w:cs="宋体"/>
                <w:sz w:val="24"/>
                <w:szCs w:val="24"/>
                <w:lang w:eastAsia="zh-CN"/>
              </w:rPr>
              <w:t>福建冠豸山现代农业发展有限公司</w:t>
            </w:r>
          </w:p>
          <w:p>
            <w:pPr>
              <w:pStyle w:val="8"/>
              <w:rPr>
                <w:rFonts w:hint="eastAsia" w:ascii="宋体" w:hAnsi="宋体" w:eastAsia="宋体" w:cs="宋体"/>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项目编号：</w:t>
            </w:r>
            <w:r>
              <w:rPr>
                <w:rFonts w:hint="eastAsia" w:ascii="宋体" w:hAnsi="宋体" w:eastAsia="宋体" w:cs="宋体"/>
                <w:kern w:val="2"/>
                <w:sz w:val="24"/>
                <w:szCs w:val="24"/>
                <w:lang w:val="en-US" w:eastAsia="zh-CN" w:bidi="ar-SA"/>
              </w:rPr>
              <w:t>LCCQCGYQ2023001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80"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945"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200" w:type="dxa"/>
            <w:vAlign w:val="cente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投标人的资格要求：</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见《投标人须知》第3条。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80"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945"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7200" w:type="dxa"/>
            <w:vAlign w:val="cente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投标有效期：投标截止期结束后90个日历日。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80"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945" w:type="dxa"/>
            <w:vAlign w:val="cente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200" w:type="dxa"/>
            <w:vAlign w:val="cente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投标文件递交地址：龙岩市万宝广场市公共资源交易中心交易厅。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接收人：</w:t>
            </w:r>
            <w:r>
              <w:rPr>
                <w:rFonts w:hint="eastAsia" w:ascii="宋体" w:hAnsi="宋体" w:eastAsia="宋体" w:cs="宋体"/>
                <w:color w:val="000000" w:themeColor="text1"/>
                <w:sz w:val="24"/>
                <w:szCs w:val="24"/>
                <w:highlight w:val="none"/>
                <w:lang w:eastAsia="zh-CN"/>
                <w14:textFill>
                  <w14:solidFill>
                    <w14:schemeClr w14:val="tx1"/>
                  </w14:solidFill>
                </w14:textFill>
              </w:rPr>
              <w:t>连城县国有资产产权交易服务有限公司</w:t>
            </w:r>
            <w:r>
              <w:rPr>
                <w:rFonts w:hint="eastAsia" w:ascii="宋体" w:hAnsi="宋体" w:eastAsia="宋体" w:cs="宋体"/>
                <w:color w:val="000000" w:themeColor="text1"/>
                <w:sz w:val="24"/>
                <w:szCs w:val="24"/>
                <w:highlight w:val="none"/>
                <w14:textFill>
                  <w14:solidFill>
                    <w14:schemeClr w14:val="tx1"/>
                  </w14:solidFill>
                </w14:textFill>
              </w:rPr>
              <w:t>职工。</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投标文件递交地址及开标地址：龙岩市新罗区龙岩大道</w:t>
            </w:r>
            <w:r>
              <w:rPr>
                <w:rFonts w:hint="eastAsia" w:ascii="宋体" w:hAnsi="宋体" w:eastAsia="宋体" w:cs="宋体"/>
                <w:color w:val="auto"/>
                <w:sz w:val="24"/>
                <w:highlight w:val="none"/>
                <w:lang w:val="en-US" w:eastAsia="zh-CN"/>
              </w:rPr>
              <w:t>388号万宝广场B地块B楼交易厅。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highlight w:val="none"/>
                <w:lang w:val="en-US" w:eastAsia="zh-CN"/>
              </w:rPr>
              <w:t>开标时间：详见招标公告或更正公告（若有），若不一致，以更正公告（若有）为准。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80"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945"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7200" w:type="dxa"/>
            <w:vAlign w:val="center"/>
          </w:tcPr>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投标保证金</w:t>
            </w:r>
            <w:r>
              <w:rPr>
                <w:rFonts w:hint="eastAsia" w:ascii="宋体" w:hAnsi="宋体" w:eastAsia="宋体" w:cs="宋体"/>
                <w:sz w:val="24"/>
                <w:szCs w:val="24"/>
                <w:lang w:val="en-US" w:eastAsia="zh-CN"/>
              </w:rPr>
              <w:t>：0元</w:t>
            </w:r>
          </w:p>
          <w:p>
            <w:pPr>
              <w:pStyle w:val="8"/>
              <w:ind w:firstLine="480" w:firstLineChars="200"/>
              <w:rPr>
                <w:rFonts w:hint="eastAsia" w:ascii="宋体" w:hAnsi="宋体" w:eastAsia="宋体" w:cs="宋体"/>
                <w:lang w:val="en-US" w:eastAsia="zh-CN"/>
              </w:rPr>
            </w:pPr>
            <w:r>
              <w:rPr>
                <w:rFonts w:hint="eastAsia" w:ascii="宋体" w:hAnsi="宋体" w:eastAsia="宋体" w:cs="宋体"/>
                <w:sz w:val="24"/>
                <w:szCs w:val="24"/>
                <w:lang w:val="en-US" w:eastAsia="zh-CN"/>
              </w:rPr>
              <w:t>项目验收合格后，中标供应商须向代理机构提供验收报告复印件一份进行备案。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780" w:type="dxa"/>
            <w:tcBorders>
              <w:bottom w:val="single" w:color="auto" w:sz="4" w:space="0"/>
            </w:tcBorders>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945" w:type="dxa"/>
            <w:tcBorders>
              <w:bottom w:val="single" w:color="auto" w:sz="4" w:space="0"/>
            </w:tcBorders>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19.6</w:t>
            </w:r>
          </w:p>
        </w:tc>
        <w:tc>
          <w:tcPr>
            <w:tcW w:w="7200" w:type="dxa"/>
            <w:tcBorders>
              <w:bottom w:val="single" w:color="auto" w:sz="4" w:space="0"/>
            </w:tcBorders>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评标标准和方法：具体见《投标人须知》第19.6条。本项目确定中标</w:t>
            </w: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供应商为1家。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9" w:hRule="atLeast"/>
        </w:trPr>
        <w:tc>
          <w:tcPr>
            <w:tcW w:w="780"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945" w:type="dxa"/>
            <w:vAlign w:val="center"/>
          </w:tcPr>
          <w:p>
            <w:pPr>
              <w:pageBreakBefore w:val="0"/>
              <w:kinsoku/>
              <w:wordWrap/>
              <w:overflowPunct/>
              <w:topLinePunct w:val="0"/>
              <w:bidi w:val="0"/>
              <w:spacing w:line="360" w:lineRule="auto"/>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200" w:type="dxa"/>
            <w:vAlign w:val="cente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招标服务费：</w:t>
            </w:r>
            <w:r>
              <w:rPr>
                <w:rFonts w:hint="eastAsia" w:ascii="宋体" w:hAnsi="宋体" w:eastAsia="宋体" w:cs="宋体"/>
                <w:b/>
                <w:color w:val="000000" w:themeColor="text1"/>
                <w:sz w:val="24"/>
                <w:szCs w:val="24"/>
                <w:highlight w:val="none"/>
                <w:shd w:val="clear" w:color="auto" w:fill="FFFFFF"/>
                <w14:textFill>
                  <w14:solidFill>
                    <w14:schemeClr w14:val="tx1"/>
                  </w14:solidFill>
                </w14:textFill>
              </w:rPr>
              <w:t>本项目的招标代理服务费按下列标准向</w:t>
            </w:r>
            <w:r>
              <w:rPr>
                <w:rFonts w:hint="eastAsia" w:ascii="宋体" w:hAnsi="宋体" w:eastAsia="宋体" w:cs="宋体"/>
                <w:b/>
                <w:color w:val="000000" w:themeColor="text1"/>
                <w:sz w:val="24"/>
                <w:szCs w:val="24"/>
                <w:highlight w:val="none"/>
                <w:u w:val="single"/>
                <w:shd w:val="clear" w:color="auto" w:fill="FFFFFF"/>
                <w14:textFill>
                  <w14:solidFill>
                    <w14:schemeClr w14:val="tx1"/>
                  </w14:solidFill>
                </w14:textFill>
              </w:rPr>
              <w:t>中标</w:t>
            </w:r>
            <w:r>
              <w:rPr>
                <w:rFonts w:hint="eastAsia" w:ascii="宋体" w:hAnsi="宋体" w:eastAsia="宋体" w:cs="宋体"/>
                <w:b/>
                <w:color w:val="000000" w:themeColor="text1"/>
                <w:sz w:val="24"/>
                <w:szCs w:val="24"/>
                <w:highlight w:val="none"/>
                <w:u w:val="single"/>
                <w:shd w:val="clear" w:color="auto" w:fill="FFFFFF"/>
                <w:lang w:eastAsia="zh-CN"/>
                <w14:textFill>
                  <w14:solidFill>
                    <w14:schemeClr w14:val="tx1"/>
                  </w14:solidFill>
                </w14:textFill>
              </w:rPr>
              <w:t>（成交）</w:t>
            </w:r>
            <w:r>
              <w:rPr>
                <w:rFonts w:hint="eastAsia" w:ascii="宋体" w:hAnsi="宋体" w:eastAsia="宋体" w:cs="宋体"/>
                <w:b/>
                <w:color w:val="000000" w:themeColor="text1"/>
                <w:sz w:val="24"/>
                <w:szCs w:val="24"/>
                <w:highlight w:val="none"/>
                <w:u w:val="single"/>
                <w:shd w:val="clear" w:color="auto" w:fill="FFFFFF"/>
                <w14:textFill>
                  <w14:solidFill>
                    <w14:schemeClr w14:val="tx1"/>
                  </w14:solidFill>
                </w14:textFill>
              </w:rPr>
              <w:t>供应商</w:t>
            </w:r>
            <w:r>
              <w:rPr>
                <w:rFonts w:hint="eastAsia" w:ascii="宋体" w:hAnsi="宋体" w:eastAsia="宋体" w:cs="宋体"/>
                <w:b/>
                <w:color w:val="000000" w:themeColor="text1"/>
                <w:sz w:val="24"/>
                <w:szCs w:val="24"/>
                <w:highlight w:val="none"/>
                <w:shd w:val="clear" w:color="auto" w:fill="FFFFFF"/>
                <w14:textFill>
                  <w14:solidFill>
                    <w14:schemeClr w14:val="tx1"/>
                  </w14:solidFill>
                </w14:textFill>
              </w:rPr>
              <w:t>收取。</w:t>
            </w:r>
            <w:r>
              <w:rPr>
                <w:rFonts w:hint="eastAsia" w:ascii="宋体" w:hAnsi="宋体" w:eastAsia="宋体" w:cs="宋体"/>
                <w:color w:val="000000" w:themeColor="text1"/>
                <w:sz w:val="24"/>
                <w:szCs w:val="24"/>
                <w:highlight w:val="none"/>
                <w14:textFill>
                  <w14:solidFill>
                    <w14:schemeClr w14:val="tx1"/>
                  </w14:solidFill>
                </w14:textFill>
              </w:rPr>
              <w:t>中标</w:t>
            </w: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供应商在领取《中标通知书》前须将招标代理服务费缴至</w:t>
            </w:r>
            <w:r>
              <w:rPr>
                <w:rFonts w:hint="eastAsia" w:ascii="宋体" w:hAnsi="宋体" w:eastAsia="宋体" w:cs="宋体"/>
                <w:color w:val="000000" w:themeColor="text1"/>
                <w:sz w:val="24"/>
                <w:szCs w:val="24"/>
                <w:highlight w:val="none"/>
                <w:lang w:eastAsia="zh-CN"/>
                <w14:textFill>
                  <w14:solidFill>
                    <w14:schemeClr w14:val="tx1"/>
                  </w14:solidFill>
                </w14:textFill>
              </w:rPr>
              <w:t>连城县国有资产产权交易服务有限公司</w:t>
            </w:r>
            <w:r>
              <w:rPr>
                <w:rFonts w:hint="eastAsia" w:ascii="宋体" w:hAnsi="宋体" w:eastAsia="宋体" w:cs="宋体"/>
                <w:color w:val="000000" w:themeColor="text1"/>
                <w:sz w:val="24"/>
                <w:szCs w:val="24"/>
                <w:highlight w:val="none"/>
                <w14:textFill>
                  <w14:solidFill>
                    <w14:schemeClr w14:val="tx1"/>
                  </w14:solidFill>
                </w14:textFill>
              </w:rPr>
              <w:t>帐户。收到款项后，</w:t>
            </w:r>
            <w:r>
              <w:rPr>
                <w:rFonts w:hint="eastAsia" w:ascii="宋体" w:hAnsi="宋体" w:eastAsia="宋体" w:cs="宋体"/>
                <w:color w:val="000000" w:themeColor="text1"/>
                <w:sz w:val="24"/>
                <w:szCs w:val="24"/>
                <w:highlight w:val="none"/>
                <w:lang w:eastAsia="zh-CN"/>
                <w14:textFill>
                  <w14:solidFill>
                    <w14:schemeClr w14:val="tx1"/>
                  </w14:solidFill>
                </w14:textFill>
              </w:rPr>
              <w:t>连城县国有资产产权交易服务有限公司</w:t>
            </w:r>
            <w:r>
              <w:rPr>
                <w:rFonts w:hint="eastAsia" w:ascii="宋体" w:hAnsi="宋体" w:eastAsia="宋体" w:cs="宋体"/>
                <w:color w:val="000000" w:themeColor="text1"/>
                <w:sz w:val="24"/>
                <w:szCs w:val="24"/>
                <w:highlight w:val="none"/>
                <w14:textFill>
                  <w14:solidFill>
                    <w14:schemeClr w14:val="tx1"/>
                  </w14:solidFill>
                </w14:textFill>
              </w:rPr>
              <w:t>出具正式发票。</w:t>
            </w:r>
          </w:p>
          <w:tbl>
            <w:tblPr>
              <w:tblStyle w:val="21"/>
              <w:tblW w:w="4852"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04"/>
              <w:gridCol w:w="1381"/>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jc w:val="center"/>
              </w:trPr>
              <w:tc>
                <w:tcPr>
                  <w:tcW w:w="3809" w:type="dxa"/>
                  <w:vAlign w:val="center"/>
                </w:tcPr>
                <w:p>
                  <w:pPr>
                    <w:pageBreakBefore w:val="0"/>
                    <w:widowControl/>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成交金额（万元）</w:t>
                  </w:r>
                </w:p>
              </w:tc>
              <w:tc>
                <w:tcPr>
                  <w:tcW w:w="1383" w:type="dxa"/>
                  <w:tcBorders>
                    <w:right w:val="single" w:color="auto" w:sz="12" w:space="0"/>
                  </w:tcBorders>
                  <w:vAlign w:val="center"/>
                </w:tcPr>
                <w:p>
                  <w:pPr>
                    <w:pageBreakBefore w:val="0"/>
                    <w:widowControl/>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服务费比率</w:t>
                  </w:r>
                </w:p>
              </w:tc>
              <w:tc>
                <w:tcPr>
                  <w:tcW w:w="1575" w:type="dxa"/>
                  <w:tcBorders>
                    <w:left w:val="single" w:color="auto" w:sz="4" w:space="0"/>
                  </w:tcBorders>
                  <w:vAlign w:val="center"/>
                </w:tcPr>
                <w:p>
                  <w:pPr>
                    <w:pageBreakBefore w:val="0"/>
                    <w:widowControl/>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 w:hRule="atLeast"/>
                <w:tblCellSpacing w:w="0" w:type="dxa"/>
                <w:jc w:val="center"/>
              </w:trPr>
              <w:tc>
                <w:tcPr>
                  <w:tcW w:w="3809" w:type="dxa"/>
                  <w:vAlign w:val="center"/>
                </w:tcPr>
                <w:p>
                  <w:pPr>
                    <w:pageBreakBefore w:val="0"/>
                    <w:widowControl/>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100以下</w:t>
                  </w:r>
                </w:p>
              </w:tc>
              <w:tc>
                <w:tcPr>
                  <w:tcW w:w="1383" w:type="dxa"/>
                  <w:tcBorders>
                    <w:right w:val="single" w:color="auto" w:sz="12" w:space="0"/>
                  </w:tcBorders>
                  <w:vAlign w:val="center"/>
                </w:tcPr>
                <w:p>
                  <w:pPr>
                    <w:pageBreakBefore w:val="0"/>
                    <w:widowControl/>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1575" w:type="dxa"/>
                  <w:vMerge w:val="restart"/>
                  <w:tcBorders>
                    <w:left w:val="single" w:color="auto" w:sz="4" w:space="0"/>
                  </w:tcBorders>
                </w:tcPr>
                <w:p>
                  <w:pPr>
                    <w:pageBreakBefore w:val="0"/>
                    <w:widowControl/>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成交服务费按差额定率累进法计算。</w:t>
                  </w:r>
                  <w:r>
                    <w:rPr>
                      <w:rFonts w:hint="eastAsia" w:ascii="宋体" w:hAnsi="宋体" w:eastAsia="宋体" w:cs="宋体"/>
                      <w:color w:val="000000" w:themeColor="text1"/>
                      <w:sz w:val="24"/>
                      <w:szCs w:val="24"/>
                      <w:highlight w:val="none"/>
                      <w:lang w:eastAsia="zh-CN"/>
                      <w14:textFill>
                        <w14:solidFill>
                          <w14:schemeClr w14:val="tx1"/>
                        </w14:solidFill>
                      </w14:textFill>
                    </w:rPr>
                    <w:t>不足</w:t>
                  </w:r>
                  <w:r>
                    <w:rPr>
                      <w:rFonts w:hint="eastAsia" w:ascii="宋体" w:hAnsi="宋体" w:eastAsia="宋体" w:cs="宋体"/>
                      <w:color w:val="000000" w:themeColor="text1"/>
                      <w:sz w:val="24"/>
                      <w:szCs w:val="24"/>
                      <w:highlight w:val="none"/>
                      <w:lang w:val="en-US" w:eastAsia="zh-CN"/>
                      <w14:textFill>
                        <w14:solidFill>
                          <w14:schemeClr w14:val="tx1"/>
                        </w14:solidFill>
                      </w14:textFill>
                    </w:rPr>
                    <w:t>5000元按5000元计算。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 w:hRule="atLeast"/>
                <w:tblCellSpacing w:w="0" w:type="dxa"/>
                <w:jc w:val="center"/>
              </w:trPr>
              <w:tc>
                <w:tcPr>
                  <w:tcW w:w="3809" w:type="dxa"/>
                  <w:vAlign w:val="center"/>
                </w:tcPr>
                <w:p>
                  <w:pPr>
                    <w:pageBreakBefore w:val="0"/>
                    <w:widowControl/>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100—500</w:t>
                  </w:r>
                </w:p>
              </w:tc>
              <w:tc>
                <w:tcPr>
                  <w:tcW w:w="1383" w:type="dxa"/>
                  <w:tcBorders>
                    <w:right w:val="single" w:color="auto" w:sz="12" w:space="0"/>
                  </w:tcBorders>
                  <w:vAlign w:val="center"/>
                </w:tcPr>
                <w:p>
                  <w:pPr>
                    <w:pageBreakBefore w:val="0"/>
                    <w:widowControl/>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w:t>
                  </w:r>
                </w:p>
              </w:tc>
              <w:tc>
                <w:tcPr>
                  <w:tcW w:w="1575" w:type="dxa"/>
                  <w:vMerge w:val="continue"/>
                  <w:tcBorders>
                    <w:left w:val="single" w:color="auto" w:sz="4" w:space="0"/>
                  </w:tcBorders>
                  <w:vAlign w:val="center"/>
                </w:tcPr>
                <w:p>
                  <w:pPr>
                    <w:pageBreakBefore w:val="0"/>
                    <w:widowControl/>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 w:hRule="atLeast"/>
                <w:tblCellSpacing w:w="0" w:type="dxa"/>
                <w:jc w:val="center"/>
              </w:trPr>
              <w:tc>
                <w:tcPr>
                  <w:tcW w:w="3809" w:type="dxa"/>
                  <w:vAlign w:val="center"/>
                </w:tcPr>
                <w:p>
                  <w:pPr>
                    <w:pageBreakBefore w:val="0"/>
                    <w:widowControl/>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500—1000</w:t>
                  </w:r>
                </w:p>
              </w:tc>
              <w:tc>
                <w:tcPr>
                  <w:tcW w:w="1383" w:type="dxa"/>
                  <w:tcBorders>
                    <w:right w:val="single" w:color="auto" w:sz="12" w:space="0"/>
                  </w:tcBorders>
                  <w:vAlign w:val="center"/>
                </w:tcPr>
                <w:p>
                  <w:pPr>
                    <w:pageBreakBefore w:val="0"/>
                    <w:widowControl/>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color w:val="000000" w:themeColor="text1"/>
                      <w:sz w:val="24"/>
                      <w:szCs w:val="24"/>
                      <w:highlight w:val="none"/>
                      <w14:textFill>
                        <w14:solidFill>
                          <w14:schemeClr w14:val="tx1"/>
                        </w14:solidFill>
                      </w14:textFill>
                    </w:rPr>
                    <w:t>％</w:t>
                  </w:r>
                </w:p>
              </w:tc>
              <w:tc>
                <w:tcPr>
                  <w:tcW w:w="1575" w:type="dxa"/>
                  <w:vMerge w:val="continue"/>
                  <w:tcBorders>
                    <w:left w:val="single" w:color="auto" w:sz="4" w:space="0"/>
                  </w:tcBorders>
                  <w:vAlign w:val="center"/>
                </w:tcPr>
                <w:p>
                  <w:pPr>
                    <w:pageBreakBefore w:val="0"/>
                    <w:widowControl/>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 w:hRule="atLeast"/>
                <w:tblCellSpacing w:w="0" w:type="dxa"/>
                <w:jc w:val="center"/>
              </w:trPr>
              <w:tc>
                <w:tcPr>
                  <w:tcW w:w="3809" w:type="dxa"/>
                  <w:vAlign w:val="center"/>
                </w:tcPr>
                <w:p>
                  <w:pPr>
                    <w:pageBreakBefore w:val="0"/>
                    <w:widowControl/>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1000—5000</w:t>
                  </w:r>
                </w:p>
              </w:tc>
              <w:tc>
                <w:tcPr>
                  <w:tcW w:w="1383" w:type="dxa"/>
                  <w:tcBorders>
                    <w:right w:val="single" w:color="auto" w:sz="12" w:space="0"/>
                  </w:tcBorders>
                  <w:vAlign w:val="center"/>
                </w:tcPr>
                <w:p>
                  <w:pPr>
                    <w:pageBreakBefore w:val="0"/>
                    <w:widowControl/>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w:t>
                  </w:r>
                </w:p>
              </w:tc>
              <w:tc>
                <w:tcPr>
                  <w:tcW w:w="1575" w:type="dxa"/>
                  <w:vMerge w:val="continue"/>
                  <w:tcBorders>
                    <w:left w:val="single" w:color="auto" w:sz="4" w:space="0"/>
                  </w:tcBorders>
                  <w:vAlign w:val="center"/>
                </w:tcPr>
                <w:p>
                  <w:pPr>
                    <w:pageBreakBefore w:val="0"/>
                    <w:widowControl/>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sz w:val="24"/>
                <w:lang w:val="en-US" w:eastAsia="zh-CN"/>
              </w:rPr>
              <w:t>采购项目交易服务费：本项目的交易服务费以</w:t>
            </w:r>
            <w:r>
              <w:rPr>
                <w:rFonts w:hint="eastAsia" w:ascii="宋体" w:hAnsi="宋体" w:eastAsia="宋体" w:cs="Times New Roman"/>
                <w:sz w:val="24"/>
                <w:lang w:val="en-US" w:eastAsia="zh-CN"/>
              </w:rPr>
              <w:t>中标金额为基数按《龙岩市公共资源交易中心国土、采购、国有产权项目交易服务收费标准》由</w:t>
            </w:r>
            <w:r>
              <w:rPr>
                <w:rFonts w:hint="eastAsia" w:ascii="宋体" w:hAnsi="宋体" w:eastAsia="宋体" w:cs="Times New Roman"/>
                <w:color w:val="0000FF"/>
                <w:sz w:val="24"/>
                <w:lang w:val="en-US" w:eastAsia="zh-CN"/>
              </w:rPr>
              <w:t>中标供应商</w:t>
            </w:r>
            <w:r>
              <w:rPr>
                <w:rFonts w:hint="eastAsia" w:ascii="宋体" w:hAnsi="宋体" w:eastAsia="宋体" w:cs="Times New Roman"/>
                <w:sz w:val="24"/>
                <w:lang w:val="en-US" w:eastAsia="zh-CN"/>
              </w:rPr>
              <w:t>向龙岩市公共资源交易中心缴交。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80"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945" w:type="dxa"/>
            <w:vAlign w:val="center"/>
          </w:tcPr>
          <w:p>
            <w:pPr>
              <w:pageBreakBefore w:val="0"/>
              <w:kinsoku/>
              <w:wordWrap/>
              <w:overflowPunct/>
              <w:topLinePunct w:val="0"/>
              <w:bidi w:val="0"/>
              <w:spacing w:line="360" w:lineRule="auto"/>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200" w:type="dxa"/>
            <w:vAlign w:val="center"/>
          </w:tcPr>
          <w:p>
            <w:pPr>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招标项目监督部门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福建省连城农民创业园管理委员会</w:t>
            </w:r>
          </w:p>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rPr>
              <w:t>电话：</w:t>
            </w:r>
            <w:bookmarkStart w:id="17" w:name="EBba1bbde095344aaf9270e5354fd57042"/>
            <w:r>
              <w:rPr>
                <w:rFonts w:hint="eastAsia" w:ascii="宋体" w:hAnsi="宋体" w:eastAsia="宋体" w:cs="宋体"/>
                <w:color w:val="auto"/>
                <w:sz w:val="24"/>
                <w:szCs w:val="24"/>
                <w:highlight w:val="none"/>
                <w:lang w:val="en-US" w:eastAsia="zh-CN"/>
              </w:rPr>
              <w:t>0597-3329956</w:t>
            </w:r>
            <w:bookmarkEnd w:id="17"/>
            <w:r>
              <w:rPr>
                <w:rFonts w:hint="eastAsia" w:ascii="宋体" w:hAnsi="宋体" w:eastAsia="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0"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945" w:type="dxa"/>
            <w:vAlign w:val="center"/>
          </w:tcPr>
          <w:p>
            <w:pPr>
              <w:pageBreakBefore w:val="0"/>
              <w:kinsoku/>
              <w:wordWrap/>
              <w:overflowPunct/>
              <w:topLinePunct w:val="0"/>
              <w:bidi w:val="0"/>
              <w:spacing w:line="360" w:lineRule="auto"/>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200"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基本服务费</w:t>
            </w:r>
            <w:r>
              <w:rPr>
                <w:rFonts w:hint="eastAsia" w:ascii="宋体" w:hAnsi="宋体" w:eastAsia="宋体" w:cs="宋体"/>
                <w:sz w:val="24"/>
                <w:szCs w:val="24"/>
              </w:rPr>
              <w:t>预算价（最高</w:t>
            </w:r>
            <w:r>
              <w:rPr>
                <w:rFonts w:hint="eastAsia" w:ascii="宋体" w:hAnsi="宋体" w:eastAsia="宋体" w:cs="宋体"/>
                <w:sz w:val="24"/>
                <w:szCs w:val="24"/>
                <w:lang w:val="en-US" w:eastAsia="zh-CN"/>
              </w:rPr>
              <w:t>控制价</w:t>
            </w:r>
            <w:r>
              <w:rPr>
                <w:rFonts w:hint="eastAsia" w:ascii="宋体" w:hAnsi="宋体" w:eastAsia="宋体" w:cs="宋体"/>
                <w:sz w:val="24"/>
                <w:szCs w:val="24"/>
              </w:rPr>
              <w:t>）为</w:t>
            </w:r>
            <w:r>
              <w:rPr>
                <w:rFonts w:hint="eastAsia" w:ascii="宋体" w:hAnsi="宋体" w:eastAsia="宋体" w:cs="宋体"/>
                <w:sz w:val="24"/>
                <w:szCs w:val="24"/>
                <w:lang w:eastAsia="zh-CN"/>
              </w:rPr>
              <w:t>：</w:t>
            </w:r>
            <w:r>
              <w:rPr>
                <w:rFonts w:hint="eastAsia" w:ascii="宋体" w:hAnsi="宋体" w:eastAsia="宋体" w:cs="宋体"/>
                <w:color w:val="auto"/>
                <w:sz w:val="24"/>
                <w:szCs w:val="24"/>
                <w:u w:val="single"/>
                <w:lang w:val="en-US" w:eastAsia="zh-CN"/>
              </w:rPr>
              <w:t>109.79</w:t>
            </w:r>
            <w:r>
              <w:rPr>
                <w:rFonts w:hint="eastAsia" w:ascii="宋体" w:hAnsi="宋体" w:eastAsia="宋体" w:cs="宋体"/>
                <w:sz w:val="24"/>
                <w:szCs w:val="24"/>
                <w:u w:val="single"/>
                <w:lang w:val="en-US" w:eastAsia="zh-CN"/>
              </w:rPr>
              <w:t>万</w:t>
            </w:r>
            <w:r>
              <w:rPr>
                <w:rFonts w:hint="eastAsia" w:ascii="宋体" w:hAnsi="宋体" w:eastAsia="宋体" w:cs="宋体"/>
                <w:sz w:val="24"/>
                <w:szCs w:val="24"/>
                <w:u w:val="single"/>
              </w:rPr>
              <w:t>元</w:t>
            </w:r>
            <w:r>
              <w:rPr>
                <w:rFonts w:hint="eastAsia" w:ascii="宋体" w:hAnsi="宋体" w:eastAsia="宋体" w:cs="宋体"/>
                <w:sz w:val="24"/>
                <w:szCs w:val="24"/>
                <w:lang w:eastAsia="zh-CN"/>
              </w:rPr>
              <w:t>，</w:t>
            </w:r>
            <w:r>
              <w:rPr>
                <w:rFonts w:hint="eastAsia" w:ascii="宋体" w:hAnsi="宋体" w:eastAsia="宋体" w:cs="宋体"/>
                <w:sz w:val="24"/>
                <w:szCs w:val="24"/>
              </w:rPr>
              <w:t>投标人的报价超过最高控制价的，为无效投标。</w:t>
            </w:r>
          </w:p>
          <w:p>
            <w:pPr>
              <w:pStyle w:val="8"/>
              <w:rPr>
                <w:rFonts w:hint="eastAsia" w:ascii="宋体" w:hAnsi="宋体" w:eastAsia="宋体" w:cs="宋体"/>
              </w:rPr>
            </w:pPr>
            <w:r>
              <w:rPr>
                <w:rFonts w:hint="eastAsia" w:ascii="宋体" w:hAnsi="宋体" w:eastAsia="宋体" w:cs="宋体"/>
                <w:sz w:val="24"/>
                <w:szCs w:val="24"/>
              </w:rPr>
              <w:t>投标系统客户端后台显示的最高限价</w:t>
            </w:r>
            <w:r>
              <w:rPr>
                <w:rFonts w:hint="eastAsia" w:ascii="宋体" w:hAnsi="宋体" w:eastAsia="宋体" w:cs="宋体"/>
                <w:sz w:val="24"/>
                <w:szCs w:val="24"/>
                <w:lang w:eastAsia="zh-CN"/>
              </w:rPr>
              <w:t>（最高控制价）</w:t>
            </w:r>
            <w:r>
              <w:rPr>
                <w:rFonts w:hint="eastAsia" w:ascii="宋体" w:hAnsi="宋体" w:eastAsia="宋体" w:cs="宋体"/>
                <w:sz w:val="24"/>
                <w:szCs w:val="24"/>
              </w:rPr>
              <w:t>与上述金额不一致的，以上述金额为准。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80"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945" w:type="dxa"/>
            <w:vAlign w:val="center"/>
          </w:tcPr>
          <w:p>
            <w:pPr>
              <w:pageBreakBefore w:val="0"/>
              <w:kinsoku/>
              <w:wordWrap/>
              <w:overflowPunct/>
              <w:topLinePunct w:val="0"/>
              <w:bidi w:val="0"/>
              <w:spacing w:line="360" w:lineRule="auto"/>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200"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无效投标及废标具体条款：</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招标文件第二章17.3、19.4、19.5；</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投标人超过最高限价的投标为无效投标。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3.本项目采购公告 七、提交投标文件截止时间、开标时间和地点。</w:t>
            </w:r>
          </w:p>
          <w:p>
            <w:pPr>
              <w:pStyle w:val="8"/>
              <w:ind w:firstLine="480" w:firstLineChars="200"/>
              <w:rPr>
                <w:rFonts w:hint="eastAsia" w:ascii="宋体" w:hAnsi="宋体" w:eastAsia="宋体" w:cs="宋体"/>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4.招标文件 第三章 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80"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945"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25.2</w:t>
            </w:r>
          </w:p>
        </w:tc>
        <w:tc>
          <w:tcPr>
            <w:tcW w:w="7200" w:type="dxa"/>
            <w:vAlign w:val="cente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招标文件质疑时效：</w:t>
            </w:r>
            <w:r>
              <w:rPr>
                <w:rFonts w:hint="eastAsia" w:ascii="宋体" w:hAnsi="宋体" w:eastAsia="宋体" w:cs="宋体"/>
                <w:color w:val="000000" w:themeColor="text1"/>
                <w:sz w:val="24"/>
                <w:lang w:eastAsia="zh-CN"/>
                <w14:textFill>
                  <w14:solidFill>
                    <w14:schemeClr w14:val="tx1"/>
                  </w14:solidFill>
                </w14:textFill>
              </w:rPr>
              <w:t>采购公告发布之日起</w:t>
            </w:r>
            <w:r>
              <w:rPr>
                <w:rFonts w:hint="eastAsia" w:ascii="宋体" w:hAnsi="宋体" w:eastAsia="宋体" w:cs="宋体"/>
                <w:color w:val="000000" w:themeColor="text1"/>
                <w:sz w:val="24"/>
                <w:lang w:val="en-US" w:eastAsia="zh-CN"/>
                <w14:textFill>
                  <w14:solidFill>
                    <w14:schemeClr w14:val="tx1"/>
                  </w14:solidFill>
                </w14:textFill>
              </w:rPr>
              <w:t>15个日历天内（不含采购公告发布当日）</w:t>
            </w:r>
            <w:r>
              <w:rPr>
                <w:rFonts w:hint="eastAsia" w:ascii="宋体" w:hAnsi="宋体" w:eastAsia="宋体" w:cs="宋体"/>
                <w:color w:val="000000" w:themeColor="text1"/>
                <w:sz w:val="24"/>
                <w14:textFill>
                  <w14:solidFill>
                    <w14:schemeClr w14:val="tx1"/>
                  </w14:solidFill>
                </w14:textFill>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除上述规定外，对招标文件提出的质疑还应符合招标文件第二章</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七、质疑的规定。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8" w:hRule="atLeast"/>
        </w:trPr>
        <w:tc>
          <w:tcPr>
            <w:tcW w:w="780" w:type="dxa"/>
            <w:vAlign w:val="center"/>
          </w:tcPr>
          <w:p>
            <w:pPr>
              <w:pageBreakBefore w:val="0"/>
              <w:kinsoku/>
              <w:wordWrap/>
              <w:overflowPunct/>
              <w:topLinePunct w:val="0"/>
              <w:bidi w:val="0"/>
              <w:spacing w:line="360" w:lineRule="auto"/>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bookmarkStart w:id="18" w:name="_Toc22274"/>
            <w:r>
              <w:rPr>
                <w:rFonts w:hint="eastAsia" w:ascii="宋体" w:hAnsi="宋体" w:cs="宋体"/>
                <w:color w:val="000000" w:themeColor="text1"/>
                <w:sz w:val="24"/>
                <w:szCs w:val="24"/>
                <w:highlight w:val="none"/>
                <w:lang w:val="en-US" w:eastAsia="zh-CN"/>
                <w14:textFill>
                  <w14:solidFill>
                    <w14:schemeClr w14:val="tx1"/>
                  </w14:solidFill>
                </w14:textFill>
              </w:rPr>
              <w:t>12</w:t>
            </w:r>
          </w:p>
        </w:tc>
        <w:tc>
          <w:tcPr>
            <w:tcW w:w="945"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200" w:type="dxa"/>
            <w:vAlign w:val="center"/>
          </w:tcPr>
          <w:p>
            <w:pPr>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其他事项：</w:t>
            </w:r>
          </w:p>
          <w:p>
            <w:pPr>
              <w:pageBreakBefore w:val="0"/>
              <w:tabs>
                <w:tab w:val="left" w:pos="510"/>
                <w:tab w:val="left" w:pos="624"/>
              </w:tabs>
              <w:kinsoku/>
              <w:wordWrap/>
              <w:overflowPunct/>
              <w:topLinePunct w:val="0"/>
              <w:autoSpaceDE/>
              <w:autoSpaceDN/>
              <w:bidi w:val="0"/>
              <w:adjustRightInd w:val="0"/>
              <w:snapToGrid w:val="0"/>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1、解释权：采购代理机构拥有本项目招标文件的最终解释权。 </w:t>
            </w:r>
          </w:p>
          <w:p>
            <w:pPr>
              <w:pageBreakBefore w:val="0"/>
              <w:tabs>
                <w:tab w:val="left" w:pos="510"/>
                <w:tab w:val="left" w:pos="624"/>
              </w:tabs>
              <w:kinsoku/>
              <w:wordWrap/>
              <w:overflowPunct/>
              <w:topLinePunct w:val="0"/>
              <w:autoSpaceDE/>
              <w:autoSpaceDN/>
              <w:bidi w:val="0"/>
              <w:adjustRightInd w:val="0"/>
              <w:snapToGrid w:val="0"/>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所有资格证明文件应是最新、有效、完整、清晰的。有年检要求的应符合规定。有变更事宜的，变更文件应附齐全。评标委员会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p>
          <w:p>
            <w:pPr>
              <w:pageBreakBefore w:val="0"/>
              <w:tabs>
                <w:tab w:val="left" w:pos="510"/>
                <w:tab w:val="left" w:pos="624"/>
              </w:tabs>
              <w:kinsoku/>
              <w:wordWrap/>
              <w:overflowPunct/>
              <w:topLinePunct w:val="0"/>
              <w:autoSpaceDE/>
              <w:autoSpaceDN/>
              <w:bidi w:val="0"/>
              <w:adjustRightInd w:val="0"/>
              <w:snapToGrid w:val="0"/>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3、资格审查文件及技术文件中不得出现商务文件的全部或部分的投标报价信息（或组成资料），否则符合性审查不合格。 </w:t>
            </w:r>
          </w:p>
          <w:p>
            <w:pPr>
              <w:pStyle w:val="4"/>
              <w:pageBreakBefore w:val="0"/>
              <w:kinsoku/>
              <w:wordWrap/>
              <w:overflowPunct/>
              <w:topLinePunct w:val="0"/>
              <w:autoSpaceDE/>
              <w:autoSpaceDN/>
              <w:bidi w:val="0"/>
              <w:adjustRightInd w:val="0"/>
              <w:snapToGrid w:val="0"/>
              <w:spacing w:before="0" w:after="0" w:line="440" w:lineRule="exact"/>
              <w:textAlignment w:val="auto"/>
              <w:rPr>
                <w:rFonts w:hint="eastAsia" w:ascii="宋体" w:hAnsi="宋体" w:eastAsia="宋体" w:cs="宋体"/>
                <w:b w:val="0"/>
                <w:bCs w:val="0"/>
                <w:color w:val="0000FF"/>
                <w:sz w:val="24"/>
                <w:szCs w:val="24"/>
                <w:lang w:val="en-US" w:eastAsia="zh-CN"/>
              </w:rPr>
            </w:pPr>
            <w:r>
              <w:rPr>
                <w:rFonts w:hint="eastAsia" w:ascii="宋体" w:hAnsi="宋体" w:eastAsia="宋体" w:cs="宋体"/>
                <w:b w:val="0"/>
                <w:bCs w:val="0"/>
                <w:sz w:val="24"/>
                <w:szCs w:val="24"/>
              </w:rPr>
              <w:t>4、（1）龙岩市公共资源电子招投标项目采用福建CA数字证书及电子印章，为确保招投标活动的顺利进行，请提前进行福建CA数字证书及电子印章的办理。（2）投标人必须在投标截止时间前在龙岩市公共资源交易中心网络上传一份加密的后缀名为“.LYTF”格式电子投标文件，开标时使用生成投标文件的单位CA数字证书（使用的CA证书应为投标人用于加密投标文件的单位CA数字证书，否则无法进行电子标书解密，若未按要求提供，造成电子标书无法解密的后果由投标人自行承担）。评委会将对投标人网络上传的电子投标文件进行评审，投标人应按要求网络上传完整的电子投标文件，在网络上传电子投标文件前认真检查投标文件的完整性，上传的电子投标文件内容不全导致其资格条件不符合招标文件要求或不能实质性响应招标文件的将否决其投标。（3）如果企业已有企业法定代表人电子印章（法人CA）等个人CA数字证书，在投标文件制作过程中，个人电子印章（有效期内）直接可用于投标文件加盖电子印章</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4）投标人应按招标文件要求将投标文件等内容制成一个“.LYTF”格式的投标文件网络上传。投标人必须在投标文件提交截止时间前将加密的电子版投标文件通过网络上传至龙岩市公共资源交易中心电子交易平台。投标文件提交截止时间（即开标时间），招标代理在线获取参与本项目投标的投标人信息，投标人信息获取完毕后进入解密环节，在开始解密时间起60分钟内进行电子投标文件的解密操作。投标文件提交截止时间后，网上投标系统无法接受投标文件，未在规定时间内解密，视为没有上传电子版投标文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1" w:hRule="atLeast"/>
        </w:trPr>
        <w:tc>
          <w:tcPr>
            <w:tcW w:w="780" w:type="dxa"/>
            <w:vAlign w:val="center"/>
          </w:tcPr>
          <w:p>
            <w:pPr>
              <w:pageBreakBefore w:val="0"/>
              <w:kinsoku/>
              <w:wordWrap/>
              <w:overflowPunct/>
              <w:topLinePunct w:val="0"/>
              <w:bidi w:val="0"/>
              <w:spacing w:line="360"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c>
          <w:tcPr>
            <w:tcW w:w="945"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200" w:type="dxa"/>
            <w:vAlign w:val="center"/>
          </w:tcPr>
          <w:p>
            <w:pPr>
              <w:tabs>
                <w:tab w:val="left" w:pos="510"/>
                <w:tab w:val="left" w:pos="624"/>
              </w:tabs>
              <w:adjustRightInd w:val="0"/>
              <w:snapToGrid w:val="0"/>
              <w:spacing w:line="324" w:lineRule="auto"/>
              <w:rPr>
                <w:rFonts w:hint="eastAsia" w:ascii="宋体" w:hAnsi="宋体" w:eastAsia="宋体" w:cs="宋体"/>
                <w:sz w:val="24"/>
                <w:szCs w:val="24"/>
              </w:rPr>
            </w:pPr>
            <w:r>
              <w:rPr>
                <w:rFonts w:hint="eastAsia" w:ascii="宋体" w:hAnsi="宋体" w:eastAsia="宋体" w:cs="宋体"/>
                <w:sz w:val="24"/>
                <w:szCs w:val="24"/>
              </w:rPr>
              <w:t>（5）如遇中心停电或其他不可抗力因素导致不能按时开标、评标的，则开标日期改期，具体开标时间由招标人、监管部门、交易中心协商确定后另行通知。</w:t>
            </w:r>
          </w:p>
          <w:p>
            <w:pPr>
              <w:widowControl/>
              <w:adjustRightInd w:val="0"/>
              <w:snapToGrid w:val="0"/>
              <w:spacing w:line="324" w:lineRule="auto"/>
              <w:jc w:val="left"/>
              <w:rPr>
                <w:rFonts w:hint="eastAsia" w:ascii="宋体" w:hAnsi="宋体" w:eastAsia="宋体" w:cs="宋体"/>
                <w:sz w:val="24"/>
                <w:szCs w:val="24"/>
              </w:rPr>
            </w:pPr>
            <w:r>
              <w:rPr>
                <w:rFonts w:hint="eastAsia" w:ascii="宋体" w:hAnsi="宋体" w:eastAsia="宋体" w:cs="宋体"/>
                <w:sz w:val="24"/>
                <w:szCs w:val="24"/>
              </w:rPr>
              <w:t xml:space="preserve">5、投标人的质疑的提出应符合本招标文件有关质疑的规定，投标人应在法定质疑期内一次性提出针对同一采购程序环节的质疑。质疑人递交质疑函时还应出具质疑人已在龙岩市公共资源交易中心网上公开信息系统上已对本项目进行报名的证明文件（体现报名时间），否则将不被认定为潜在投标人，其质疑将不予受理。【招标文件首次下载之日为质疑人在龙岩市公共资源交易中心网上公开信息系统成功报名之日。】所有质疑函的材料均须加盖投标人单位公章，否则将不被认定为潜在投标人，其质疑将不予受理。 </w:t>
            </w:r>
          </w:p>
          <w:p>
            <w:pPr>
              <w:pStyle w:val="4"/>
              <w:pageBreakBefore w:val="0"/>
              <w:kinsoku/>
              <w:wordWrap/>
              <w:overflowPunct/>
              <w:topLinePunct w:val="0"/>
              <w:autoSpaceDE/>
              <w:autoSpaceDN/>
              <w:bidi w:val="0"/>
              <w:adjustRightInd w:val="0"/>
              <w:snapToGrid w:val="0"/>
              <w:spacing w:before="0" w:after="0" w:line="440" w:lineRule="exact"/>
              <w:textAlignment w:val="auto"/>
              <w:rPr>
                <w:rFonts w:hint="eastAsia" w:ascii="宋体" w:hAnsi="宋体" w:eastAsia="宋体" w:cs="宋体"/>
                <w:sz w:val="24"/>
                <w:szCs w:val="24"/>
                <w:lang w:val="en-US"/>
              </w:rPr>
            </w:pPr>
            <w:r>
              <w:rPr>
                <w:rFonts w:hint="eastAsia" w:ascii="宋体" w:hAnsi="宋体" w:eastAsia="宋体" w:cs="宋体"/>
                <w:color w:val="0000FF"/>
                <w:sz w:val="24"/>
                <w:szCs w:val="24"/>
                <w:lang w:val="en-US" w:eastAsia="zh-CN"/>
              </w:rPr>
              <w:t>6、中标后，中标供应商需提供与电子投标文件一致的纸质投标文件三份及电子档的投标文件（PDF格式）。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3" w:hRule="atLeast"/>
        </w:trPr>
        <w:tc>
          <w:tcPr>
            <w:tcW w:w="780" w:type="dxa"/>
            <w:vAlign w:val="center"/>
          </w:tcPr>
          <w:p>
            <w:pPr>
              <w:pageBreakBefore w:val="0"/>
              <w:kinsoku/>
              <w:wordWrap/>
              <w:overflowPunct/>
              <w:topLinePunct w:val="0"/>
              <w:bidi w:val="0"/>
              <w:spacing w:line="360" w:lineRule="auto"/>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w:t>
            </w:r>
          </w:p>
        </w:tc>
        <w:tc>
          <w:tcPr>
            <w:tcW w:w="945"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200" w:type="dxa"/>
            <w:vAlign w:val="center"/>
          </w:tcPr>
          <w:p>
            <w:pPr>
              <w:widowControl/>
              <w:adjustRightInd w:val="0"/>
              <w:snapToGrid w:val="0"/>
              <w:spacing w:line="324" w:lineRule="auto"/>
              <w:jc w:val="left"/>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关于电子招标投标活动的专门规定</w:t>
            </w:r>
            <w:r>
              <w:rPr>
                <w:rFonts w:hint="eastAsia" w:ascii="宋体" w:hAnsi="宋体" w:eastAsia="宋体" w:cs="宋体"/>
                <w:b/>
                <w:bCs/>
                <w:kern w:val="0"/>
                <w:sz w:val="24"/>
                <w:szCs w:val="24"/>
                <w:highlight w:val="none"/>
                <w:lang w:eastAsia="zh-CN"/>
              </w:rPr>
              <w:t>：</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（1）招标文件中除下述第（2）款所述内容外的其他内容及规定适用本项目的电子招标投标活动。</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）将下列内容</w:t>
            </w:r>
            <w:r>
              <w:rPr>
                <w:rFonts w:hint="eastAsia" w:ascii="宋体" w:hAnsi="宋体" w:eastAsia="宋体" w:cs="宋体"/>
                <w:b/>
                <w:bCs/>
                <w:kern w:val="0"/>
                <w:sz w:val="24"/>
                <w:szCs w:val="24"/>
                <w:highlight w:val="none"/>
              </w:rPr>
              <w:t>增列为</w:t>
            </w:r>
            <w:r>
              <w:rPr>
                <w:rFonts w:hint="eastAsia" w:ascii="宋体" w:hAnsi="宋体" w:eastAsia="宋体" w:cs="宋体"/>
                <w:kern w:val="0"/>
                <w:sz w:val="24"/>
                <w:szCs w:val="24"/>
                <w:highlight w:val="none"/>
              </w:rPr>
              <w:t>招标文件的组成部分（以下简称：“增列内容”）适用本项目的电子招标投标活动，若增列内容与招标文件其他章节内容有冲突，应以增列内容为准：</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①电子招标投标活动的具体操作流程以龙岩市公共资源交易中心系统设定的为准。</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②关于投标文件：</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a.投标人应按照龙岩市公共资源交易中心系统设定的评审节点编制电子投标文件，否则</w:t>
            </w:r>
            <w:r>
              <w:rPr>
                <w:rFonts w:hint="eastAsia" w:ascii="宋体" w:hAnsi="宋体" w:eastAsia="宋体" w:cs="宋体"/>
                <w:b/>
                <w:bCs/>
                <w:kern w:val="0"/>
                <w:sz w:val="24"/>
                <w:szCs w:val="24"/>
                <w:highlight w:val="none"/>
              </w:rPr>
              <w:t>审查小组、评标委员会将按照不利于投标人的内容进行认定。</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b.投标人应在投标截止时间前按照龙岩市公共资源交易中心系统设定的操作流程将电子投标文件</w:t>
            </w:r>
            <w:r>
              <w:rPr>
                <w:rFonts w:hint="eastAsia" w:ascii="宋体" w:hAnsi="宋体" w:eastAsia="宋体" w:cs="宋体"/>
                <w:b/>
                <w:bCs/>
                <w:kern w:val="0"/>
                <w:sz w:val="24"/>
                <w:szCs w:val="24"/>
                <w:highlight w:val="none"/>
                <w:u w:val="single"/>
              </w:rPr>
              <w:t>1</w:t>
            </w:r>
            <w:r>
              <w:rPr>
                <w:rFonts w:hint="eastAsia" w:ascii="宋体" w:hAnsi="宋体" w:eastAsia="宋体" w:cs="宋体"/>
                <w:kern w:val="0"/>
                <w:sz w:val="24"/>
                <w:szCs w:val="24"/>
                <w:highlight w:val="none"/>
              </w:rPr>
              <w:t>份上传至龙岩市公共资源交易中心交易平台。</w:t>
            </w:r>
          </w:p>
          <w:p>
            <w:pPr>
              <w:widowControl/>
              <w:adjustRightInd w:val="0"/>
              <w:snapToGrid w:val="0"/>
              <w:spacing w:line="324" w:lineRule="auto"/>
              <w:jc w:val="left"/>
              <w:rPr>
                <w:rFonts w:hint="eastAsia" w:ascii="宋体" w:hAnsi="宋体" w:eastAsia="宋体" w:cs="宋体"/>
                <w:b/>
                <w:color w:val="0000FF"/>
                <w:sz w:val="24"/>
                <w:szCs w:val="24"/>
                <w:lang w:val="en-US" w:eastAsia="zh-CN"/>
              </w:rPr>
            </w:pPr>
            <w:r>
              <w:rPr>
                <w:rFonts w:hint="eastAsia" w:ascii="宋体" w:hAnsi="宋体" w:eastAsia="宋体" w:cs="宋体"/>
                <w:kern w:val="0"/>
                <w:sz w:val="24"/>
                <w:szCs w:val="24"/>
                <w:highlight w:val="none"/>
              </w:rPr>
              <w:t>③关于证明材料或资料：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3" w:hRule="atLeast"/>
        </w:trPr>
        <w:tc>
          <w:tcPr>
            <w:tcW w:w="780" w:type="dxa"/>
            <w:vAlign w:val="center"/>
          </w:tcPr>
          <w:p>
            <w:pPr>
              <w:pageBreakBefore w:val="0"/>
              <w:kinsoku/>
              <w:wordWrap/>
              <w:overflowPunct/>
              <w:topLinePunct w:val="0"/>
              <w:bidi w:val="0"/>
              <w:spacing w:line="360"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c>
          <w:tcPr>
            <w:tcW w:w="945" w:type="dxa"/>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200" w:type="dxa"/>
            <w:vAlign w:val="center"/>
          </w:tcPr>
          <w:p>
            <w:pPr>
              <w:widowControl/>
              <w:numPr>
                <w:ilvl w:val="0"/>
                <w:numId w:val="2"/>
              </w:numPr>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招标文件要求原件的，投标人在电子投标文件中应提供原件扫描件；招标文件要求</w:t>
            </w:r>
            <w:r>
              <w:rPr>
                <w:rFonts w:hint="eastAsia" w:ascii="宋体" w:hAnsi="宋体" w:eastAsia="宋体" w:cs="宋体"/>
                <w:kern w:val="0"/>
                <w:sz w:val="24"/>
                <w:szCs w:val="24"/>
                <w:highlight w:val="none"/>
                <w:lang w:val="en-US" w:eastAsia="zh-CN"/>
              </w:rPr>
              <w:t>复印件</w:t>
            </w:r>
            <w:r>
              <w:rPr>
                <w:rFonts w:hint="eastAsia" w:ascii="宋体" w:hAnsi="宋体" w:eastAsia="宋体" w:cs="宋体"/>
                <w:kern w:val="0"/>
                <w:sz w:val="24"/>
                <w:szCs w:val="24"/>
                <w:highlight w:val="none"/>
              </w:rPr>
              <w:t>的，投标人在投标文件中提供原件、</w:t>
            </w:r>
            <w:r>
              <w:rPr>
                <w:rFonts w:hint="eastAsia" w:ascii="宋体" w:hAnsi="宋体" w:eastAsia="宋体" w:cs="宋体"/>
                <w:kern w:val="0"/>
                <w:sz w:val="24"/>
                <w:szCs w:val="24"/>
                <w:highlight w:val="none"/>
                <w:lang w:val="en-US" w:eastAsia="zh-CN"/>
              </w:rPr>
              <w:t>复印件</w:t>
            </w:r>
            <w:r>
              <w:rPr>
                <w:rFonts w:hint="eastAsia" w:ascii="宋体" w:hAnsi="宋体" w:eastAsia="宋体" w:cs="宋体"/>
                <w:kern w:val="0"/>
                <w:sz w:val="24"/>
                <w:szCs w:val="24"/>
                <w:highlight w:val="none"/>
              </w:rPr>
              <w:t>扫描件皆可；招标文件对原件、</w:t>
            </w:r>
            <w:r>
              <w:rPr>
                <w:rFonts w:hint="eastAsia" w:ascii="宋体" w:hAnsi="宋体" w:eastAsia="宋体" w:cs="宋体"/>
                <w:kern w:val="0"/>
                <w:sz w:val="24"/>
                <w:szCs w:val="24"/>
                <w:highlight w:val="none"/>
                <w:lang w:eastAsia="zh-CN"/>
              </w:rPr>
              <w:t>扫描件</w:t>
            </w:r>
            <w:r>
              <w:rPr>
                <w:rFonts w:hint="eastAsia" w:ascii="宋体" w:hAnsi="宋体" w:eastAsia="宋体" w:cs="宋体"/>
                <w:kern w:val="0"/>
                <w:sz w:val="24"/>
                <w:szCs w:val="24"/>
                <w:highlight w:val="none"/>
              </w:rPr>
              <w:t>未作要求的，投标人在投标文件中提供原件</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复印件</w:t>
            </w:r>
            <w:r>
              <w:rPr>
                <w:rFonts w:hint="eastAsia" w:ascii="宋体" w:hAnsi="宋体" w:eastAsia="宋体" w:cs="宋体"/>
                <w:kern w:val="0"/>
                <w:sz w:val="24"/>
                <w:szCs w:val="24"/>
                <w:highlight w:val="none"/>
              </w:rPr>
              <w:t>扫描件皆可。</w:t>
            </w:r>
          </w:p>
          <w:p>
            <w:pPr>
              <w:widowControl/>
              <w:numPr>
                <w:ilvl w:val="0"/>
                <w:numId w:val="2"/>
              </w:numPr>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若投标人提供注明“</w:t>
            </w:r>
            <w:r>
              <w:rPr>
                <w:rFonts w:hint="eastAsia" w:ascii="宋体" w:hAnsi="宋体" w:eastAsia="宋体" w:cs="宋体"/>
                <w:kern w:val="0"/>
                <w:sz w:val="24"/>
                <w:szCs w:val="24"/>
                <w:highlight w:val="none"/>
                <w:lang w:eastAsia="zh-CN"/>
              </w:rPr>
              <w:t>扫描件</w:t>
            </w:r>
            <w:r>
              <w:rPr>
                <w:rFonts w:hint="eastAsia" w:ascii="宋体" w:hAnsi="宋体" w:eastAsia="宋体" w:cs="宋体"/>
                <w:kern w:val="0"/>
                <w:sz w:val="24"/>
                <w:szCs w:val="24"/>
                <w:highlight w:val="none"/>
              </w:rPr>
              <w:t>无效”或“复印无效”的证明材料或资料，应结合上文a条款进行判定，若招标文件未要求投标人提供原件，投标人提供原件扫描件，</w:t>
            </w:r>
            <w:r>
              <w:rPr>
                <w:rFonts w:hint="eastAsia" w:ascii="宋体" w:hAnsi="宋体" w:eastAsia="宋体" w:cs="宋体"/>
                <w:kern w:val="0"/>
                <w:sz w:val="24"/>
                <w:szCs w:val="24"/>
                <w:highlight w:val="none"/>
                <w:lang w:val="en-US" w:eastAsia="zh-CN"/>
              </w:rPr>
              <w:t>复印</w:t>
            </w:r>
            <w:r>
              <w:rPr>
                <w:rFonts w:hint="eastAsia" w:ascii="宋体" w:hAnsi="宋体" w:eastAsia="宋体" w:cs="宋体"/>
                <w:kern w:val="0"/>
                <w:sz w:val="24"/>
                <w:szCs w:val="24"/>
                <w:highlight w:val="none"/>
                <w:lang w:eastAsia="zh-CN"/>
              </w:rPr>
              <w:t>件</w:t>
            </w:r>
            <w:r>
              <w:rPr>
                <w:rFonts w:hint="eastAsia" w:ascii="宋体" w:hAnsi="宋体" w:eastAsia="宋体" w:cs="宋体"/>
                <w:kern w:val="0"/>
                <w:sz w:val="24"/>
                <w:szCs w:val="24"/>
                <w:highlight w:val="none"/>
              </w:rPr>
              <w:t>扫描件均视为满足招标文件要求。</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④关于“全称”、“投标人代表签字”及“加盖单位公章”：</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a.在电子投标文件中，涉及“全称”和“投标人代表签字”的内容可使用打字录入方式完成。</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b.在电子投标文件中，涉及“加盖单位公章”的内容应使用投标人的CA证书完成，否则</w:t>
            </w:r>
            <w:r>
              <w:rPr>
                <w:rFonts w:hint="eastAsia" w:ascii="宋体" w:hAnsi="宋体" w:eastAsia="宋体" w:cs="宋体"/>
                <w:b/>
                <w:bCs/>
                <w:kern w:val="0"/>
                <w:sz w:val="24"/>
                <w:szCs w:val="24"/>
                <w:highlight w:val="none"/>
              </w:rPr>
              <w:t>投标无效。</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c.在电子投标文件中，若投标人按照本增列内容第④点第b项规定加盖其单位公章，则出现无全称、或投标人代表未签字等情形，</w:t>
            </w:r>
            <w:r>
              <w:rPr>
                <w:rFonts w:hint="eastAsia" w:ascii="宋体" w:hAnsi="宋体" w:eastAsia="宋体" w:cs="宋体"/>
                <w:b/>
                <w:bCs/>
                <w:kern w:val="0"/>
                <w:sz w:val="24"/>
                <w:szCs w:val="24"/>
                <w:highlight w:val="none"/>
              </w:rPr>
              <w:t>不视为投标无效。</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⑤关于投标截止时间过后</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a.有下列情形之一的，其</w:t>
            </w:r>
            <w:r>
              <w:rPr>
                <w:rFonts w:hint="eastAsia" w:ascii="宋体" w:hAnsi="宋体" w:eastAsia="宋体" w:cs="宋体"/>
                <w:b/>
                <w:bCs/>
                <w:kern w:val="0"/>
                <w:sz w:val="24"/>
                <w:szCs w:val="24"/>
                <w:highlight w:val="none"/>
              </w:rPr>
              <w:t>投标无效</w:t>
            </w:r>
            <w:r>
              <w:rPr>
                <w:rFonts w:hint="eastAsia" w:ascii="宋体" w:hAnsi="宋体" w:eastAsia="宋体" w:cs="宋体"/>
                <w:kern w:val="0"/>
                <w:sz w:val="24"/>
                <w:szCs w:val="24"/>
                <w:highlight w:val="none"/>
              </w:rPr>
              <w:t>,其保证金不予退还：</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a1不同投标人的电子投标文件被龙岩市公共资源交易中心电子交易平台判定为具有相同内部识别码；</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a2不同投标人的投标保证金被龙岩市公共资源交易中心电子交易平台判定为从同一单位或个人的账户转出；</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a3投标人的投标保证金被龙岩市公共资源交易中心电子交易平台判定为同一合同项下有其他投标人提交的投标保证金；</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a4不同投标人被龙岩市公共资源交易中心电子交易平台判定为串通投标的其他情形。</w:t>
            </w:r>
          </w:p>
          <w:p>
            <w:pPr>
              <w:widowControl/>
              <w:adjustRightInd w:val="0"/>
              <w:snapToGrid w:val="0"/>
              <w:spacing w:line="324"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⑥其他：投标文件解密失败的补救方案：a.若为投标人设备故障或网络故障，则投标人自行更换设备或解决网络问题，投标文件解密失败经补救，仍不成功的，视为放弃投标,开标继续进行；b.若为招标人原因导致无法正常解密，则由招标人及时提出解决方案；c.若为交易平台原因导致无法正常解密，则由交易平台及时提出解决方案。</w:t>
            </w:r>
          </w:p>
        </w:tc>
      </w:tr>
    </w:tbl>
    <w:p>
      <w:pPr>
        <w:pStyle w:val="4"/>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一、说明</w:t>
      </w:r>
      <w:bookmarkEnd w:id="18"/>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1.适用范围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1.1本招标文件仅适用于投标邀请中所叙述项目的货物及服务采购。</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2.定义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2.1“采购人”系指本次采购项目的业主方。</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2.2“招标采购单位”系指组织本次招标活动的采购人或招标代理机构。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2.3“招标代理机构”系指本次招标采购项目活动组织方。</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2.4“投标人”系指购买了本招标文件，且已经提交或者准备提交本次投标文件的供应商。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2.5“货物”系指卖方按招标文件规定向买方提供的一切设备、机械、仪器仪表、备品备件、工具、手册及其它有关技术资料和材料。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2.6“服务”系指招标文件规定卖方须承担的安装、调试、技术协助、校准、培训以及其他类似的义务。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3.合格的投标人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3.1投标人须为有能力提供本招标文件所述货物及服务的境内</w:t>
      </w:r>
      <w:r>
        <w:rPr>
          <w:rFonts w:hint="eastAsia" w:ascii="宋体" w:hAnsi="宋体" w:eastAsia="宋体" w:cs="宋体"/>
          <w:sz w:val="24"/>
        </w:rPr>
        <w:t>具有法人资格的</w:t>
      </w:r>
      <w:r>
        <w:rPr>
          <w:rFonts w:hint="eastAsia" w:ascii="宋体" w:hAnsi="宋体" w:eastAsia="宋体" w:cs="宋体"/>
          <w:sz w:val="24"/>
          <w:lang w:eastAsia="zh-CN"/>
        </w:rPr>
        <w:t>投标人</w:t>
      </w:r>
      <w:r>
        <w:rPr>
          <w:rFonts w:hint="eastAsia" w:ascii="宋体" w:hAnsi="宋体" w:eastAsia="宋体" w:cs="宋体"/>
          <w:sz w:val="24"/>
        </w:rPr>
        <w:t>均可能成为合格的</w:t>
      </w:r>
      <w:r>
        <w:rPr>
          <w:rFonts w:hint="eastAsia" w:ascii="宋体" w:hAnsi="宋体" w:eastAsia="宋体" w:cs="宋体"/>
          <w:sz w:val="24"/>
          <w:lang w:eastAsia="zh-CN"/>
        </w:rPr>
        <w:t>投标人</w:t>
      </w:r>
      <w:r>
        <w:rPr>
          <w:rFonts w:hint="eastAsia" w:ascii="宋体" w:hAnsi="宋体" w:eastAsia="宋体" w:cs="宋体"/>
          <w:color w:val="000000" w:themeColor="text1"/>
          <w:sz w:val="24"/>
          <w:szCs w:val="24"/>
          <w:highlight w:val="none"/>
          <w14:textFill>
            <w14:solidFill>
              <w14:schemeClr w14:val="tx1"/>
            </w14:solidFill>
          </w14:textFill>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3.2投标人应遵守中国的有关法律、法规和规章的规定。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3.3投标人之间存在下列互为关联关系的情形之一的，不得同时参加本项目投标：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(1)法定代表人为同一人的两个及两个以上法人；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(2)母公司、直接或间接持股50％及以上的被投资公司;</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(3)均为同一家母公司直接或间接持股50％及以上的被投资公司。</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投标人如具备上述情形之一的，互为关联关系的投标人的投标均被视为无效投标。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3.4投标人不得与本次招标项下设计、编制技术规格和其它文件的公司或提供咨询服务的公司包括其附属机构有任何关联。</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3.5本项目不接受联合体投标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3.6投标代理人在本次招标中只能接受一个投标人的委托参加投标。</w:t>
      </w:r>
    </w:p>
    <w:p>
      <w:pPr>
        <w:spacing w:line="360" w:lineRule="auto"/>
        <w:ind w:firstLine="480" w:firstLineChars="200"/>
        <w:rPr>
          <w:rFonts w:ascii="宋体" w:hAnsi="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w:t>
      </w:r>
      <w:r>
        <w:rPr>
          <w:rFonts w:hint="eastAsia" w:ascii="宋体" w:hAnsi="宋体" w:eastAsia="宋体" w:cs="宋体"/>
          <w:b/>
          <w:bCs/>
          <w:color w:val="000000" w:themeColor="text1"/>
          <w:sz w:val="24"/>
          <w:highlight w:val="none"/>
          <w:lang w:val="en-US" w:eastAsia="zh-CN"/>
          <w14:textFill>
            <w14:solidFill>
              <w14:schemeClr w14:val="tx1"/>
            </w14:solidFill>
          </w14:textFill>
        </w:rPr>
        <w:t>7</w:t>
      </w:r>
      <w:r>
        <w:rPr>
          <w:rFonts w:hint="eastAsia" w:ascii="宋体" w:hAnsi="宋体"/>
          <w:b/>
          <w:bCs/>
          <w:color w:val="000000" w:themeColor="text1"/>
          <w:sz w:val="24"/>
          <w14:textFill>
            <w14:solidFill>
              <w14:schemeClr w14:val="tx1"/>
            </w14:solidFill>
          </w14:textFill>
        </w:rPr>
        <w:t>投标人须提供通过“信用中国”网站（www.creditchina.gov.cn）信用信息查询信息记录的打印件（或截图）。</w:t>
      </w:r>
    </w:p>
    <w:p>
      <w:pPr>
        <w:spacing w:line="360" w:lineRule="auto"/>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3.</w:t>
      </w:r>
      <w:r>
        <w:rPr>
          <w:rFonts w:hint="eastAsia" w:ascii="宋体" w:hAnsi="宋体"/>
          <w:b/>
          <w:bCs/>
          <w:color w:val="000000" w:themeColor="text1"/>
          <w:sz w:val="24"/>
          <w:lang w:val="en-US" w:eastAsia="zh-CN"/>
          <w14:textFill>
            <w14:solidFill>
              <w14:schemeClr w14:val="tx1"/>
            </w14:solidFill>
          </w14:textFill>
        </w:rPr>
        <w:t>7</w:t>
      </w:r>
      <w:r>
        <w:rPr>
          <w:rFonts w:hint="eastAsia" w:ascii="宋体" w:hAnsi="宋体"/>
          <w:b/>
          <w:bCs/>
          <w:color w:val="000000" w:themeColor="text1"/>
          <w:sz w:val="24"/>
          <w14:textFill>
            <w14:solidFill>
              <w14:schemeClr w14:val="tx1"/>
            </w14:solidFill>
          </w14:textFill>
        </w:rPr>
        <w:t>.1投标人须从招标文件发布之日起至投标截至时间期间通过“信用中国”网站（www.creditchina.gov.cn）查询并打印相应的信用记录（以下简称：“投标人提供的查询结果”），投标人提供的查询结果应为其通过上述网站获取的信用信息查询结果原始页面的打印件（或截图）。</w:t>
      </w:r>
    </w:p>
    <w:p>
      <w:pPr>
        <w:spacing w:line="360" w:lineRule="auto"/>
        <w:ind w:firstLine="480" w:firstLineChars="200"/>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3.</w:t>
      </w:r>
      <w:r>
        <w:rPr>
          <w:rFonts w:hint="eastAsia" w:ascii="宋体" w:hAnsi="宋体"/>
          <w:b/>
          <w:bCs/>
          <w:color w:val="000000" w:themeColor="text1"/>
          <w:sz w:val="24"/>
          <w:lang w:val="en-US" w:eastAsia="zh-CN"/>
          <w14:textFill>
            <w14:solidFill>
              <w14:schemeClr w14:val="tx1"/>
            </w14:solidFill>
          </w14:textFill>
        </w:rPr>
        <w:t>7</w:t>
      </w:r>
      <w:r>
        <w:rPr>
          <w:rFonts w:hint="eastAsia" w:ascii="宋体" w:hAnsi="宋体"/>
          <w:b/>
          <w:bCs/>
          <w:color w:val="000000" w:themeColor="text1"/>
          <w:sz w:val="24"/>
          <w14:textFill>
            <w14:solidFill>
              <w14:schemeClr w14:val="tx1"/>
            </w14:solidFill>
          </w14:textFill>
        </w:rPr>
        <w:t>.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w:t>
      </w:r>
      <w:r>
        <w:rPr>
          <w:rFonts w:ascii="宋体" w:hAnsi="宋体" w:cs="宋体"/>
          <w:b/>
          <w:bCs/>
          <w:color w:val="000000" w:themeColor="text1"/>
          <w:sz w:val="24"/>
          <w14:textFill>
            <w14:solidFill>
              <w14:schemeClr w14:val="tx1"/>
            </w14:solidFill>
          </w14:textFill>
        </w:rPr>
        <w:t>④查询结果投标</w:t>
      </w:r>
      <w:r>
        <w:rPr>
          <w:rFonts w:hint="eastAsia" w:ascii="宋体" w:hAnsi="宋体" w:eastAsia="宋体" w:cs="Times New Roman"/>
          <w:b/>
          <w:bCs/>
          <w:color w:val="000000" w:themeColor="text1"/>
          <w:sz w:val="24"/>
          <w14:textFill>
            <w14:solidFill>
              <w14:schemeClr w14:val="tx1"/>
            </w14:solidFill>
          </w14:textFill>
        </w:rPr>
        <w:t>人在参加本项目采购活动(投标截止时间)前三年内列入失信被执行人名单、重大税收违法案件当事人名单及重大违法记录（重大违法记录指投标人因违法经营受到刑事处罚或责令停产停业、吊销许可证或执照、较大数额罚款等行政处罚。参照财库〔2022〕3号文件的规定，“较大数额罚款”认定为200万元以上的罚款，法律、行政法规以及国务院有关部门明确规定相关领域“较大数额罚款”标准高于200万元的，从其规定）且相关信用惩戒期限未满的，其资格审查不合</w:t>
      </w:r>
      <w:r>
        <w:rPr>
          <w:rFonts w:ascii="宋体" w:hAnsi="宋体" w:cs="宋体"/>
          <w:b/>
          <w:bCs/>
          <w:color w:val="000000" w:themeColor="text1"/>
          <w:kern w:val="0"/>
          <w:sz w:val="24"/>
          <w:lang w:bidi="ar"/>
          <w14:textFill>
            <w14:solidFill>
              <w14:schemeClr w14:val="tx1"/>
            </w14:solidFill>
          </w14:textFill>
        </w:rPr>
        <w:t>格</w:t>
      </w:r>
      <w:r>
        <w:rPr>
          <w:rFonts w:hint="eastAsia" w:ascii="宋体" w:hAnsi="宋体"/>
          <w:b/>
          <w:bCs/>
          <w:color w:val="000000" w:themeColor="text1"/>
          <w:sz w:val="24"/>
          <w14:textFill>
            <w14:solidFill>
              <w14:schemeClr w14:val="tx1"/>
            </w14:solidFill>
          </w14:textFill>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投标人资格证明材料应当提供：</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（1）法定代表人授权书原件</w:t>
      </w:r>
      <w:r>
        <w:rPr>
          <w:rFonts w:hint="eastAsia" w:ascii="宋体" w:hAnsi="宋体" w:eastAsia="宋体" w:cs="宋体"/>
          <w:color w:val="000000" w:themeColor="text1"/>
          <w:sz w:val="24"/>
          <w:szCs w:val="24"/>
          <w:highlight w:val="none"/>
          <w14:textFill>
            <w14:solidFill>
              <w14:schemeClr w14:val="tx1"/>
            </w14:solidFill>
          </w14:textFill>
        </w:rPr>
        <w:t>（投标人代表为单位负责人时，只须提供单位负责人</w:t>
      </w:r>
      <w:r>
        <w:rPr>
          <w:rFonts w:hint="eastAsia" w:ascii="宋体" w:hAnsi="宋体" w:eastAsia="宋体" w:cs="宋体"/>
          <w:color w:val="000000" w:themeColor="text1"/>
          <w:sz w:val="24"/>
          <w:szCs w:val="24"/>
          <w:highlight w:val="none"/>
          <w:lang w:eastAsia="zh-CN"/>
          <w14:textFill>
            <w14:solidFill>
              <w14:schemeClr w14:val="tx1"/>
            </w14:solidFill>
          </w14:textFill>
        </w:rPr>
        <w:t>有效</w:t>
      </w:r>
      <w:r>
        <w:rPr>
          <w:rFonts w:hint="eastAsia" w:ascii="宋体" w:hAnsi="宋体" w:eastAsia="宋体" w:cs="宋体"/>
          <w:color w:val="000000" w:themeColor="text1"/>
          <w:sz w:val="24"/>
          <w:szCs w:val="24"/>
          <w:highlight w:val="none"/>
          <w14:textFill>
            <w14:solidFill>
              <w14:schemeClr w14:val="tx1"/>
            </w14:solidFill>
          </w14:textFill>
        </w:rPr>
        <w:t>身份证</w:t>
      </w:r>
      <w:r>
        <w:rPr>
          <w:rFonts w:hint="eastAsia" w:ascii="宋体" w:hAnsi="宋体" w:eastAsia="宋体" w:cs="宋体"/>
          <w:color w:val="000000" w:themeColor="text1"/>
          <w:sz w:val="24"/>
          <w:szCs w:val="24"/>
          <w:highlight w:val="none"/>
          <w:lang w:eastAsia="zh-CN"/>
          <w14:textFill>
            <w14:solidFill>
              <w14:schemeClr w14:val="tx1"/>
            </w14:solidFill>
          </w14:textFill>
        </w:rPr>
        <w:t>正反面</w:t>
      </w:r>
      <w:r>
        <w:rPr>
          <w:rFonts w:hint="eastAsia" w:ascii="宋体" w:hAnsi="宋体" w:eastAsia="宋体" w:cs="宋体"/>
          <w:color w:val="000000" w:themeColor="text1"/>
          <w:sz w:val="24"/>
          <w:szCs w:val="24"/>
          <w:highlight w:val="none"/>
          <w14:textFill>
            <w14:solidFill>
              <w14:schemeClr w14:val="tx1"/>
            </w14:solidFill>
          </w14:textFill>
        </w:rPr>
        <w:t>复印件）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）营业执照副本复印件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信用中国查询记录；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cs="宋体"/>
          <w:b w:val="0"/>
          <w:bCs/>
          <w:color w:val="000000" w:themeColor="text1"/>
          <w:sz w:val="24"/>
          <w:szCs w:val="24"/>
          <w:highlight w:val="none"/>
          <w:lang w:eastAsia="zh-CN"/>
          <w14:textFill>
            <w14:solidFill>
              <w14:schemeClr w14:val="tx1"/>
            </w14:solidFill>
          </w14:textFill>
        </w:rPr>
        <w:t>）已缴交</w:t>
      </w:r>
      <w:r>
        <w:rPr>
          <w:rFonts w:hint="eastAsia" w:ascii="宋体" w:hAnsi="宋体" w:cs="宋体"/>
          <w:b w:val="0"/>
          <w:bCs/>
          <w:color w:val="000000" w:themeColor="text1"/>
          <w:sz w:val="24"/>
          <w:szCs w:val="24"/>
          <w:highlight w:val="none"/>
          <w:lang w:val="en-US" w:eastAsia="zh-CN"/>
          <w14:textFill>
            <w14:solidFill>
              <w14:schemeClr w14:val="tx1"/>
            </w14:solidFill>
          </w14:textFill>
        </w:rPr>
        <w:t>投标</w:t>
      </w:r>
      <w:r>
        <w:rPr>
          <w:rFonts w:hint="eastAsia" w:ascii="宋体" w:hAnsi="宋体" w:cs="宋体"/>
          <w:b w:val="0"/>
          <w:bCs/>
          <w:color w:val="000000" w:themeColor="text1"/>
          <w:sz w:val="24"/>
          <w:szCs w:val="24"/>
          <w:highlight w:val="none"/>
          <w:lang w:eastAsia="zh-CN"/>
          <w14:textFill>
            <w14:solidFill>
              <w14:schemeClr w14:val="tx1"/>
            </w14:solidFill>
          </w14:textFill>
        </w:rPr>
        <w:t>保证金的证明材料复印件（</w:t>
      </w:r>
      <w:r>
        <w:rPr>
          <w:rFonts w:hint="eastAsia" w:ascii="宋体" w:hAnsi="宋体" w:cs="宋体"/>
          <w:b w:val="0"/>
          <w:bCs/>
          <w:color w:val="000000" w:themeColor="text1"/>
          <w:sz w:val="24"/>
          <w:szCs w:val="24"/>
          <w:highlight w:val="none"/>
          <w:lang w:val="en-US" w:eastAsia="zh-CN"/>
          <w14:textFill>
            <w14:solidFill>
              <w14:schemeClr w14:val="tx1"/>
            </w14:solidFill>
          </w14:textFill>
        </w:rPr>
        <w:t>若有</w:t>
      </w:r>
      <w:r>
        <w:rPr>
          <w:rFonts w:hint="eastAsia" w:ascii="宋体" w:hAnsi="宋体" w:cs="宋体"/>
          <w:b w:val="0"/>
          <w:bCs/>
          <w:color w:val="000000" w:themeColor="text1"/>
          <w:sz w:val="24"/>
          <w:szCs w:val="24"/>
          <w:highlight w:val="none"/>
          <w:lang w:eastAsia="zh-CN"/>
          <w14:textFill>
            <w14:solidFill>
              <w14:schemeClr w14:val="tx1"/>
            </w14:solidFill>
          </w14:textFill>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（上述资格证明材料要求提供原件的应编制在投标文件资格</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材料</w:t>
      </w:r>
      <w:r>
        <w:rPr>
          <w:rFonts w:hint="eastAsia" w:ascii="宋体" w:hAnsi="宋体" w:eastAsia="宋体" w:cs="宋体"/>
          <w:b/>
          <w:color w:val="000000" w:themeColor="text1"/>
          <w:sz w:val="24"/>
          <w:szCs w:val="24"/>
          <w:highlight w:val="none"/>
          <w14:textFill>
            <w14:solidFill>
              <w14:schemeClr w14:val="tx1"/>
            </w14:solidFill>
          </w14:textFill>
        </w:rPr>
        <w:t>正本中</w:t>
      </w:r>
      <w:r>
        <w:rPr>
          <w:rFonts w:hint="eastAsia" w:ascii="宋体" w:hAnsi="宋体" w:eastAsia="宋体" w:cs="宋体"/>
          <w:b/>
          <w:color w:val="000000" w:themeColor="text1"/>
          <w:sz w:val="24"/>
          <w:szCs w:val="24"/>
          <w:highlight w:val="none"/>
          <w:lang w:eastAsia="zh-CN"/>
          <w14:textFill>
            <w14:solidFill>
              <w14:schemeClr w14:val="tx1"/>
            </w14:solidFill>
          </w14:textFill>
        </w:rPr>
        <w:t>，否则视为资格不符</w:t>
      </w:r>
      <w:r>
        <w:rPr>
          <w:rFonts w:hint="eastAsia" w:ascii="宋体" w:hAnsi="宋体" w:eastAsia="宋体" w:cs="宋体"/>
          <w:b/>
          <w:color w:val="000000" w:themeColor="text1"/>
          <w:sz w:val="24"/>
          <w:szCs w:val="24"/>
          <w:highlight w:val="none"/>
          <w14:textFill>
            <w14:solidFill>
              <w14:schemeClr w14:val="tx1"/>
            </w14:solidFill>
          </w14:textFill>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4.投标费用</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4.1不论中标与否，投标人应承担所有与准备和参加与投标有关的全部费用，招标采购单位在任何情况下均无义务和责任承担此类费用。</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4.2投标人应充分考虑人工、材料、机械涨价、政策调整及其他不可预见的一切因素，风险费用应自行考虑计入投标报价，投标人未考虑风险因素造成的损失由投标人自行负责，中标价不做任何调整。</w:t>
      </w:r>
    </w:p>
    <w:p>
      <w:pPr>
        <w:pStyle w:val="4"/>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9" w:name="_Toc29853"/>
      <w:r>
        <w:rPr>
          <w:rFonts w:hint="eastAsia" w:ascii="宋体" w:hAnsi="宋体" w:eastAsia="宋体" w:cs="宋体"/>
          <w:color w:val="000000" w:themeColor="text1"/>
          <w:sz w:val="24"/>
          <w:szCs w:val="24"/>
          <w:highlight w:val="none"/>
          <w14:textFill>
            <w14:solidFill>
              <w14:schemeClr w14:val="tx1"/>
            </w14:solidFill>
          </w14:textFill>
        </w:rPr>
        <w:t>二、招标文件</w:t>
      </w:r>
      <w:bookmarkEnd w:id="19"/>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5.招标文件的组成</w:t>
      </w:r>
    </w:p>
    <w:p>
      <w:pPr>
        <w:pStyle w:val="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5.1招标文件用以阐明所需货物及服务招标程序和合同主要条款。招标文件由下述部分组成：</w:t>
      </w:r>
    </w:p>
    <w:p>
      <w:pPr>
        <w:pStyle w:val="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⑴投标邀请</w:t>
      </w:r>
    </w:p>
    <w:p>
      <w:pPr>
        <w:pStyle w:val="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⑵投标人须知</w:t>
      </w:r>
    </w:p>
    <w:p>
      <w:pPr>
        <w:pStyle w:val="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⑶招标内容及要求</w:t>
      </w:r>
    </w:p>
    <w:p>
      <w:pPr>
        <w:pStyle w:val="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⑷</w:t>
      </w:r>
      <w:r>
        <w:rPr>
          <w:rFonts w:hint="eastAsia" w:ascii="宋体" w:hAnsi="宋体" w:eastAsia="宋体" w:cs="宋体"/>
          <w:bCs/>
          <w:color w:val="000000" w:themeColor="text1"/>
          <w:sz w:val="24"/>
          <w:szCs w:val="24"/>
          <w:highlight w:val="none"/>
          <w14:textFill>
            <w14:solidFill>
              <w14:schemeClr w14:val="tx1"/>
            </w14:solidFill>
          </w14:textFill>
        </w:rPr>
        <w:t>合同主要条款</w:t>
      </w:r>
    </w:p>
    <w:p>
      <w:pPr>
        <w:pStyle w:val="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⑸投标文件格式</w:t>
      </w:r>
    </w:p>
    <w:p>
      <w:pPr>
        <w:pStyle w:val="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bookmarkStart w:id="20" w:name="_Toc430490612"/>
      <w:bookmarkStart w:id="21" w:name="_Toc430488851"/>
      <w:bookmarkStart w:id="22" w:name="_Toc430422413"/>
      <w:bookmarkStart w:id="23" w:name="_Toc430492126"/>
      <w:bookmarkStart w:id="24" w:name="_Toc415567497"/>
      <w:bookmarkStart w:id="25" w:name="_Toc430488644"/>
      <w:bookmarkStart w:id="26" w:name="_Toc430489119"/>
      <w:r>
        <w:rPr>
          <w:rFonts w:hint="eastAsia" w:ascii="宋体" w:hAnsi="宋体" w:eastAsia="宋体" w:cs="宋体"/>
          <w:bCs/>
          <w:color w:val="000000" w:themeColor="text1"/>
          <w:sz w:val="24"/>
          <w:szCs w:val="24"/>
          <w:highlight w:val="none"/>
          <w14:textFill>
            <w14:solidFill>
              <w14:schemeClr w14:val="tx1"/>
            </w14:solidFill>
          </w14:textFill>
        </w:rPr>
        <w:t>6.</w:t>
      </w:r>
      <w:bookmarkEnd w:id="20"/>
      <w:bookmarkEnd w:id="21"/>
      <w:bookmarkEnd w:id="22"/>
      <w:bookmarkEnd w:id="23"/>
      <w:bookmarkEnd w:id="24"/>
      <w:bookmarkEnd w:id="25"/>
      <w:bookmarkEnd w:id="26"/>
      <w:r>
        <w:rPr>
          <w:rFonts w:hint="eastAsia" w:ascii="宋体" w:hAnsi="宋体" w:eastAsia="宋体" w:cs="宋体"/>
          <w:bCs/>
          <w:color w:val="000000" w:themeColor="text1"/>
          <w:sz w:val="24"/>
          <w:szCs w:val="24"/>
          <w:highlight w:val="none"/>
          <w14:textFill>
            <w14:solidFill>
              <w14:schemeClr w14:val="tx1"/>
            </w14:solidFill>
          </w14:textFill>
        </w:rPr>
        <w:t>招标文件的澄清级修改</w:t>
      </w:r>
    </w:p>
    <w:p>
      <w:pPr>
        <w:pStyle w:val="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eastAsia="zh-CN"/>
          <w14:textFill>
            <w14:solidFill>
              <w14:schemeClr w14:val="tx1"/>
            </w14:solidFill>
          </w14:textFill>
        </w:rPr>
        <w:t>连城县国有资产产权交易服务有限公司</w:t>
      </w:r>
      <w:r>
        <w:rPr>
          <w:rFonts w:hint="eastAsia" w:ascii="宋体" w:hAnsi="宋体" w:eastAsia="宋体" w:cs="宋体"/>
          <w:bCs/>
          <w:color w:val="000000" w:themeColor="text1"/>
          <w:sz w:val="24"/>
          <w:szCs w:val="24"/>
          <w:highlight w:val="none"/>
          <w14:textFill>
            <w14:solidFill>
              <w14:schemeClr w14:val="tx1"/>
            </w14:solidFill>
          </w14:textFill>
        </w:rPr>
        <w:t>可对已发出的招标文件进行必要的澄清或修改，澄清或修改的内容可能影响投标文件编制的，</w:t>
      </w:r>
      <w:r>
        <w:rPr>
          <w:rFonts w:hint="eastAsia" w:ascii="宋体" w:hAnsi="宋体" w:cs="宋体"/>
          <w:bCs/>
          <w:color w:val="000000" w:themeColor="text1"/>
          <w:sz w:val="24"/>
          <w:szCs w:val="24"/>
          <w:highlight w:val="none"/>
          <w:lang w:eastAsia="zh-CN"/>
          <w14:textFill>
            <w14:solidFill>
              <w14:schemeClr w14:val="tx1"/>
            </w14:solidFill>
          </w14:textFill>
        </w:rPr>
        <w:t>连城县国有资产产权交易服务有限公司</w:t>
      </w:r>
      <w:r>
        <w:rPr>
          <w:rFonts w:hint="eastAsia" w:ascii="宋体" w:hAnsi="宋体" w:eastAsia="宋体" w:cs="宋体"/>
          <w:bCs/>
          <w:color w:val="000000" w:themeColor="text1"/>
          <w:sz w:val="24"/>
          <w:szCs w:val="24"/>
          <w:highlight w:val="none"/>
          <w14:textFill>
            <w14:solidFill>
              <w14:schemeClr w14:val="tx1"/>
            </w14:solidFill>
          </w14:textFill>
        </w:rPr>
        <w:t>将在投标截止时间至少15个日历日前，在招标文件载明的指定媒体以更正公告的形式发布澄清或修改的内容。不足15个日历日的，</w:t>
      </w:r>
      <w:r>
        <w:rPr>
          <w:rFonts w:hint="eastAsia" w:ascii="宋体" w:hAnsi="宋体" w:cs="宋体"/>
          <w:bCs/>
          <w:color w:val="000000" w:themeColor="text1"/>
          <w:sz w:val="24"/>
          <w:szCs w:val="24"/>
          <w:highlight w:val="none"/>
          <w:lang w:eastAsia="zh-CN"/>
          <w14:textFill>
            <w14:solidFill>
              <w14:schemeClr w14:val="tx1"/>
            </w14:solidFill>
          </w14:textFill>
        </w:rPr>
        <w:t>连城县国有资产产权交易服务有限公司</w:t>
      </w:r>
      <w:r>
        <w:rPr>
          <w:rFonts w:hint="eastAsia" w:ascii="宋体" w:hAnsi="宋体" w:eastAsia="宋体" w:cs="宋体"/>
          <w:bCs/>
          <w:color w:val="000000" w:themeColor="text1"/>
          <w:sz w:val="24"/>
          <w:szCs w:val="24"/>
          <w:highlight w:val="none"/>
          <w14:textFill>
            <w14:solidFill>
              <w14:schemeClr w14:val="tx1"/>
            </w14:solidFill>
          </w14:textFill>
        </w:rPr>
        <w:t>将顺延投标截止时间及开标时间，</w:t>
      </w:r>
      <w:r>
        <w:rPr>
          <w:rFonts w:hint="eastAsia" w:ascii="宋体" w:hAnsi="宋体" w:cs="宋体"/>
          <w:bCs/>
          <w:color w:val="000000" w:themeColor="text1"/>
          <w:sz w:val="24"/>
          <w:szCs w:val="24"/>
          <w:highlight w:val="none"/>
          <w:lang w:eastAsia="zh-CN"/>
          <w14:textFill>
            <w14:solidFill>
              <w14:schemeClr w14:val="tx1"/>
            </w14:solidFill>
          </w14:textFill>
        </w:rPr>
        <w:t>连城县国有资产产权交易服务有限公司</w:t>
      </w:r>
      <w:r>
        <w:rPr>
          <w:rFonts w:hint="eastAsia" w:ascii="宋体" w:hAnsi="宋体" w:eastAsia="宋体" w:cs="宋体"/>
          <w:bCs/>
          <w:color w:val="000000" w:themeColor="text1"/>
          <w:sz w:val="24"/>
          <w:szCs w:val="24"/>
          <w:highlight w:val="none"/>
          <w14:textFill>
            <w14:solidFill>
              <w14:schemeClr w14:val="tx1"/>
            </w14:solidFill>
          </w14:textFill>
        </w:rPr>
        <w:t>和投标人受原投标截止</w:t>
      </w:r>
      <w:r>
        <w:rPr>
          <w:rFonts w:hint="eastAsia" w:ascii="宋体" w:hAnsi="宋体" w:eastAsia="宋体" w:cs="宋体"/>
          <w:color w:val="000000" w:themeColor="text1"/>
          <w:sz w:val="24"/>
          <w:szCs w:val="24"/>
          <w:highlight w:val="none"/>
          <w14:textFill>
            <w14:solidFill>
              <w14:schemeClr w14:val="tx1"/>
            </w14:solidFill>
          </w14:textFill>
        </w:rPr>
        <w:t>时间及开标时间制约的所有权利和义务均延长至新的投标截止时间及开标时间。该澄清内容为招标文件的组成部分该修改内容为招标文件的组成部分，对投标人具有约束力。</w:t>
      </w:r>
    </w:p>
    <w:p>
      <w:pPr>
        <w:pStyle w:val="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为使投标人在准备投标文件时有合理的时间考虑招标文件的修改，招标代理机构可酌情推迟投标截止时间和开标时间，但应当至少在投标截止时间三个日历日前在采购信息发布的媒体上发布更正公告，请潜在投标人随时关注相关网站。该修改内容为招标文件的组成部分。在此情况下，招标人和投标人受投标截止期制约的所有权利和义务均应延长至新的截止日期</w:t>
      </w:r>
    </w:p>
    <w:p>
      <w:pPr>
        <w:pStyle w:val="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终止公告</w:t>
      </w:r>
    </w:p>
    <w:p>
      <w:pPr>
        <w:pStyle w:val="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7.1若出现因重大变故导致采购任务取消情形，</w:t>
      </w:r>
      <w:r>
        <w:rPr>
          <w:rFonts w:hint="eastAsia" w:ascii="宋体" w:hAnsi="宋体" w:cs="宋体"/>
          <w:color w:val="000000" w:themeColor="text1"/>
          <w:sz w:val="24"/>
          <w:szCs w:val="24"/>
          <w:highlight w:val="none"/>
          <w:lang w:eastAsia="zh-CN"/>
          <w14:textFill>
            <w14:solidFill>
              <w14:schemeClr w14:val="tx1"/>
            </w14:solidFill>
          </w14:textFill>
        </w:rPr>
        <w:t>连城县国有资产产权交易服务有限公司</w:t>
      </w:r>
      <w:r>
        <w:rPr>
          <w:rFonts w:hint="eastAsia" w:ascii="宋体" w:hAnsi="宋体" w:eastAsia="宋体" w:cs="宋体"/>
          <w:color w:val="000000" w:themeColor="text1"/>
          <w:sz w:val="24"/>
          <w:szCs w:val="24"/>
          <w:highlight w:val="none"/>
          <w14:textFill>
            <w14:solidFill>
              <w14:schemeClr w14:val="tx1"/>
            </w14:solidFill>
          </w14:textFill>
        </w:rPr>
        <w:t>可终止招标并发布终止公告。</w:t>
      </w:r>
    </w:p>
    <w:p>
      <w:pPr>
        <w:pStyle w:val="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7.2终止公告作为</w:t>
      </w:r>
      <w:r>
        <w:rPr>
          <w:rFonts w:hint="eastAsia" w:ascii="宋体" w:hAnsi="宋体" w:cs="宋体"/>
          <w:color w:val="000000" w:themeColor="text1"/>
          <w:sz w:val="24"/>
          <w:szCs w:val="24"/>
          <w:highlight w:val="none"/>
          <w:lang w:eastAsia="zh-CN"/>
          <w14:textFill>
            <w14:solidFill>
              <w14:schemeClr w14:val="tx1"/>
            </w14:solidFill>
          </w14:textFill>
        </w:rPr>
        <w:t>连城县国有资产产权交易服务有限公司</w:t>
      </w:r>
      <w:r>
        <w:rPr>
          <w:rFonts w:hint="eastAsia" w:ascii="宋体" w:hAnsi="宋体" w:eastAsia="宋体" w:cs="宋体"/>
          <w:color w:val="000000" w:themeColor="text1"/>
          <w:sz w:val="24"/>
          <w:szCs w:val="24"/>
          <w:highlight w:val="none"/>
          <w14:textFill>
            <w14:solidFill>
              <w14:schemeClr w14:val="tx1"/>
            </w14:solidFill>
          </w14:textFill>
        </w:rPr>
        <w:t>通知所有潜在投标人的书面形式。</w:t>
      </w:r>
    </w:p>
    <w:p>
      <w:pPr>
        <w:pStyle w:val="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特别提示：招标文件如有澄清、修改，公告将在</w:t>
      </w:r>
      <w:r>
        <w:rPr>
          <w:rFonts w:hint="eastAsia" w:ascii="宋体" w:hAnsi="宋体" w:cs="宋体"/>
          <w:color w:val="000000" w:themeColor="text1"/>
          <w:sz w:val="24"/>
          <w:szCs w:val="24"/>
          <w:highlight w:val="none"/>
          <w:lang w:eastAsia="zh-CN"/>
          <w14:textFill>
            <w14:solidFill>
              <w14:schemeClr w14:val="tx1"/>
            </w14:solidFill>
          </w14:textFill>
        </w:rPr>
        <w:t>连城产权交易网</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http://www.lcxcqjy.com/</w:t>
      </w:r>
      <w:r>
        <w:rPr>
          <w:rFonts w:hint="eastAsia" w:ascii="宋体" w:hAnsi="宋体" w:eastAsia="宋体" w:cs="宋体"/>
          <w:color w:val="000000" w:themeColor="text1"/>
          <w:sz w:val="24"/>
          <w:szCs w:val="24"/>
          <w:highlight w:val="none"/>
          <w14:textFill>
            <w14:solidFill>
              <w14:schemeClr w14:val="tx1"/>
            </w14:solidFill>
          </w14:textFill>
        </w:rPr>
        <w:t>）、龙岩市公共资源交易中心（</w:t>
      </w:r>
      <w:r>
        <w:rPr>
          <w:rFonts w:hint="eastAsia" w:ascii="宋体" w:hAnsi="宋体" w:eastAsia="宋体" w:cs="宋体"/>
          <w:color w:val="000000" w:themeColor="text1"/>
          <w:sz w:val="24"/>
          <w:szCs w:val="24"/>
          <w:highlight w:val="none"/>
          <w:lang w:eastAsia="zh-CN"/>
          <w14:textFill>
            <w14:solidFill>
              <w14:schemeClr w14:val="tx1"/>
            </w14:solidFill>
          </w14:textFill>
        </w:rPr>
        <w:t>https://ggzy.longyan.gov.cn/</w:t>
      </w:r>
      <w:r>
        <w:rPr>
          <w:rFonts w:hint="eastAsia" w:ascii="宋体" w:hAnsi="宋体" w:eastAsia="宋体" w:cs="宋体"/>
          <w:color w:val="000000" w:themeColor="text1"/>
          <w:sz w:val="24"/>
          <w:szCs w:val="24"/>
          <w:highlight w:val="none"/>
          <w14:textFill>
            <w14:solidFill>
              <w14:schemeClr w14:val="tx1"/>
            </w14:solidFill>
          </w14:textFill>
        </w:rPr>
        <w:t>）上发布，请潜在投标人随时密切关注上述网站并下载相关信息，招标代理机构不再另行通知（相同内容如有多次修改的，以最后一次修改为准）。潜在投标人未下载澄清、修改内容的，后果自行承担。</w:t>
      </w:r>
    </w:p>
    <w:p>
      <w:pPr>
        <w:pStyle w:val="4"/>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7" w:name="_Toc20858"/>
      <w:r>
        <w:rPr>
          <w:rFonts w:hint="eastAsia" w:ascii="宋体" w:hAnsi="宋体" w:eastAsia="宋体" w:cs="宋体"/>
          <w:color w:val="000000" w:themeColor="text1"/>
          <w:sz w:val="24"/>
          <w:szCs w:val="24"/>
          <w:highlight w:val="none"/>
          <w14:textFill>
            <w14:solidFill>
              <w14:schemeClr w14:val="tx1"/>
            </w14:solidFill>
          </w14:textFill>
        </w:rPr>
        <w:t>三、投标文件的编写</w:t>
      </w:r>
      <w:bookmarkEnd w:id="27"/>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8.要求</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8.1投标人应仔细阅读招标文件的所有内容，按照招标文件的要求提交投标文件。投标文件应对招标文件的要求作出实质性响应，并保证所提供的全部资料的真实性，否则其投标将被拒绝。</w:t>
      </w:r>
    </w:p>
    <w:p>
      <w:pPr>
        <w:pageBreakBefore w:val="0"/>
        <w:tabs>
          <w:tab w:val="left" w:pos="900"/>
        </w:tabs>
        <w:kinsoku/>
        <w:wordWrap/>
        <w:overflowPunct/>
        <w:topLinePunct w:val="0"/>
        <w:bidi w:val="0"/>
        <w:spacing w:after="12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8.2除非有另外的规定，投标人可对招标货物一览表所列的全部合同包或部分合同包进行投标。招标代理机构不接受有任何可选择性的报价，每一种货物只能有一个报价。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9.投标文件语言</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9.1投标文件应用中文书写。各种计量单位及符号应采用国际上统一使用的公制计量单位和符号。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招标文件中载明的资格或技术商务要求中涉及的投标人提供的证明文件原件属于非中文描述的，必须提供具有翻译资质的机构翻译的中文译本。未按要求提供中文译本的，认定为该项资格或技术商务要求不符合。翻译机构应为中国翻译协会成员单位，翻译的中文译本应由翻译人员签名并加盖翻译机构公章，同时提供翻译人员翻译资格证书。投标人投标时应提供中文译本、翻译机构及翻译人员资格证书复印件，并加盖投标人公章。</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10.投标文件的组成</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10.1投标文件报价部分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10.2投标文件技术商务部分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10.3投标文件资格及资信证明部分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10.4投标文件提供原件部分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提供原件清单：投标人提供的证书（或证明材料）原件核对的，应按格式列出详细清单，与投标文件一并提交，原件清单和原件无须粘贴、装订、密封。</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11.投标有效期</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11.1投标文件从投标人须知前附表第4项所规定的投标截止期之后开始生效，在</w:t>
      </w:r>
      <w:r>
        <w:rPr>
          <w:rFonts w:hint="eastAsia" w:ascii="宋体" w:hAnsi="宋体" w:eastAsia="宋体" w:cs="宋体"/>
          <w:bCs/>
          <w:color w:val="000000" w:themeColor="text1"/>
          <w:sz w:val="24"/>
          <w:szCs w:val="24"/>
          <w:highlight w:val="none"/>
          <w14:textFill>
            <w14:solidFill>
              <w14:schemeClr w14:val="tx1"/>
            </w14:solidFill>
          </w14:textFill>
        </w:rPr>
        <w:t>投标人须知前附表</w:t>
      </w:r>
      <w:r>
        <w:rPr>
          <w:rFonts w:hint="eastAsia" w:ascii="宋体" w:hAnsi="宋体" w:eastAsia="宋体" w:cs="宋体"/>
          <w:color w:val="000000" w:themeColor="text1"/>
          <w:sz w:val="24"/>
          <w:szCs w:val="24"/>
          <w:highlight w:val="none"/>
          <w14:textFill>
            <w14:solidFill>
              <w14:schemeClr w14:val="tx1"/>
            </w14:solidFill>
          </w14:textFill>
        </w:rPr>
        <w:t>第3项所规定的期限内保持有效。有效期不足将导致其投标文件被拒绝。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特殊情况下招标代理机构可于投标有效期满之前书面要求投标人同意延长有效期，投标人应在招标代理机构规定的期限内以书面形式予以答复。投标人答复不明确或者逾期未答复的，均视为拒绝上述要求。对于接受该要求的投标人，既不要求也不允许其修改投标文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12.投标保证金</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投标保证金为投标文件的组成部分之一</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本项目无须交纳投标保证金</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投标人应在提交投标文件之前向招标代理机构缴交投标人须知前附表第5项要求的投标保证金。联合体投标的，可以由联合体中的一方或者共同提交投标保证金，以一方名义提交投标保证金的，对联合体各方均具有约束力。</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 投标保证金用于保护本次招标活动免受投标人的行为而引起的风险。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 投标保证金以电汇、转账形式提交。</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 未按规定缴交投标保证金的投标，将被视为无效投标。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8" w:name="_Toc441479777"/>
      <w:r>
        <w:rPr>
          <w:rFonts w:hint="eastAsia" w:ascii="宋体" w:hAnsi="宋体" w:eastAsia="宋体" w:cs="宋体"/>
          <w:color w:val="000000" w:themeColor="text1"/>
          <w:sz w:val="24"/>
          <w:szCs w:val="24"/>
          <w:highlight w:val="none"/>
          <w14:textFill>
            <w14:solidFill>
              <w14:schemeClr w14:val="tx1"/>
            </w14:solidFill>
          </w14:textFill>
        </w:rPr>
        <w:t>12.6招标代理机构将在中标通知书发出之日起五个工作日内予以原额无息退还</w:t>
      </w:r>
      <w:r>
        <w:rPr>
          <w:rFonts w:hint="eastAsia" w:ascii="宋体" w:hAnsi="宋体" w:eastAsia="宋体" w:cs="宋体"/>
          <w:color w:val="000000" w:themeColor="text1"/>
          <w:sz w:val="24"/>
          <w:szCs w:val="24"/>
          <w:highlight w:val="none"/>
          <w:lang w:eastAsia="zh-CN"/>
          <w14:textFill>
            <w14:solidFill>
              <w14:schemeClr w14:val="tx1"/>
            </w14:solidFill>
          </w14:textFill>
        </w:rPr>
        <w:t>中标供应商</w:t>
      </w:r>
      <w:r>
        <w:rPr>
          <w:rFonts w:hint="eastAsia" w:ascii="宋体" w:hAnsi="宋体" w:eastAsia="宋体" w:cs="宋体"/>
          <w:color w:val="000000" w:themeColor="text1"/>
          <w:sz w:val="24"/>
          <w:szCs w:val="24"/>
          <w:highlight w:val="none"/>
          <w14:textFill>
            <w14:solidFill>
              <w14:schemeClr w14:val="tx1"/>
            </w14:solidFill>
          </w14:textFill>
        </w:rPr>
        <w:t>以外的投标人的投标保证金。</w:t>
      </w:r>
      <w:bookmarkEnd w:id="28"/>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12.7在</w:t>
      </w:r>
      <w:r>
        <w:rPr>
          <w:rFonts w:hint="eastAsia" w:ascii="宋体" w:hAnsi="宋体" w:eastAsia="宋体" w:cs="宋体"/>
          <w:color w:val="000000" w:themeColor="text1"/>
          <w:sz w:val="24"/>
          <w:szCs w:val="24"/>
          <w:highlight w:val="none"/>
          <w:lang w:eastAsia="zh-CN"/>
          <w14:textFill>
            <w14:solidFill>
              <w14:schemeClr w14:val="tx1"/>
            </w14:solidFill>
          </w14:textFill>
        </w:rPr>
        <w:t>中标供应商</w:t>
      </w:r>
      <w:r>
        <w:rPr>
          <w:rFonts w:hint="eastAsia" w:ascii="宋体" w:hAnsi="宋体" w:eastAsia="宋体" w:cs="宋体"/>
          <w:color w:val="000000" w:themeColor="text1"/>
          <w:sz w:val="24"/>
          <w:szCs w:val="24"/>
          <w:highlight w:val="none"/>
          <w14:textFill>
            <w14:solidFill>
              <w14:schemeClr w14:val="tx1"/>
            </w14:solidFill>
          </w14:textFill>
        </w:rPr>
        <w:t>支付招标代理服务费并签订采购合同后5个工作日内，</w:t>
      </w:r>
      <w:r>
        <w:rPr>
          <w:rFonts w:hint="eastAsia" w:ascii="宋体" w:hAnsi="宋体" w:eastAsia="宋体" w:cs="宋体"/>
          <w:color w:val="000000" w:themeColor="text1"/>
          <w:sz w:val="24"/>
          <w:szCs w:val="24"/>
          <w:highlight w:val="none"/>
          <w:lang w:eastAsia="zh-CN"/>
          <w14:textFill>
            <w14:solidFill>
              <w14:schemeClr w14:val="tx1"/>
            </w14:solidFill>
          </w14:textFill>
        </w:rPr>
        <w:t>中标供应商</w:t>
      </w:r>
      <w:r>
        <w:rPr>
          <w:rFonts w:hint="eastAsia" w:ascii="宋体" w:hAnsi="宋体" w:eastAsia="宋体" w:cs="宋体"/>
          <w:color w:val="000000" w:themeColor="text1"/>
          <w:sz w:val="24"/>
          <w:szCs w:val="24"/>
          <w:highlight w:val="none"/>
          <w14:textFill>
            <w14:solidFill>
              <w14:schemeClr w14:val="tx1"/>
            </w14:solidFill>
          </w14:textFill>
        </w:rPr>
        <w:t>的投标保证金予以原额无息退还。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12.8 投标保证金的有效期为投标有效期满后的30个日历日。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12.9 发生以下情况之一的，投标保证金将不予退还：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（1）中标供应商</w:t>
      </w:r>
      <w:r>
        <w:rPr>
          <w:rFonts w:hint="eastAsia" w:ascii="宋体" w:hAnsi="宋体" w:eastAsia="宋体" w:cs="宋体"/>
          <w:color w:val="000000" w:themeColor="text1"/>
          <w:sz w:val="24"/>
          <w:szCs w:val="24"/>
          <w:highlight w:val="none"/>
          <w14:textFill>
            <w14:solidFill>
              <w14:schemeClr w14:val="tx1"/>
            </w14:solidFill>
          </w14:textFill>
        </w:rPr>
        <w:t>未能做到本须知第20条规定签订合同；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w:t>
      </w:r>
      <w:r>
        <w:rPr>
          <w:rFonts w:hint="eastAsia" w:ascii="宋体" w:hAnsi="宋体" w:eastAsia="宋体" w:cs="宋体"/>
          <w:color w:val="0000FF"/>
          <w:sz w:val="24"/>
          <w:szCs w:val="24"/>
          <w:highlight w:val="none"/>
          <w:lang w:val="en-US" w:eastAsia="zh-CN"/>
        </w:rPr>
        <w:t>2</w:t>
      </w:r>
      <w:r>
        <w:rPr>
          <w:rFonts w:hint="eastAsia" w:ascii="宋体" w:hAnsi="宋体" w:eastAsia="宋体" w:cs="宋体"/>
          <w:color w:val="0000FF"/>
          <w:sz w:val="24"/>
          <w:szCs w:val="24"/>
          <w:highlight w:val="none"/>
        </w:rPr>
        <w:t>）</w:t>
      </w:r>
      <w:r>
        <w:rPr>
          <w:rFonts w:hint="eastAsia" w:ascii="宋体" w:hAnsi="宋体" w:eastAsia="宋体" w:cs="宋体"/>
          <w:color w:val="0000FF"/>
          <w:sz w:val="24"/>
          <w:szCs w:val="24"/>
          <w:highlight w:val="none"/>
          <w:lang w:eastAsia="zh-CN"/>
        </w:rPr>
        <w:t>中标供应商</w:t>
      </w:r>
      <w:r>
        <w:rPr>
          <w:rFonts w:hint="eastAsia" w:ascii="宋体" w:hAnsi="宋体" w:eastAsia="宋体" w:cs="宋体"/>
          <w:color w:val="0000FF"/>
          <w:sz w:val="24"/>
          <w:szCs w:val="24"/>
          <w:highlight w:val="none"/>
        </w:rPr>
        <w:t>未按投标人须知前附表规定缴纳招标代理服务费；</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）以他人名义投标或者以其他方式弄虚作假，骗取中标；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）本招标文件中规定的其他没收投标保证金的情形（如中标后未及时与采购人签订采购合同或签订合同后未能及时履约等等）。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上述不予退还投标保证金的情况给招标采购单位造成损失的，还要承担赔偿责任。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12.10投标人有下列情形之一的，其投标保证金将不予退还，并报请须知前附表所列行政监督管理部门同意，列入不良行为记录名单，在一至三年内禁止参加福建冠豸山现代农业发展有限公司采购活动，并予以公告。情节严重的，报请其他有权机关处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（1）提供虚假材料谋取中标的；</w:t>
      </w:r>
      <w:r>
        <w:rPr>
          <w:rFonts w:hint="eastAsia" w:ascii="宋体" w:hAnsi="宋体" w:eastAsia="宋体" w:cs="宋体"/>
          <w:color w:val="000000" w:themeColor="text1"/>
          <w:sz w:val="24"/>
          <w:szCs w:val="24"/>
          <w:highlight w:val="none"/>
          <w14:textFill>
            <w14:solidFill>
              <w14:schemeClr w14:val="tx1"/>
            </w14:solidFill>
          </w14:textFill>
        </w:rPr>
        <w:tab/>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（2）采取不正当手段诋毁、排挤其他供应商的；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（3）与招标采购单位、其他投标人恶意串通的。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12.11中标供应商放弃中标，其投标保证金不予退还，同时应按相关法律、规章、规范性文件的规定承担相应的法律责任。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13.投标文件的格式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投标文件应按照招标文件第五章“投标文件格式”规定的格式和内容（表格可以按同样格式扩展，如有必要，可以增加附页，作为投标文件的组成部分）进行编写。投标人应仔细阅读投标文件格式的备注或说明，并按要求提交相关资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13.2投标文件应由投标人的法定代表人或者其授权代表签字并加盖公章，如由授权代表签字，应提供“法定代表人授权委托书”。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13.3第五章“投标文件格式”中要求盖单位公章处是指加盖投标人的单位公章，投标人代表签字或盖章处是指签字或加盖姓名章。</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13.4招标文件要求提交的证件、单据等证明材料</w:t>
      </w:r>
      <w:r>
        <w:rPr>
          <w:rFonts w:hint="eastAsia" w:ascii="宋体" w:hAnsi="宋体" w:eastAsia="宋体" w:cs="宋体"/>
          <w:color w:val="000000" w:themeColor="text1"/>
          <w:sz w:val="24"/>
          <w:szCs w:val="24"/>
          <w:highlight w:val="none"/>
          <w:lang w:val="en-US" w:eastAsia="zh-CN"/>
          <w14:textFill>
            <w14:solidFill>
              <w14:schemeClr w14:val="tx1"/>
            </w14:solidFill>
          </w14:textFill>
        </w:rPr>
        <w:t>为原件扫描件</w:t>
      </w:r>
      <w:r>
        <w:rPr>
          <w:rFonts w:hint="eastAsia" w:ascii="宋体" w:hAnsi="宋体" w:eastAsia="宋体" w:cs="宋体"/>
          <w:color w:val="000000" w:themeColor="text1"/>
          <w:sz w:val="24"/>
          <w:szCs w:val="24"/>
          <w:highlight w:val="none"/>
          <w14:textFill>
            <w14:solidFill>
              <w14:schemeClr w14:val="tx1"/>
            </w14:solidFill>
          </w14:textFill>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13.5除非有另外的规定或许可，投标使用货币为人民币。</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13.6投标人应提交证明其拟供货物符合招标文件要求的技术响应文件，该文件可以是文字资料、图纸和数据，并须提供货物主要技术性能的详细描述。   </w:t>
      </w:r>
    </w:p>
    <w:p>
      <w:pPr>
        <w:pStyle w:val="4"/>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9" w:name="_Toc20294"/>
      <w:r>
        <w:rPr>
          <w:rFonts w:hint="eastAsia" w:ascii="宋体" w:hAnsi="宋体" w:eastAsia="宋体" w:cs="宋体"/>
          <w:color w:val="000000" w:themeColor="text1"/>
          <w:sz w:val="24"/>
          <w:szCs w:val="24"/>
          <w:highlight w:val="none"/>
          <w14:textFill>
            <w14:solidFill>
              <w14:schemeClr w14:val="tx1"/>
            </w14:solidFill>
          </w14:textFill>
        </w:rPr>
        <w:t>四、投标文件的提交</w:t>
      </w:r>
      <w:bookmarkEnd w:id="29"/>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一个投标人只能提交一个投标文件，并按照招标文件第一章规定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递交</w:t>
      </w:r>
      <w:r>
        <w:rPr>
          <w:rFonts w:hint="eastAsia" w:ascii="宋体" w:hAnsi="宋体" w:eastAsia="宋体" w:cs="宋体"/>
          <w:color w:val="000000" w:themeColor="text1"/>
          <w:sz w:val="24"/>
          <w:szCs w:val="24"/>
          <w:highlight w:val="none"/>
          <w14:textFill>
            <w14:solidFill>
              <w14:schemeClr w14:val="tx1"/>
            </w14:solidFill>
          </w14:textFill>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z w:val="24"/>
          <w:szCs w:val="24"/>
          <w:highlight w:val="none"/>
          <w:lang w:val="en-US" w:eastAsia="zh-CN"/>
          <w14:textFill>
            <w14:solidFill>
              <w14:schemeClr w14:val="tx1"/>
            </w14:solidFill>
          </w14:textFill>
        </w:rPr>
        <w:t>2投标截止时间前，投标人可对所提交的投标文件进行补充、修改或撤回，</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投标人在投标截止后不得修改、撤回投标文件。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投标文件递交或解密截止时间后，参加投标或解密成功的投标人不足三家的，本次招标程序终止，除采购任务取消情形外，招标采购单位将依法重新组织招标或者采取其他方式采购。</w:t>
      </w:r>
    </w:p>
    <w:p>
      <w:pPr>
        <w:pStyle w:val="4"/>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30" w:name="_Toc14439"/>
      <w:r>
        <w:rPr>
          <w:rFonts w:hint="eastAsia" w:ascii="宋体" w:hAnsi="宋体" w:eastAsia="宋体" w:cs="宋体"/>
          <w:color w:val="000000" w:themeColor="text1"/>
          <w:sz w:val="24"/>
          <w:szCs w:val="24"/>
          <w:highlight w:val="none"/>
          <w14:textFill>
            <w14:solidFill>
              <w14:schemeClr w14:val="tx1"/>
            </w14:solidFill>
          </w14:textFill>
        </w:rPr>
        <w:t>五、投标文件的评估和比较</w:t>
      </w:r>
      <w:bookmarkEnd w:id="30"/>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15．开标、评标时间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15.1采购人按招标文件所规定的时间在电子交易平台公开进行在线开标，所有投标人均应当准时在线参加开标。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开标时，电子交易平台自动提取所有投标文件，提示采购人和投标人按招标文件方式按时在线解密。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投标文件解密失败的补救方案详见投标人须知前附表</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15.3解密程序完成后，由电子交易平台自动生成《开标记录表》并向所有投标人公布。</w:t>
      </w:r>
    </w:p>
    <w:p>
      <w:pPr>
        <w:pageBreakBefore w:val="0"/>
        <w:tabs>
          <w:tab w:val="left" w:pos="3330"/>
        </w:tabs>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16．评标委员会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评标委员会由采购人代表和技术、经济等方面的评标专家两部分共5人组成，其中：由采购人派出的采购人代表1人，由采购评审专家库产生的评标专家4人。在开标后的适当时间里由评标委员会对投标文件进行审查、质疑、评估和比较，并做出授予合同的建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17.投标文件的初审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对所有投标人的评估，都采用相同的程序和标准。评议过程将严格按照招标文件的要求和条件进行。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有关投标文件的审查、澄清、评估和比较以及与评标有关的其他情况都不得透露给任一投标人或与上述评标工作无关的人员。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投标人任何试图影响评委会对投标文件的评估、比较或者推荐候选人的行为，都将导致其投标被拒绝。</w:t>
      </w:r>
    </w:p>
    <w:p>
      <w:pPr>
        <w:pageBreakBefore w:val="0"/>
        <w:kinsoku/>
        <w:wordWrap/>
        <w:overflowPunct/>
        <w:topLinePunct w:val="0"/>
        <w:bidi w:val="0"/>
        <w:spacing w:before="12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17.1评标委员会将对投标文件进行检查，以确定投标文件是否完整、有无计算上的错误、文件是否已正确签署。</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17.2算术错误将按以下方法更正：</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(1)投标文件中开标一览表(报价表)内容与投标文件中明细表内容不一致的，以开标一览表(报价表)为准。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如果投标人不接受按上述方法对投标文件中的算术错误进行更正，其投标将被拒绝。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17.3资格性检查和符合性检查 </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17.3.1资格性检查：依据法律法规和招标文件的规定，在对投标文件详细评估之前，评标委员会将依据投标人提交的投标文件按投标人须知前附表第2项所述的资格标准对投标人进行资格审查,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以确定其是否具备投标资格。如果投标人不具备投标资格，不满足招标文件所规定的资格标准或提供资格证明材料不符合招标文件规定的, 其投标将被拒绝。</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17.3.2符合性检查。依据招标文件的规定，评标委员会还将从投标文件的有效性、完整性和对招标文件的响应程度进行审查，以确定是否符合对招标文件的实质性要求作出响应。（采购人可根据具体项目的情况对实质性要求作特别的规定。）实质性偏离是指：（1）实质性影响合同的范围、质量和履行；（2）实质性违背招标文件，限制了采购人的权利和</w:t>
      </w:r>
      <w:r>
        <w:rPr>
          <w:rFonts w:hint="eastAsia" w:ascii="宋体" w:hAnsi="宋体" w:eastAsia="宋体" w:cs="宋体"/>
          <w:color w:val="000000" w:themeColor="text1"/>
          <w:sz w:val="24"/>
          <w:szCs w:val="24"/>
          <w:highlight w:val="none"/>
          <w:lang w:eastAsia="zh-CN"/>
          <w14:textFill>
            <w14:solidFill>
              <w14:schemeClr w14:val="tx1"/>
            </w14:solidFill>
          </w14:textFill>
        </w:rPr>
        <w:t>成交人</w:t>
      </w:r>
      <w:r>
        <w:rPr>
          <w:rFonts w:hint="eastAsia" w:ascii="宋体" w:hAnsi="宋体" w:eastAsia="宋体" w:cs="宋体"/>
          <w:color w:val="000000" w:themeColor="text1"/>
          <w:sz w:val="24"/>
          <w:szCs w:val="24"/>
          <w:highlight w:val="none"/>
          <w14:textFill>
            <w14:solidFill>
              <w14:schemeClr w14:val="tx1"/>
            </w14:solidFill>
          </w14:textFill>
        </w:rPr>
        <w:t>合同项下的义务；（3）不公正地影响了其它作出实质性响应的投标人的竞争地位。对没有实质性响应的投标文件将不进行评估。凡有下列情况之一者，投标文件也将被视为未实质性响应招标文件要求：</w:t>
      </w:r>
    </w:p>
    <w:p>
      <w:pPr>
        <w:spacing w:line="360" w:lineRule="auto"/>
        <w:ind w:firstLine="480" w:firstLineChars="200"/>
        <w:rPr>
          <w:rFonts w:hint="eastAsia" w:ascii="宋体" w:hAnsi="宋体"/>
          <w:sz w:val="24"/>
        </w:rPr>
      </w:pPr>
      <w:r>
        <w:rPr>
          <w:rFonts w:hint="eastAsia" w:ascii="宋体" w:hAnsi="宋体"/>
          <w:sz w:val="24"/>
        </w:rPr>
        <w:t>(1)未按规定由投标人的法定代表人或其授权代表签字，或未加盖投标人公章的；或签字人未经法定代表人有效授权委托的；</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)未缴纳投标保证金或金额不足的</w:t>
      </w:r>
      <w:r>
        <w:rPr>
          <w:rFonts w:hint="eastAsia" w:ascii="宋体" w:hAnsi="宋体"/>
          <w:sz w:val="24"/>
          <w:lang w:eastAsia="zh-CN"/>
        </w:rPr>
        <w:t>（</w:t>
      </w:r>
      <w:r>
        <w:rPr>
          <w:rFonts w:hint="eastAsia" w:ascii="宋体" w:hAnsi="宋体"/>
          <w:sz w:val="24"/>
          <w:lang w:val="en-US" w:eastAsia="zh-CN"/>
        </w:rPr>
        <w:t>若有</w:t>
      </w:r>
      <w:r>
        <w:rPr>
          <w:rFonts w:hint="eastAsia" w:ascii="宋体" w:hAnsi="宋体"/>
          <w:sz w:val="24"/>
          <w:lang w:eastAsia="zh-CN"/>
        </w:rPr>
        <w:t>）</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)投标人之间存在本须知第3.3条规定的；</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)投标有效期不满足招标文件要求的；</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)投标内容与</w:t>
      </w:r>
      <w:r>
        <w:rPr>
          <w:rFonts w:hint="eastAsia" w:ascii="宋体" w:hAnsi="宋体"/>
          <w:sz w:val="24"/>
          <w:lang w:eastAsia="zh-CN"/>
        </w:rPr>
        <w:t>招标内容及技术服务要求</w:t>
      </w:r>
      <w:r>
        <w:rPr>
          <w:rFonts w:hint="eastAsia" w:ascii="宋体" w:hAnsi="宋体"/>
          <w:sz w:val="24"/>
        </w:rPr>
        <w:t>有重大偏离或保留的；</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)投标人提交的是可选择的报价；</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)投标文件组成不符合招标文件要求的；</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)递交的《投标书》、《法定代表人授权书》内容与本招标文件格式内容存在实质性差别的；</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)投标报价有漏（缺）报项，投标人不同意按照招标文件规定处理的；</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)投标文件内容关键字迹模糊，无法辨认的；</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)反映投标文件个性特征的内容出现明显雷同的；</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)投标文件中提供的复印件与原件不一致或提供虚假、失实资料的；</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)投标人的投标总价超过预算价的；</w:t>
      </w:r>
    </w:p>
    <w:p>
      <w:pPr>
        <w:pageBreakBefore w:val="0"/>
        <w:kinsoku/>
        <w:wordWrap/>
        <w:overflowPunct/>
        <w:topLinePunct w:val="0"/>
        <w:bidi w:val="0"/>
        <w:spacing w:line="360" w:lineRule="auto"/>
        <w:ind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)不符合招标文件中规定的其它实质性条款。</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评标委员会决定投标的响应性只根据投标文件本身的内容，而不寻求其他的外部证据。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18.投标文件的澄清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19.比较与评价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19.1评标委员会将按投标人须知前附表第6项所述评标方法与标准，对资格性检查和符合性检查合格的投标文件</w:t>
      </w:r>
      <w:r>
        <w:rPr>
          <w:rFonts w:hint="eastAsia" w:ascii="宋体" w:hAnsi="宋体" w:eastAsia="宋体" w:cs="宋体"/>
          <w:color w:val="000000" w:themeColor="text1"/>
          <w:kern w:val="0"/>
          <w:sz w:val="24"/>
          <w:szCs w:val="24"/>
          <w:highlight w:val="none"/>
          <w14:textFill>
            <w14:solidFill>
              <w14:schemeClr w14:val="tx1"/>
            </w14:solidFill>
          </w14:textFill>
        </w:rPr>
        <w:t>实行两阶段评标</w:t>
      </w:r>
      <w:r>
        <w:rPr>
          <w:rFonts w:hint="eastAsia" w:ascii="宋体" w:hAnsi="宋体" w:eastAsia="宋体" w:cs="宋体"/>
          <w:color w:val="000000" w:themeColor="text1"/>
          <w:sz w:val="24"/>
          <w:szCs w:val="24"/>
          <w:highlight w:val="none"/>
          <w14:textFill>
            <w14:solidFill>
              <w14:schemeClr w14:val="tx1"/>
            </w14:solidFill>
          </w14:textFill>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一阶段进行技术商务部分的评标，开标一览表及报价部分投标文件在商务技术部分评分结束前先密封保管，采购人、采购代理机构不得将投标人的报价向评委公布。评标委员会按照相关法律法规规定、招标文件规定的评标方法和标准，评出实质性响应招标文件技术商务要求的投标人，并计算出各投标人技术商务部分的得分（采用最低评标价法的除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二阶段进行价格部分评标,经第一阶段评选出的实质性响应招标文件技术商务要求的投标人进入第二阶段评标。评标委员会按招标文件规定的评标方法和标准，评出实质性响应招标文件报价要求的投标人，并在各项优惠政策加分或价格扣除基础上计算出各投标人价格部分的得分或经折扣后的报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用综合评分法的，按照两阶段评标加总后的总得分由高到低排序，根据招标文件的规定推荐中标候选供应商；采用最低评标价法的，以第二阶段评标中，按照经优惠政策折扣后的投标报价由低到高排序，根据招标文件的规定推荐中标候选供应商</w:t>
      </w:r>
      <w:r>
        <w:rPr>
          <w:rFonts w:hint="eastAsia" w:ascii="宋体" w:hAnsi="宋体" w:eastAsia="宋体" w:cs="宋体"/>
          <w:color w:val="000000" w:themeColor="text1"/>
          <w:sz w:val="24"/>
          <w:szCs w:val="24"/>
          <w:highlight w:val="none"/>
          <w14:textFill>
            <w14:solidFill>
              <w14:schemeClr w14:val="tx1"/>
            </w14:solidFill>
          </w14:textFill>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对漏（缺）报项的处理：招标文件中要求列入报价的费用（含配置、功能），漏（缺）报的视同已含在投标总价中。但在评标时取有效投标人该项最高报价加入投标总价中计算评标价格。对多报项及赠送项的价格评标时不予核减，全部进入评标价评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19.3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19.4评标委员会在评标过程中发现投标人存在下列情形之一的，可认定其有串通投标行为，并做出其投标无效的决定：</w:t>
      </w:r>
    </w:p>
    <w:p>
      <w:pPr>
        <w:pageBreakBefore w:val="0"/>
        <w:widowControl/>
        <w:kinsoku/>
        <w:wordWrap/>
        <w:overflowPunct/>
        <w:topLinePunct w:val="0"/>
        <w:bidi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⑴不同投标人的投标文件错、漏之处一致或雷同，且不能合理解释的；</w:t>
      </w:r>
    </w:p>
    <w:p>
      <w:pPr>
        <w:pageBreakBefore w:val="0"/>
        <w:widowControl/>
        <w:kinsoku/>
        <w:wordWrap/>
        <w:overflowPunct/>
        <w:topLinePunct w:val="0"/>
        <w:bidi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⑵不同的投标人的法定代表人、委托代理人等由同一个单位缴纳社会保险的；</w:t>
      </w:r>
    </w:p>
    <w:p>
      <w:pPr>
        <w:pageBreakBefore w:val="0"/>
        <w:widowControl/>
        <w:kinsoku/>
        <w:wordWrap/>
        <w:overflowPunct/>
        <w:topLinePunct w:val="0"/>
        <w:bidi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⑶由同一人或分别由几个有利害关系人携带两个以上（含两个）投标人的企业资料参与资格审查、领取招标资料，或代表两个以上（含两个）投标人参加招标答疑会、开标的；</w:t>
      </w:r>
    </w:p>
    <w:p>
      <w:pPr>
        <w:pageBreakBefore w:val="0"/>
        <w:widowControl/>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⑷有关法律、法规或规章规定的其他串通投标行为。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19.5废标与无效投标界定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19.5.1出现下列情形之一的，本次招标采购予以废标：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（1）符合专业条件的投标人或者对招标文件作实质性响应的投标人不足三家的；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（2）出现影响采购公正的违法、违规行为的；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（3）因重大变故，采购任务取消的；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废标后，招标采购单位应当将废标理由通知所有投标人。除采购任务取消情形外，招标采购单位将依法重新组织招标或者采取其他方式采购。</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19.5.2凡有下列情况之一的，投标人的投标将按照无效投标处理：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（1）干扰或试图对评标委员会的评标、比较或评标结果的决定进行影响的；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（2）存在本须知第17.3.2情形之一的。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19.6评标标准和方法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31" w:name="_Toc13929"/>
      <w:r>
        <w:rPr>
          <w:rFonts w:hint="eastAsia" w:ascii="宋体" w:hAnsi="宋体" w:eastAsia="宋体" w:cs="宋体"/>
          <w:color w:val="auto"/>
          <w:sz w:val="24"/>
          <w:szCs w:val="24"/>
          <w:highlight w:val="none"/>
          <w:lang w:eastAsia="zh-CN"/>
        </w:rPr>
        <w:t>采用在实质性响应采购文件的前提下，评标委员会根据投标人投标总价作为评审价格，按评审价格从低到高排列的顺序推荐1名中标候选供应商。评审价格相同的，按技术指标优劣顺序排列</w:t>
      </w:r>
      <w:r>
        <w:rPr>
          <w:rFonts w:hint="eastAsia" w:ascii="宋体" w:hAnsi="宋体" w:cs="宋体"/>
          <w:color w:val="auto"/>
          <w:sz w:val="24"/>
          <w:szCs w:val="24"/>
          <w:highlight w:val="none"/>
          <w:lang w:eastAsia="zh-CN"/>
        </w:rPr>
        <w:t>，技术指标优劣基本相同的随机抽取确认</w:t>
      </w:r>
      <w:r>
        <w:rPr>
          <w:rFonts w:hint="eastAsia" w:ascii="宋体" w:hAnsi="宋体" w:eastAsia="宋体" w:cs="宋体"/>
          <w:color w:val="auto"/>
          <w:sz w:val="24"/>
          <w:szCs w:val="24"/>
          <w:highlight w:val="none"/>
          <w:lang w:eastAsia="zh-CN"/>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19.6.1比较与评价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（1）按照本章第19.6条载明的评标方法和标准，对符合性审查合格的投标文件进行比较与评价。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（2）关于相同品牌产品</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用最低评标价法的，提供相同品牌产品的不同投标人参加同一合同项下投标的，以其中通过资格审查、符合性审查且报价最低的参加评标；报价相同的，由评标委员会按照下列方式确定一个参加评标的投标人：采取随机抽取方式确定，其他投标无效。</w:t>
      </w:r>
    </w:p>
    <w:p>
      <w:pPr>
        <w:pStyle w:val="4"/>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六、定标与签订合同</w:t>
      </w:r>
      <w:bookmarkEnd w:id="31"/>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20.定标准则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20.1最低投标价不作为中标的保证。</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20.2投标人的投标文件符合招标文件要求，按招标文件确定评标标准、方法，经评委评审并推荐为中标候选人。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合同授予</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只有投标文件符合招标文件的要求，并有能力圆满地履行合同的且被推荐为中标侯选供应商的投标人才可被授予合同。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22.中标通知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评标结束，采购人确认中标供应商后,招标代理机构在刊登本采购项目招标公告的媒介上对评标结果进行公告，并向中标供应商发出中标通知书。中标通知书对采购人和中标供应商具有同等法律效力。中标通知书发出后，采购人改变中标结果，或者中标供应商放弃中标，应按相关法律、规章、规范性文件的规定承担相应的法律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22.2《中标通知书》将作为签订合同的依据。《合同》签订后，《中标通知书》成为《合同》的一部分。</w:t>
      </w:r>
    </w:p>
    <w:p>
      <w:pPr>
        <w:pStyle w:val="43"/>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.签订合同</w:t>
      </w:r>
    </w:p>
    <w:p>
      <w:pPr>
        <w:pageBreakBefore w:val="0"/>
        <w:kinsoku/>
        <w:wordWrap/>
        <w:overflowPunct/>
        <w:topLinePunct w:val="0"/>
        <w:bidi w:val="0"/>
        <w:spacing w:before="12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采购人、中标供应商在《中标通知书》发出之日起30日内（具体时间与采购单位商定），根据招标文件确定的事项和中标供应商投标文件，参照本招标文件第四章的《合同》文本签订合同。双方所签订的合同不得对招标文件和中标供应商投标文件作实质性修改。逾期未签订合同，按照有关法律规定承担相应的法律责任。采购人逾期不与中标供应商签订合同的，按有关规定处理。</w:t>
      </w:r>
    </w:p>
    <w:p>
      <w:pPr>
        <w:pageBreakBefore w:val="0"/>
        <w:kinsoku/>
        <w:wordWrap/>
        <w:overflowPunct/>
        <w:topLinePunct w:val="0"/>
        <w:bidi w:val="0"/>
        <w:spacing w:before="12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招标文件、招标文件的修改文件、中标供应商的投标文件、补充或修改的文件及澄清或承诺文件等，均为双方签订《合同》的组成部分，并与《合同》一并作为本招标文件所列采购项目的互补性法律文件，与《合同》具有同等法律效力。</w:t>
      </w:r>
    </w:p>
    <w:p>
      <w:pPr>
        <w:pageBreakBefore w:val="0"/>
        <w:kinsoku/>
        <w:wordWrap/>
        <w:overflowPunct/>
        <w:topLinePunct w:val="0"/>
        <w:bidi w:val="0"/>
        <w:spacing w:before="12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23.3采购人在合同履行中，需追加与合同标的相同的货物或者服务的，在不改变合同其他条款的前提下，可与供应商协商签订补充合同，但所有补充合同的采购金额不得超过原合同采购金额的百分之十。</w:t>
      </w:r>
    </w:p>
    <w:p>
      <w:pPr>
        <w:pageBreakBefore w:val="0"/>
        <w:kinsoku/>
        <w:wordWrap/>
        <w:overflowPunct/>
        <w:topLinePunct w:val="0"/>
        <w:bidi w:val="0"/>
        <w:spacing w:before="12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23.4中标供应商因不可抗力或者自身原因不能履行采购合同的，采购人可以与排位在中标供应商之后第一位的中标候选供应商签订采购合同，以此类推。</w:t>
      </w:r>
    </w:p>
    <w:p>
      <w:pPr>
        <w:pageBreakBefore w:val="0"/>
        <w:kinsoku/>
        <w:wordWrap/>
        <w:overflowPunct/>
        <w:topLinePunct w:val="0"/>
        <w:bidi w:val="0"/>
        <w:spacing w:before="12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24.招标项目行政监督部门</w:t>
      </w:r>
    </w:p>
    <w:p>
      <w:pPr>
        <w:pageBreakBefore w:val="0"/>
        <w:kinsoku/>
        <w:wordWrap/>
        <w:overflowPunct/>
        <w:topLinePunct w:val="0"/>
        <w:bidi w:val="0"/>
        <w:spacing w:before="12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24.1招标项目行政监督部门可视情依法派员对本招标活动的全程进行监督。</w:t>
      </w:r>
    </w:p>
    <w:p>
      <w:pPr>
        <w:pStyle w:val="4"/>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32" w:name="_Toc11618"/>
      <w:r>
        <w:rPr>
          <w:rFonts w:hint="eastAsia" w:ascii="宋体" w:hAnsi="宋体" w:eastAsia="宋体" w:cs="宋体"/>
          <w:color w:val="000000" w:themeColor="text1"/>
          <w:sz w:val="24"/>
          <w:szCs w:val="24"/>
          <w:highlight w:val="none"/>
          <w14:textFill>
            <w14:solidFill>
              <w14:schemeClr w14:val="tx1"/>
            </w14:solidFill>
          </w14:textFill>
        </w:rPr>
        <w:t>七、质疑</w:t>
      </w:r>
      <w:bookmarkEnd w:id="32"/>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25.质疑及询问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25.1.1潜在投标人或投标人对本次采购活动的有关事项若有疑问，可向</w:t>
      </w:r>
      <w:r>
        <w:rPr>
          <w:rFonts w:hint="eastAsia" w:ascii="宋体" w:hAnsi="宋体" w:cs="宋体"/>
          <w:color w:val="000000" w:themeColor="text1"/>
          <w:sz w:val="24"/>
          <w:szCs w:val="24"/>
          <w:highlight w:val="none"/>
          <w:lang w:eastAsia="zh-CN"/>
          <w14:textFill>
            <w14:solidFill>
              <w14:schemeClr w14:val="tx1"/>
            </w14:solidFill>
          </w14:textFill>
        </w:rPr>
        <w:t>连城县国有资产产权交易服务有限公司</w:t>
      </w:r>
      <w:r>
        <w:rPr>
          <w:rFonts w:hint="eastAsia" w:ascii="宋体" w:hAnsi="宋体" w:eastAsia="宋体" w:cs="宋体"/>
          <w:color w:val="000000" w:themeColor="text1"/>
          <w:sz w:val="24"/>
          <w:szCs w:val="24"/>
          <w:highlight w:val="none"/>
          <w14:textFill>
            <w14:solidFill>
              <w14:schemeClr w14:val="tx1"/>
            </w14:solidFill>
          </w14:textFill>
        </w:rPr>
        <w:t>提出询问，</w:t>
      </w:r>
      <w:r>
        <w:rPr>
          <w:rFonts w:hint="eastAsia" w:ascii="宋体" w:hAnsi="宋体" w:cs="宋体"/>
          <w:color w:val="000000" w:themeColor="text1"/>
          <w:sz w:val="24"/>
          <w:szCs w:val="24"/>
          <w:highlight w:val="none"/>
          <w:lang w:eastAsia="zh-CN"/>
          <w14:textFill>
            <w14:solidFill>
              <w14:schemeClr w14:val="tx1"/>
            </w14:solidFill>
          </w14:textFill>
        </w:rPr>
        <w:t>连城县国有资产产权交易服务有限公司</w:t>
      </w:r>
      <w:r>
        <w:rPr>
          <w:rFonts w:hint="eastAsia" w:ascii="宋体" w:hAnsi="宋体" w:eastAsia="宋体" w:cs="宋体"/>
          <w:color w:val="000000" w:themeColor="text1"/>
          <w:sz w:val="24"/>
          <w:szCs w:val="24"/>
          <w:highlight w:val="none"/>
          <w14:textFill>
            <w14:solidFill>
              <w14:schemeClr w14:val="tx1"/>
            </w14:solidFill>
          </w14:textFill>
        </w:rPr>
        <w:t>将按有关规定进行答复，但答复的内容不涉及商业秘密。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25.2根据相关法律法规的规定，本项目招标公告的公告期限为5个工作日。招标文件的质疑时效：</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①在招标文件公告期限内：自供应商报名之日起7个工作日内向</w:t>
      </w:r>
      <w:r>
        <w:rPr>
          <w:rFonts w:hint="eastAsia" w:ascii="宋体" w:hAnsi="宋体" w:cs="宋体"/>
          <w:color w:val="000000" w:themeColor="text1"/>
          <w:sz w:val="24"/>
          <w:szCs w:val="24"/>
          <w:highlight w:val="none"/>
          <w:lang w:eastAsia="zh-CN"/>
          <w14:textFill>
            <w14:solidFill>
              <w14:schemeClr w14:val="tx1"/>
            </w14:solidFill>
          </w14:textFill>
        </w:rPr>
        <w:t>连城县国有资产产权交易服务有限公司</w:t>
      </w:r>
      <w:r>
        <w:rPr>
          <w:rFonts w:hint="eastAsia" w:ascii="宋体" w:hAnsi="宋体" w:eastAsia="宋体" w:cs="宋体"/>
          <w:color w:val="000000" w:themeColor="text1"/>
          <w:sz w:val="24"/>
          <w:szCs w:val="24"/>
          <w:highlight w:val="none"/>
          <w14:textFill>
            <w14:solidFill>
              <w14:schemeClr w14:val="tx1"/>
            </w14:solidFill>
          </w14:textFill>
        </w:rPr>
        <w:t>提出，招标文件公告期限、报名时间均以</w:t>
      </w:r>
      <w:r>
        <w:rPr>
          <w:rFonts w:hint="eastAsia" w:ascii="宋体" w:hAnsi="宋体" w:cs="宋体"/>
          <w:color w:val="000000" w:themeColor="text1"/>
          <w:sz w:val="24"/>
          <w:szCs w:val="24"/>
          <w:highlight w:val="none"/>
          <w:lang w:eastAsia="zh-CN"/>
          <w14:textFill>
            <w14:solidFill>
              <w14:schemeClr w14:val="tx1"/>
            </w14:solidFill>
          </w14:textFill>
        </w:rPr>
        <w:t>连城产权交易网</w:t>
      </w:r>
      <w:r>
        <w:rPr>
          <w:rFonts w:hint="eastAsia" w:ascii="宋体" w:hAnsi="宋体" w:eastAsia="宋体" w:cs="宋体"/>
          <w:color w:val="000000" w:themeColor="text1"/>
          <w:sz w:val="24"/>
          <w:szCs w:val="24"/>
          <w:highlight w:val="none"/>
          <w14:textFill>
            <w14:solidFill>
              <w14:schemeClr w14:val="tx1"/>
            </w14:solidFill>
          </w14:textFill>
        </w:rPr>
        <w:t>上公开信息系统记载的为准。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②在招标文件公告期限截止后至招标文件提供期限届满前的期间内：自招标文件公告期限届满之日起7个工作日内向</w:t>
      </w:r>
      <w:r>
        <w:rPr>
          <w:rFonts w:hint="eastAsia" w:ascii="宋体" w:hAnsi="宋体" w:cs="宋体"/>
          <w:color w:val="000000" w:themeColor="text1"/>
          <w:sz w:val="24"/>
          <w:szCs w:val="24"/>
          <w:highlight w:val="none"/>
          <w:lang w:eastAsia="zh-CN"/>
          <w14:textFill>
            <w14:solidFill>
              <w14:schemeClr w14:val="tx1"/>
            </w14:solidFill>
          </w14:textFill>
        </w:rPr>
        <w:t>连城县国有资产产权交易服务有限公司</w:t>
      </w:r>
      <w:r>
        <w:rPr>
          <w:rFonts w:hint="eastAsia" w:ascii="宋体" w:hAnsi="宋体" w:eastAsia="宋体" w:cs="宋体"/>
          <w:color w:val="000000" w:themeColor="text1"/>
          <w:sz w:val="24"/>
          <w:szCs w:val="24"/>
          <w:highlight w:val="none"/>
          <w14:textFill>
            <w14:solidFill>
              <w14:schemeClr w14:val="tx1"/>
            </w14:solidFill>
          </w14:textFill>
        </w:rPr>
        <w:t>提出，招标文件公告期限、招标文件提供期限均以</w:t>
      </w:r>
      <w:r>
        <w:rPr>
          <w:rFonts w:hint="eastAsia" w:ascii="宋体" w:hAnsi="宋体" w:cs="宋体"/>
          <w:color w:val="000000" w:themeColor="text1"/>
          <w:sz w:val="24"/>
          <w:szCs w:val="24"/>
          <w:highlight w:val="none"/>
          <w:lang w:eastAsia="zh-CN"/>
          <w14:textFill>
            <w14:solidFill>
              <w14:schemeClr w14:val="tx1"/>
            </w14:solidFill>
          </w14:textFill>
        </w:rPr>
        <w:t>连城产权交易网</w:t>
      </w:r>
      <w:r>
        <w:rPr>
          <w:rFonts w:hint="eastAsia" w:ascii="宋体" w:hAnsi="宋体" w:eastAsia="宋体" w:cs="宋体"/>
          <w:color w:val="000000" w:themeColor="text1"/>
          <w:sz w:val="24"/>
          <w:szCs w:val="24"/>
          <w:highlight w:val="none"/>
          <w14:textFill>
            <w14:solidFill>
              <w14:schemeClr w14:val="tx1"/>
            </w14:solidFill>
          </w14:textFill>
        </w:rPr>
        <w:t>上公开信息系统记载的为准。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25.3投标人认为招标过程和中标结果使自己的合法权益受到损害的，可以在采购结果公告之日（不包括当日）起7个工作日内，以书面形式向招标采购单位提出质疑并要求作出答复。逾期则不予受理，视同接受招标过程和采购结果。</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25.4招标采购单位将在收到书面质疑后的7个工作日（不包括当日）内作出答复，并以书面形式通知质疑投标人和其他有关供应商，但答复的内容不涉及商业秘密。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25.5质疑应在相关法律法规规定的时限内提出，并符合下列条件：</w:t>
      </w:r>
    </w:p>
    <w:p>
      <w:pPr>
        <w:pageBreakBefore w:val="0"/>
        <w:numPr>
          <w:ilvl w:val="0"/>
          <w:numId w:val="3"/>
        </w:numPr>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对招标文件提出质疑的，质疑人应为潜在供应商，且两者的身份、名称等均应保持一致。对采购过程、结果提出质疑的，质疑人应为供应商，且两者的身份、名称等均应保持一致，并提供已在</w:t>
      </w:r>
      <w:r>
        <w:rPr>
          <w:rFonts w:hint="eastAsia" w:ascii="宋体" w:hAnsi="宋体" w:cs="宋体"/>
          <w:color w:val="000000" w:themeColor="text1"/>
          <w:sz w:val="24"/>
          <w:szCs w:val="24"/>
          <w:highlight w:val="none"/>
          <w:lang w:eastAsia="zh-CN"/>
          <w14:textFill>
            <w14:solidFill>
              <w14:schemeClr w14:val="tx1"/>
            </w14:solidFill>
          </w14:textFill>
        </w:rPr>
        <w:t>连城产权交易网</w:t>
      </w:r>
      <w:r>
        <w:rPr>
          <w:rFonts w:hint="eastAsia" w:ascii="宋体" w:hAnsi="宋体" w:eastAsia="宋体" w:cs="宋体"/>
          <w:color w:val="000000" w:themeColor="text1"/>
          <w:sz w:val="24"/>
          <w:szCs w:val="24"/>
          <w:highlight w:val="none"/>
          <w14:textFill>
            <w14:solidFill>
              <w14:schemeClr w14:val="tx1"/>
            </w14:solidFill>
          </w14:textFill>
        </w:rPr>
        <w:t>已对本项目进行报名的回执函（投标人报名中-查看投标-打印回执码）。</w:t>
      </w:r>
    </w:p>
    <w:p>
      <w:pPr>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（2）质疑人应按挂号邮件或快递方式或送达方式递交向招标人提供原件。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（3）质疑函应包括下列主要内容：</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①质疑人的基本信息，至少包括：全称、地址、邮政编码等；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②所质疑项目的基本信息，至少包括：项目编号、项目名称等；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③所质疑的具体事项（以下简称：“质疑事项”）；</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针对质疑事项提出的明确请求，前述明确请求指质疑人提出质疑的目的、希望采购方对其质疑作出的处理结果，如：暂停招标采购活动、修改招标文件、停止或纠正违法违规行为、成交结果无效、废标、重新开展采购活动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⑤针对质疑事项导致质疑人自身权益受到损害的必要证明材料，至少包括：</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b.其他证明材料，包括但不限于下列材料：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b1所质疑的具体事项是与自已有利害关系的证明材料；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b2质疑函所述事实存在的证明材料，如：采购文件、采购过程或成交结果违法违规或不符合采购文件要求等证明材料；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b3依法应终止采购程序的证明材料；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b4应重新采购的证明材料；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b5采购文件、采购过程或成交、成交结果损害自已合法权益的证明材料等；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⑥质疑人代表及其联系方式的信息，至少包括：姓名、手机、电子信箱、邮寄地址等。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25.6对不符合本章第25.5条规定的质疑，采购方将按照下列规定进行处理：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（1）未按照规定提交的，书面告知质疑人不予受理及其理由。</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（2）内容不符合规定的，告知质疑人修改、补充后在规定时限内重新提交质疑函原件。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25.7对符合本章第25.5条规定的质疑，采购方将按有关规定进行答复。</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25.8质疑投诉人应保证质疑投诉的真实性和可靠性，并承担相应的法律责任。</w:t>
      </w:r>
    </w:p>
    <w:p>
      <w:pPr>
        <w:pStyle w:val="19"/>
        <w:pageBreakBefore w:val="0"/>
        <w:kinsoku/>
        <w:wordWrap/>
        <w:overflowPunct/>
        <w:topLinePunct w:val="0"/>
        <w:bidi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sectPr>
          <w:headerReference r:id="rId5" w:type="default"/>
          <w:endnotePr>
            <w:numFmt w:val="decimal"/>
          </w:endnotePr>
          <w:pgSz w:w="11907" w:h="16840"/>
          <w:pgMar w:top="1134" w:right="1134" w:bottom="1134" w:left="1701" w:header="851" w:footer="992" w:gutter="0"/>
          <w:pgNumType w:fmt="decimal"/>
          <w:cols w:space="720" w:num="1"/>
          <w:docGrid w:type="linesAndChars" w:linePitch="323" w:charSpace="0"/>
        </w:sectPr>
      </w:pPr>
      <w:bookmarkStart w:id="33" w:name="_Toc11141655"/>
      <w:bookmarkStart w:id="34" w:name="_Toc11141150"/>
      <w:bookmarkStart w:id="35" w:name="_Toc11142534"/>
      <w:bookmarkStart w:id="36" w:name="_Toc11141993"/>
      <w:bookmarkStart w:id="37" w:name="_Toc11142865"/>
      <w:bookmarkStart w:id="38" w:name="_Toc11141697"/>
      <w:bookmarkStart w:id="39" w:name="_Toc11142870"/>
      <w:bookmarkStart w:id="40" w:name="_Toc11141229"/>
      <w:bookmarkStart w:id="41" w:name="_Toc11141810"/>
    </w:p>
    <w:p>
      <w:pPr>
        <w:pStyle w:val="19"/>
        <w:pageBreakBefore w:val="0"/>
        <w:kinsoku/>
        <w:wordWrap/>
        <w:overflowPunct/>
        <w:topLinePunct w:val="0"/>
        <w:bidi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2" w:name="_Toc24041"/>
      <w:r>
        <w:rPr>
          <w:rFonts w:hint="eastAsia" w:ascii="宋体" w:hAnsi="宋体" w:eastAsia="宋体" w:cs="宋体"/>
          <w:color w:val="000000" w:themeColor="text1"/>
          <w:sz w:val="32"/>
          <w:szCs w:val="32"/>
          <w:highlight w:val="none"/>
          <w14:textFill>
            <w14:solidFill>
              <w14:schemeClr w14:val="tx1"/>
            </w14:solidFill>
          </w14:textFill>
        </w:rPr>
        <w:t>第三章 招标内容及要求</w:t>
      </w:r>
      <w:bookmarkEnd w:id="33"/>
      <w:bookmarkEnd w:id="34"/>
      <w:bookmarkEnd w:id="35"/>
      <w:bookmarkEnd w:id="36"/>
      <w:bookmarkEnd w:id="37"/>
      <w:bookmarkEnd w:id="38"/>
      <w:bookmarkEnd w:id="39"/>
      <w:bookmarkEnd w:id="40"/>
      <w:bookmarkEnd w:id="41"/>
      <w:bookmarkEnd w:id="42"/>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cs="宋体"/>
          <w:sz w:val="24"/>
          <w:szCs w:val="24"/>
          <w:lang w:val="en-US" w:eastAsia="zh-CN"/>
        </w:rPr>
      </w:pPr>
      <w:bookmarkStart w:id="43" w:name="_Toc11141230"/>
      <w:bookmarkStart w:id="44" w:name="_Toc11141811"/>
      <w:bookmarkStart w:id="45" w:name="_Toc11141994"/>
      <w:bookmarkStart w:id="46" w:name="_Toc11142535"/>
      <w:bookmarkStart w:id="47" w:name="_Toc11142871"/>
      <w:bookmarkStart w:id="48" w:name="_Toc11141656"/>
      <w:bookmarkStart w:id="49" w:name="_Toc11141151"/>
      <w:bookmarkStart w:id="50" w:name="_Toc11142866"/>
      <w:bookmarkStart w:id="51" w:name="_Toc11141698"/>
      <w:r>
        <w:rPr>
          <w:rFonts w:hint="eastAsia" w:ascii="宋体" w:hAnsi="宋体" w:eastAsia="宋体" w:cs="宋体"/>
          <w:sz w:val="24"/>
          <w:szCs w:val="24"/>
          <w:lang w:eastAsia="zh-CN"/>
        </w:rPr>
        <w:t>一、</w:t>
      </w:r>
      <w:r>
        <w:rPr>
          <w:rFonts w:hint="eastAsia" w:ascii="宋体" w:hAnsi="宋体" w:cs="宋体"/>
          <w:sz w:val="24"/>
          <w:szCs w:val="24"/>
          <w:lang w:val="en-US" w:eastAsia="zh-CN"/>
        </w:rPr>
        <w:t>技术条件及要求</w:t>
      </w:r>
    </w:p>
    <w:p>
      <w:pPr>
        <w:pStyle w:val="4"/>
        <w:rPr>
          <w:rFonts w:hint="default"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rPr>
        <w:t>（一）</w:t>
      </w:r>
      <w:r>
        <w:rPr>
          <w:rFonts w:hint="eastAsia" w:asciiTheme="minorEastAsia" w:hAnsiTheme="minorEastAsia" w:eastAsiaTheme="minorEastAsia" w:cstheme="minorEastAsia"/>
          <w:b/>
          <w:bCs/>
          <w:color w:val="000000"/>
          <w:sz w:val="24"/>
          <w:szCs w:val="24"/>
          <w:lang w:val="en-US" w:eastAsia="zh-CN"/>
        </w:rPr>
        <w:t>采购清单明细表</w:t>
      </w:r>
    </w:p>
    <w:tbl>
      <w:tblPr>
        <w:tblStyle w:val="21"/>
        <w:tblW w:w="5563" w:type="pct"/>
        <w:tblInd w:w="-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1690"/>
        <w:gridCol w:w="1266"/>
        <w:gridCol w:w="951"/>
        <w:gridCol w:w="883"/>
        <w:gridCol w:w="1038"/>
        <w:gridCol w:w="3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51"/>
                <w:b/>
                <w:bCs/>
                <w:sz w:val="21"/>
                <w:szCs w:val="21"/>
                <w:lang w:val="en-US" w:eastAsia="zh-CN" w:bidi="ar"/>
              </w:rPr>
              <w:t>序号</w:t>
            </w:r>
          </w:p>
        </w:tc>
        <w:tc>
          <w:tcPr>
            <w:tcW w:w="817"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51"/>
                <w:b/>
                <w:bCs/>
                <w:sz w:val="21"/>
                <w:szCs w:val="21"/>
                <w:lang w:val="en-US" w:eastAsia="zh-CN" w:bidi="ar"/>
              </w:rPr>
              <w:t>名称</w:t>
            </w:r>
          </w:p>
        </w:tc>
        <w:tc>
          <w:tcPr>
            <w:tcW w:w="612"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51"/>
                <w:b/>
                <w:bCs/>
                <w:sz w:val="21"/>
                <w:szCs w:val="21"/>
                <w:lang w:val="en-US" w:eastAsia="zh-CN" w:bidi="ar"/>
              </w:rPr>
              <w:t>规格尺寸</w:t>
            </w:r>
          </w:p>
        </w:tc>
        <w:tc>
          <w:tcPr>
            <w:tcW w:w="460" w:type="pc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51"/>
                <w:b/>
                <w:bCs/>
                <w:sz w:val="21"/>
                <w:szCs w:val="21"/>
                <w:lang w:val="en-US" w:eastAsia="zh-CN" w:bidi="ar"/>
              </w:rPr>
              <w:t>数量</w:t>
            </w:r>
          </w:p>
        </w:tc>
        <w:tc>
          <w:tcPr>
            <w:tcW w:w="427" w:type="pc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51"/>
                <w:b/>
                <w:bCs/>
                <w:sz w:val="21"/>
                <w:szCs w:val="21"/>
                <w:lang w:val="en-US" w:eastAsia="zh-CN" w:bidi="ar"/>
              </w:rPr>
              <w:t>单价</w:t>
            </w:r>
          </w:p>
        </w:tc>
        <w:tc>
          <w:tcPr>
            <w:tcW w:w="502" w:type="pc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51"/>
                <w:b/>
                <w:bCs/>
                <w:sz w:val="21"/>
                <w:szCs w:val="21"/>
                <w:lang w:val="en-US" w:eastAsia="zh-CN" w:bidi="ar"/>
              </w:rPr>
              <w:t>金额</w:t>
            </w:r>
          </w:p>
        </w:tc>
        <w:tc>
          <w:tcPr>
            <w:tcW w:w="1806"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52"/>
                <w:b/>
                <w:bCs/>
                <w:sz w:val="21"/>
                <w:szCs w:val="21"/>
                <w:lang w:val="en-US" w:eastAsia="zh-CN" w:bidi="ar"/>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2"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51"/>
                <w:b/>
                <w:bCs/>
                <w:sz w:val="21"/>
                <w:szCs w:val="21"/>
                <w:lang w:val="en-US" w:eastAsia="zh-CN" w:bidi="ar"/>
              </w:rPr>
              <w:t>及单位</w:t>
            </w:r>
          </w:p>
        </w:tc>
        <w:tc>
          <w:tcPr>
            <w:tcW w:w="42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51"/>
                <w:b/>
                <w:bCs/>
                <w:sz w:val="21"/>
                <w:szCs w:val="21"/>
                <w:lang w:val="en-US" w:eastAsia="zh-CN" w:bidi="ar"/>
              </w:rPr>
              <w:t>（元）</w:t>
            </w: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51"/>
                <w:b/>
                <w:bCs/>
                <w:sz w:val="21"/>
                <w:szCs w:val="21"/>
                <w:lang w:val="en-US" w:eastAsia="zh-CN" w:bidi="ar"/>
              </w:rPr>
              <w:t>（万元）</w:t>
            </w:r>
          </w:p>
        </w:tc>
        <w:tc>
          <w:tcPr>
            <w:tcW w:w="1806"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大棚内部设施</w:t>
            </w:r>
          </w:p>
        </w:tc>
        <w:tc>
          <w:tcPr>
            <w:tcW w:w="61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27"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29.96</w:t>
            </w:r>
          </w:p>
        </w:tc>
        <w:tc>
          <w:tcPr>
            <w:tcW w:w="180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自动气象站</w:t>
            </w:r>
          </w:p>
        </w:tc>
        <w:tc>
          <w:tcPr>
            <w:tcW w:w="61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c>
          <w:tcPr>
            <w:tcW w:w="42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26500</w:t>
            </w: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180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通信终端、太阳能供电组、显示温度、湿度、光照、风速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配套蓄水池</w:t>
            </w:r>
          </w:p>
        </w:tc>
        <w:tc>
          <w:tcPr>
            <w:tcW w:w="61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Φ7.5m*H1.5m</w:t>
            </w:r>
          </w:p>
        </w:tc>
        <w:tc>
          <w:tcPr>
            <w:tcW w:w="46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3个</w:t>
            </w:r>
          </w:p>
        </w:tc>
        <w:tc>
          <w:tcPr>
            <w:tcW w:w="42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17600</w:t>
            </w: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c>
          <w:tcPr>
            <w:tcW w:w="180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三级分级过滤系统(物理过滤）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大棚水肥智能控制系统组合设备</w:t>
            </w:r>
          </w:p>
        </w:tc>
        <w:tc>
          <w:tcPr>
            <w:tcW w:w="61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c>
          <w:tcPr>
            <w:tcW w:w="42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172000</w:t>
            </w: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80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包含中央控制系统、APP操作系统、网管、分支管道内嵌脉冲阀、控制器、压力传感器、流量计、3组6件贴片式过滤器、温度探头、感应器等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变频恒压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增压设备</w:t>
            </w:r>
          </w:p>
        </w:tc>
        <w:tc>
          <w:tcPr>
            <w:tcW w:w="61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c>
          <w:tcPr>
            <w:tcW w:w="42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16300</w:t>
            </w: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80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功率：7.5kw；扬程：46m；流速：30m³/h带终端控制器、变频恒压组合，压力缓冲罐等配套设施。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隔热保温层</w:t>
            </w:r>
          </w:p>
        </w:tc>
        <w:tc>
          <w:tcPr>
            <w:tcW w:w="61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800m²</w:t>
            </w:r>
          </w:p>
        </w:tc>
        <w:tc>
          <w:tcPr>
            <w:tcW w:w="42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80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表层立德防雨罩+PE外层+3T珍珠棉+300花毡+300太空棉+300黑毡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喷、滴灌溉系统</w:t>
            </w:r>
          </w:p>
        </w:tc>
        <w:tc>
          <w:tcPr>
            <w:tcW w:w="61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0"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7"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27.04</w:t>
            </w:r>
          </w:p>
        </w:tc>
        <w:tc>
          <w:tcPr>
            <w:tcW w:w="180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主管</w:t>
            </w:r>
          </w:p>
        </w:tc>
        <w:tc>
          <w:tcPr>
            <w:tcW w:w="61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Φ63mm</w:t>
            </w:r>
          </w:p>
        </w:tc>
        <w:tc>
          <w:tcPr>
            <w:tcW w:w="46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1960米</w:t>
            </w:r>
          </w:p>
        </w:tc>
        <w:tc>
          <w:tcPr>
            <w:tcW w:w="42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c>
          <w:tcPr>
            <w:tcW w:w="180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分支管</w:t>
            </w:r>
          </w:p>
        </w:tc>
        <w:tc>
          <w:tcPr>
            <w:tcW w:w="61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DE40</w:t>
            </w:r>
          </w:p>
        </w:tc>
        <w:tc>
          <w:tcPr>
            <w:tcW w:w="46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21000米</w:t>
            </w:r>
          </w:p>
        </w:tc>
        <w:tc>
          <w:tcPr>
            <w:tcW w:w="42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w:t>
            </w:r>
          </w:p>
        </w:tc>
        <w:tc>
          <w:tcPr>
            <w:tcW w:w="180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吊喷管</w:t>
            </w:r>
          </w:p>
        </w:tc>
        <w:tc>
          <w:tcPr>
            <w:tcW w:w="61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DE25</w:t>
            </w:r>
          </w:p>
        </w:tc>
        <w:tc>
          <w:tcPr>
            <w:tcW w:w="46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14000米</w:t>
            </w:r>
          </w:p>
        </w:tc>
        <w:tc>
          <w:tcPr>
            <w:tcW w:w="42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180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喷头</w:t>
            </w:r>
          </w:p>
        </w:tc>
        <w:tc>
          <w:tcPr>
            <w:tcW w:w="61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G字</w:t>
            </w:r>
          </w:p>
        </w:tc>
        <w:tc>
          <w:tcPr>
            <w:tcW w:w="46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4730米</w:t>
            </w:r>
          </w:p>
        </w:tc>
        <w:tc>
          <w:tcPr>
            <w:tcW w:w="42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80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滴灌带</w:t>
            </w:r>
          </w:p>
        </w:tc>
        <w:tc>
          <w:tcPr>
            <w:tcW w:w="61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Style w:val="54"/>
                <w:rFonts w:eastAsia="宋体"/>
                <w:sz w:val="21"/>
                <w:szCs w:val="21"/>
                <w:lang w:val="en-US" w:eastAsia="zh-CN" w:bidi="ar"/>
              </w:rPr>
              <w:t>Φ16</w:t>
            </w:r>
            <w:r>
              <w:rPr>
                <w:rFonts w:hint="eastAsia" w:ascii="宋体" w:hAnsi="宋体" w:eastAsia="宋体" w:cs="宋体"/>
                <w:i w:val="0"/>
                <w:iCs w:val="0"/>
                <w:color w:val="000000"/>
                <w:kern w:val="0"/>
                <w:sz w:val="21"/>
                <w:szCs w:val="21"/>
                <w:u w:val="none"/>
                <w:lang w:val="en-US" w:eastAsia="zh-CN" w:bidi="ar"/>
              </w:rPr>
              <w:t>mm</w:t>
            </w:r>
          </w:p>
        </w:tc>
        <w:tc>
          <w:tcPr>
            <w:tcW w:w="46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112盘</w:t>
            </w:r>
          </w:p>
        </w:tc>
        <w:tc>
          <w:tcPr>
            <w:tcW w:w="42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180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2000米/盘；流量：3L/h；孔间距：15cm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喷、滴灌</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系统配件</w:t>
            </w:r>
          </w:p>
        </w:tc>
        <w:tc>
          <w:tcPr>
            <w:tcW w:w="61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匹配滴灌带</w:t>
            </w:r>
          </w:p>
        </w:tc>
        <w:tc>
          <w:tcPr>
            <w:tcW w:w="46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2批</w:t>
            </w:r>
          </w:p>
        </w:tc>
        <w:tc>
          <w:tcPr>
            <w:tcW w:w="42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35000</w:t>
            </w: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0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弯头、直接、三通、四通、变径、球阀、卡子、过滤网等配件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电子脉冲</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阀及配套</w:t>
            </w:r>
          </w:p>
        </w:tc>
        <w:tc>
          <w:tcPr>
            <w:tcW w:w="61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11套</w:t>
            </w:r>
          </w:p>
        </w:tc>
        <w:tc>
          <w:tcPr>
            <w:tcW w:w="42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0.66</w:t>
            </w:r>
          </w:p>
        </w:tc>
        <w:tc>
          <w:tcPr>
            <w:tcW w:w="180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2"/>
                <w:sz w:val="21"/>
                <w:szCs w:val="21"/>
                <w:lang w:val="en-US" w:eastAsia="zh-CN" w:bidi="ar"/>
              </w:rPr>
              <w:t>匹配智能控制系统的电磁阀及电路含施工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大棚内</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遮阳系统</w:t>
            </w:r>
          </w:p>
        </w:tc>
        <w:tc>
          <w:tcPr>
            <w:tcW w:w="61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0"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7"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40.79</w:t>
            </w:r>
          </w:p>
        </w:tc>
        <w:tc>
          <w:tcPr>
            <w:tcW w:w="180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棚内遮阳网</w:t>
            </w:r>
          </w:p>
        </w:tc>
        <w:tc>
          <w:tcPr>
            <w:tcW w:w="61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43965m²</w:t>
            </w:r>
          </w:p>
        </w:tc>
        <w:tc>
          <w:tcPr>
            <w:tcW w:w="42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15.39</w:t>
            </w:r>
          </w:p>
        </w:tc>
        <w:tc>
          <w:tcPr>
            <w:tcW w:w="180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遮光率≥80%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遮阳网安</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装配套配件</w:t>
            </w:r>
          </w:p>
        </w:tc>
        <w:tc>
          <w:tcPr>
            <w:tcW w:w="61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39080个</w:t>
            </w:r>
          </w:p>
        </w:tc>
        <w:tc>
          <w:tcPr>
            <w:tcW w:w="42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80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玻璃纤维拉线、拉动环等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变电箱</w:t>
            </w:r>
          </w:p>
        </w:tc>
        <w:tc>
          <w:tcPr>
            <w:tcW w:w="612" w:type="pct"/>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46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w:t>
            </w:r>
          </w:p>
        </w:tc>
        <w:tc>
          <w:tcPr>
            <w:tcW w:w="42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120000</w:t>
            </w:r>
          </w:p>
        </w:tc>
        <w:tc>
          <w:tcPr>
            <w:tcW w:w="5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0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100千瓦</w:t>
            </w:r>
          </w:p>
        </w:tc>
      </w:tr>
    </w:tbl>
    <w:p>
      <w:pPr>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备注：1.上述参数中涉及重量、尺寸、体积等要求表述为固定数值，未作出大于、小于等幅度的表述，均允许正负1%的误差（作出大于或小于数值要求的，含本数）</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360" w:lineRule="auto"/>
        <w:ind w:leftChars="0" w:firstLine="480" w:firstLineChars="200"/>
        <w:jc w:val="left"/>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2.“遮阳网安装配套配件”</w:t>
      </w:r>
      <w:r>
        <w:rPr>
          <w:rFonts w:hint="eastAsia" w:asciiTheme="minorEastAsia" w:hAnsiTheme="minorEastAsia" w:eastAsiaTheme="minorEastAsia" w:cstheme="minorEastAsia"/>
          <w:b w:val="0"/>
          <w:bCs w:val="0"/>
          <w:sz w:val="24"/>
          <w:szCs w:val="24"/>
          <w:lang w:eastAsia="zh-CN"/>
        </w:rPr>
        <w:t>作为核心产品</w:t>
      </w:r>
      <w:r>
        <w:rPr>
          <w:rFonts w:hint="eastAsia" w:asciiTheme="minorEastAsia" w:hAnsiTheme="minorEastAsia" w:eastAsiaTheme="minorEastAsia" w:cstheme="minorEastAsia"/>
          <w:b w:val="0"/>
          <w:bCs w:val="0"/>
          <w:color w:val="000000"/>
          <w:kern w:val="0"/>
          <w:sz w:val="24"/>
          <w:szCs w:val="24"/>
        </w:rPr>
        <w:t>（提供相同品牌产品且通过资格审查、符合性审查的不同投标人参加同一合同项下投标的，按一家投标人计算，</w:t>
      </w:r>
      <w:r>
        <w:rPr>
          <w:rFonts w:hint="eastAsia" w:asciiTheme="minorEastAsia" w:hAnsiTheme="minorEastAsia" w:eastAsiaTheme="minorEastAsia" w:cstheme="minorEastAsia"/>
          <w:b w:val="0"/>
          <w:bCs w:val="0"/>
          <w:color w:val="000000"/>
          <w:kern w:val="0"/>
          <w:sz w:val="24"/>
          <w:szCs w:val="24"/>
          <w:lang w:val="en-US" w:eastAsia="zh-CN"/>
        </w:rPr>
        <w:t>以符合性检查合格且经评审后报价最低的投标人作为有效投标人参加评审。报价相同的，由评审委员会按照技术指标优劣、服务要求响应优劣、资格条件高低、商务条件高低情况依序择优确定。其他报价无效）。</w:t>
      </w:r>
    </w:p>
    <w:p>
      <w:pPr>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3.</w:t>
      </w:r>
      <w:r>
        <w:rPr>
          <w:rFonts w:hint="eastAsia" w:asciiTheme="minorEastAsia" w:hAnsiTheme="minorEastAsia" w:eastAsiaTheme="minorEastAsia" w:cstheme="minorEastAsia"/>
          <w:b w:val="0"/>
          <w:bCs w:val="0"/>
          <w:color w:val="000000"/>
          <w:sz w:val="24"/>
          <w:szCs w:val="24"/>
        </w:rPr>
        <w:t>采购清单明细表</w:t>
      </w:r>
      <w:r>
        <w:rPr>
          <w:rFonts w:hint="eastAsia" w:asciiTheme="minorEastAsia" w:hAnsiTheme="minorEastAsia" w:eastAsiaTheme="minorEastAsia" w:cstheme="minorEastAsia"/>
          <w:b w:val="0"/>
          <w:bCs w:val="0"/>
          <w:color w:val="000000"/>
          <w:kern w:val="0"/>
          <w:sz w:val="24"/>
          <w:szCs w:val="24"/>
        </w:rPr>
        <w:t>中的数量为预估数量，项目结算时按</w:t>
      </w:r>
      <w:r>
        <w:rPr>
          <w:rFonts w:hint="eastAsia" w:asciiTheme="minorEastAsia" w:hAnsiTheme="minorEastAsia" w:eastAsiaTheme="minorEastAsia" w:cstheme="minorEastAsia"/>
          <w:b w:val="0"/>
          <w:bCs w:val="0"/>
          <w:color w:val="000000"/>
          <w:kern w:val="0"/>
          <w:sz w:val="24"/>
          <w:szCs w:val="24"/>
          <w:lang w:val="en-US" w:eastAsia="zh-CN"/>
        </w:rPr>
        <w:t>采购人书面确认的</w:t>
      </w:r>
      <w:r>
        <w:rPr>
          <w:rFonts w:hint="eastAsia" w:asciiTheme="minorEastAsia" w:hAnsiTheme="minorEastAsia" w:eastAsiaTheme="minorEastAsia" w:cstheme="minorEastAsia"/>
          <w:b w:val="0"/>
          <w:bCs w:val="0"/>
          <w:color w:val="000000"/>
          <w:kern w:val="0"/>
          <w:sz w:val="24"/>
          <w:szCs w:val="24"/>
        </w:rPr>
        <w:t>实际数量×投标单价进行结算。</w:t>
      </w:r>
    </w:p>
    <w:p>
      <w:pPr>
        <w:pStyle w:val="8"/>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踏勘现场：投标单位可自行对现场及周围环境进行踏勘，以便获取现场的相关资料。踏勘现场所发生的费用由投标单位自己承担。</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（二）产品售后服务要求</w:t>
      </w:r>
    </w:p>
    <w:p>
      <w:pPr>
        <w:pStyle w:val="17"/>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1</w:t>
      </w:r>
      <w:r>
        <w:rPr>
          <w:rFonts w:hint="eastAsia" w:asciiTheme="minorEastAsia" w:hAnsiTheme="minorEastAsia" w:eastAsiaTheme="minorEastAsia" w:cstheme="minorEastAsia"/>
          <w:b/>
          <w:bCs/>
          <w:color w:val="000000"/>
          <w:sz w:val="24"/>
          <w:szCs w:val="24"/>
          <w:lang w:val="en-US" w:eastAsia="zh-CN"/>
        </w:rPr>
        <w:t>.</w:t>
      </w:r>
      <w:r>
        <w:rPr>
          <w:rFonts w:hint="eastAsia" w:asciiTheme="minorEastAsia" w:hAnsiTheme="minorEastAsia" w:eastAsiaTheme="minorEastAsia" w:cstheme="minorEastAsia"/>
          <w:b/>
          <w:bCs/>
          <w:color w:val="000000"/>
          <w:sz w:val="24"/>
          <w:szCs w:val="24"/>
        </w:rPr>
        <w:t>自验收合格之日起，</w:t>
      </w:r>
      <w:r>
        <w:rPr>
          <w:rFonts w:hint="eastAsia" w:asciiTheme="minorEastAsia" w:hAnsiTheme="minorEastAsia" w:eastAsiaTheme="minorEastAsia" w:cstheme="minorEastAsia"/>
          <w:b/>
          <w:bCs/>
          <w:color w:val="000000"/>
          <w:sz w:val="24"/>
          <w:szCs w:val="24"/>
          <w:lang w:val="en-US" w:eastAsia="zh-CN"/>
        </w:rPr>
        <w:t>所有产品</w:t>
      </w:r>
      <w:r>
        <w:rPr>
          <w:rFonts w:hint="eastAsia" w:asciiTheme="minorEastAsia" w:hAnsiTheme="minorEastAsia" w:eastAsiaTheme="minorEastAsia" w:cstheme="minorEastAsia"/>
          <w:b/>
          <w:bCs/>
          <w:color w:val="000000"/>
          <w:sz w:val="24"/>
          <w:szCs w:val="24"/>
          <w:highlight w:val="none"/>
          <w:lang w:val="en-US" w:eastAsia="zh-CN"/>
        </w:rPr>
        <w:t>免费保修不少于二年</w:t>
      </w:r>
      <w:r>
        <w:rPr>
          <w:rFonts w:hint="eastAsia" w:asciiTheme="minorEastAsia" w:hAnsiTheme="minorEastAsia" w:eastAsiaTheme="minorEastAsia" w:cstheme="minorEastAsia"/>
          <w:b/>
          <w:bCs/>
          <w:color w:val="000000"/>
          <w:sz w:val="24"/>
          <w:szCs w:val="24"/>
        </w:rPr>
        <w:t>。</w:t>
      </w:r>
      <w:r>
        <w:rPr>
          <w:rFonts w:hint="eastAsia" w:asciiTheme="minorEastAsia" w:hAnsiTheme="minorEastAsia" w:eastAsiaTheme="minorEastAsia" w:cstheme="minorEastAsia"/>
          <w:color w:val="000000"/>
          <w:sz w:val="24"/>
          <w:szCs w:val="24"/>
        </w:rPr>
        <w:t>质保期内，须按合同条款提供免费服务。免费保修期满前1个月内中标单位应负责对所有货物及配件进行一次免费全面检查，如发现潜在问题，应负责排除，保证货物正常运行。</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b/>
          <w:bCs/>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中标人应派工程师到现场安装、调试至正常工作。</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b/>
          <w:bCs/>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此次采购的设备应按国家有关规定进行保修，国家无规定的，按厂家标准或与采购单位协商结果保修。保修期内非因操作不当造成需要更换的零配件及设备由中标人负责包修、包换，</w:t>
      </w:r>
      <w:r>
        <w:rPr>
          <w:rFonts w:hint="eastAsia" w:asciiTheme="minorEastAsia" w:hAnsiTheme="minorEastAsia" w:eastAsiaTheme="minorEastAsia" w:cstheme="minorEastAsia"/>
          <w:color w:val="000000"/>
          <w:sz w:val="24"/>
          <w:szCs w:val="24"/>
        </w:rPr>
        <w:t>到达现场不超过8小时。</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b/>
          <w:bCs/>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投标单位可视自身能力提供更优、更合理的维修服务承诺。</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r>
        <w:rPr>
          <w:rFonts w:hint="eastAsia" w:asciiTheme="minorEastAsia" w:hAnsiTheme="minorEastAsia" w:eastAsiaTheme="minorEastAsia" w:cstheme="minorEastAsia"/>
          <w:b/>
          <w:bCs/>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保修期结束后，中标人有责任（或在货物使用地区指定有能力的合作伙伴）对货物在必要时进行定期维护和修理。</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6</w:t>
      </w:r>
      <w:r>
        <w:rPr>
          <w:rFonts w:hint="eastAsia" w:asciiTheme="minorEastAsia" w:hAnsiTheme="minorEastAsia" w:eastAsiaTheme="minorEastAsia" w:cstheme="minorEastAsia"/>
          <w:bCs/>
          <w:color w:val="000000"/>
          <w:kern w:val="0"/>
          <w:sz w:val="24"/>
          <w:szCs w:val="24"/>
          <w:lang w:val="en-US" w:eastAsia="zh-CN"/>
        </w:rPr>
        <w:t>.</w:t>
      </w:r>
      <w:r>
        <w:rPr>
          <w:rFonts w:hint="eastAsia" w:asciiTheme="minorEastAsia" w:hAnsiTheme="minorEastAsia" w:eastAsiaTheme="minorEastAsia" w:cstheme="minorEastAsia"/>
          <w:bCs/>
          <w:color w:val="000000"/>
          <w:kern w:val="0"/>
          <w:sz w:val="24"/>
          <w:szCs w:val="24"/>
        </w:rPr>
        <w:t>验收标准及要求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验收标准：根据本招标文件、中标人的投标文件、承诺及有关国家、行业规定进行验收。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中标人根据招标文件夹进行产品安装、调试、测试、试运行后，由采购人或采购人请技术专家检测（或抽样送有资质的检测机构检测）作为验收标准依据并组织进行使用性能方面的验收，所有费用包含在报价内，采购单位不再另行支付其他费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3）采购人有权对所供产品进行破坏性测试，所有费用包含在报价内，采购单位不再另行支付其他费用。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货物到货验收时中标人代表必须在场，并提供产品合格证、质量保证文件等相关证明材料。</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（三）包装要求</w:t>
      </w:r>
    </w:p>
    <w:p>
      <w:pPr>
        <w:pStyle w:val="8"/>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1、标志：产品表层有明显的型号规格等标志，该标志在寿命期内应清晰、永久。</w:t>
      </w:r>
    </w:p>
    <w:p>
      <w:pPr>
        <w:pStyle w:val="8"/>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2、包装：产品的包装应保证在运输、储藏和安装期间的安全及性能不受损害。包装盒/箱内应附有产品合格证、出厂日期、产品说明书、附件及附件清单等。</w:t>
      </w:r>
    </w:p>
    <w:p>
      <w:pPr>
        <w:pStyle w:val="8"/>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3、运输：产品在运输过程中应避免雨雪的直接淋袭或烈日的暴晒。</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（四）其他要求</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1、颜色、款式采购人可根据实际情况在生产前进行调整，但不得实质性改变招标文件和投标文件的要求。中标人根据采购人书面确认的颜色和款式进行供货，未按要求提供的，后果由中标人自行承担；</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投标单位投报的综合单价和总报价须包括完成本项目的所有费用，采购人不再另行支</w:t>
      </w:r>
      <w:r>
        <w:rPr>
          <w:rFonts w:hint="eastAsia" w:asciiTheme="minorEastAsia" w:hAnsiTheme="minorEastAsia" w:eastAsiaTheme="minorEastAsia" w:cstheme="minorEastAsia"/>
          <w:sz w:val="24"/>
          <w:szCs w:val="24"/>
        </w:rPr>
        <w:t>付任何费用。</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bCs/>
          <w:color w:val="000000"/>
          <w:sz w:val="24"/>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w:t>
      </w:r>
      <w:r>
        <w:rPr>
          <w:rFonts w:hint="eastAsia" w:ascii="宋体" w:hAnsi="宋体" w:eastAsia="宋体" w:cs="宋体"/>
          <w:b/>
          <w:bCs/>
          <w:color w:val="000000"/>
          <w:sz w:val="24"/>
        </w:rPr>
        <w:t>商务条件</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交付地点：</w:t>
      </w:r>
      <w:r>
        <w:rPr>
          <w:rFonts w:hint="eastAsia" w:ascii="宋体" w:hAnsi="宋体" w:eastAsia="宋体" w:cs="宋体"/>
          <w:color w:val="000000" w:themeColor="text1"/>
          <w:sz w:val="24"/>
          <w:lang w:eastAsia="zh-CN"/>
          <w14:textFill>
            <w14:solidFill>
              <w14:schemeClr w14:val="tx1"/>
            </w14:solidFill>
          </w14:textFill>
        </w:rPr>
        <w:t>采购人指定地方</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交付时间：</w:t>
      </w:r>
      <w:bookmarkStart w:id="52" w:name="_Toc128134588"/>
      <w:r>
        <w:rPr>
          <w:rFonts w:hint="eastAsia" w:ascii="宋体" w:hAnsi="宋体" w:eastAsia="宋体" w:cs="宋体"/>
          <w:color w:val="000000" w:themeColor="text1"/>
          <w14:textFill>
            <w14:solidFill>
              <w14:schemeClr w14:val="tx1"/>
            </w14:solidFill>
          </w14:textFill>
        </w:rPr>
        <w:t>自合同签订之日起</w:t>
      </w:r>
      <w:r>
        <w:rPr>
          <w:rFonts w:hint="eastAsia" w:hAnsi="宋体" w:cs="宋体"/>
          <w:color w:val="000000" w:themeColor="text1"/>
          <w:highlight w:val="none"/>
          <w:lang w:val="en-US" w:eastAsia="zh-CN"/>
          <w14:textFill>
            <w14:solidFill>
              <w14:schemeClr w14:val="tx1"/>
            </w14:solidFill>
          </w14:textFill>
        </w:rPr>
        <w:t>60</w:t>
      </w:r>
      <w:r>
        <w:rPr>
          <w:rFonts w:hint="eastAsia" w:ascii="宋体" w:hAnsi="宋体" w:eastAsia="宋体" w:cs="宋体"/>
          <w:color w:val="000000" w:themeColor="text1"/>
          <w:highlight w:val="none"/>
          <w14:textFill>
            <w14:solidFill>
              <w14:schemeClr w14:val="tx1"/>
            </w14:solidFill>
          </w14:textFill>
        </w:rPr>
        <w:t>个工作日内</w:t>
      </w:r>
      <w:r>
        <w:rPr>
          <w:rFonts w:hint="eastAsia" w:ascii="宋体" w:hAnsi="宋体" w:eastAsia="宋体" w:cs="宋体"/>
          <w:color w:val="000000" w:themeColor="text1"/>
          <w14:textFill>
            <w14:solidFill>
              <w14:schemeClr w14:val="tx1"/>
            </w14:solidFill>
          </w14:textFill>
        </w:rPr>
        <w:t>完成</w:t>
      </w:r>
      <w:r>
        <w:rPr>
          <w:rFonts w:hint="eastAsia" w:hAnsi="宋体" w:cs="宋体"/>
          <w:color w:val="000000" w:themeColor="text1"/>
          <w:lang w:val="en-US" w:eastAsia="zh-CN"/>
          <w14:textFill>
            <w14:solidFill>
              <w14:schemeClr w14:val="tx1"/>
            </w14:solidFill>
          </w14:textFill>
        </w:rPr>
        <w:t>供货并安装完毕</w:t>
      </w:r>
      <w:r>
        <w:rPr>
          <w:rFonts w:hint="eastAsia" w:ascii="宋体" w:hAnsi="宋体" w:eastAsia="宋体" w:cs="宋体"/>
          <w:color w:val="000000" w:themeColor="text1"/>
          <w14:textFill>
            <w14:solidFill>
              <w14:schemeClr w14:val="tx1"/>
            </w14:solidFill>
          </w14:textFill>
        </w:rPr>
        <w:t>。</w:t>
      </w:r>
    </w:p>
    <w:bookmarkEnd w:id="52"/>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交付条件：</w:t>
      </w:r>
      <w:r>
        <w:rPr>
          <w:rStyle w:val="24"/>
          <w:rFonts w:hint="eastAsia" w:ascii="宋体" w:hAnsi="宋体" w:eastAsia="宋体" w:cs="宋体"/>
          <w:b w:val="0"/>
          <w:bCs w:val="0"/>
          <w:sz w:val="24"/>
          <w:lang w:val="en-US" w:eastAsia="zh-CN"/>
        </w:rPr>
        <w:t>验收合格</w:t>
      </w:r>
      <w:r>
        <w:rPr>
          <w:rStyle w:val="24"/>
          <w:rFonts w:hint="eastAsia" w:ascii="宋体" w:hAnsi="宋体" w:eastAsia="宋体" w:cs="宋体"/>
          <w:b w:val="0"/>
          <w:bCs w:val="0"/>
          <w:sz w:val="24"/>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是否邀请</w:t>
      </w:r>
      <w:r>
        <w:rPr>
          <w:rFonts w:hint="eastAsia" w:ascii="宋体" w:hAnsi="宋体" w:cs="宋体"/>
          <w:color w:val="000000" w:themeColor="text1"/>
          <w:sz w:val="24"/>
          <w:lang w:val="en-US" w:eastAsia="zh-CN"/>
          <w14:textFill>
            <w14:solidFill>
              <w14:schemeClr w14:val="tx1"/>
            </w14:solidFill>
          </w14:textFill>
        </w:rPr>
        <w:t>未</w:t>
      </w:r>
      <w:r>
        <w:rPr>
          <w:rFonts w:hint="eastAsia" w:ascii="宋体" w:hAnsi="宋体" w:eastAsia="宋体" w:cs="宋体"/>
          <w:color w:val="000000" w:themeColor="text1"/>
          <w:kern w:val="0"/>
          <w:sz w:val="24"/>
          <w14:textFill>
            <w14:solidFill>
              <w14:schemeClr w14:val="tx1"/>
            </w14:solidFill>
          </w14:textFill>
        </w:rPr>
        <w:t>中标人</w:t>
      </w:r>
      <w:r>
        <w:rPr>
          <w:rFonts w:hint="eastAsia" w:ascii="宋体" w:hAnsi="宋体" w:eastAsia="宋体" w:cs="宋体"/>
          <w:color w:val="000000" w:themeColor="text1"/>
          <w:sz w:val="24"/>
          <w14:textFill>
            <w14:solidFill>
              <w14:schemeClr w14:val="tx1"/>
            </w14:solidFill>
          </w14:textFill>
        </w:rPr>
        <w:t>参与验收：否</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是否收取履约保证金：</w:t>
      </w:r>
      <w:r>
        <w:rPr>
          <w:rFonts w:hint="eastAsia" w:ascii="宋体" w:hAnsi="宋体" w:eastAsia="宋体" w:cs="宋体"/>
          <w:color w:val="000000" w:themeColor="text1"/>
          <w:sz w:val="24"/>
          <w:highlight w:val="none"/>
          <w:u w:val="single"/>
          <w14:textFill>
            <w14:solidFill>
              <w14:schemeClr w14:val="tx1"/>
            </w14:solidFill>
          </w14:textFill>
        </w:rPr>
        <w:t>是</w:t>
      </w:r>
      <w:r>
        <w:rPr>
          <w:rFonts w:hint="eastAsia" w:ascii="宋体" w:hAnsi="宋体" w:eastAsia="宋体" w:cs="宋体"/>
          <w:bCs/>
          <w:color w:val="000000" w:themeColor="text1"/>
          <w:sz w:val="24"/>
          <w:highlight w:val="none"/>
          <w:u w:val="single"/>
          <w14:textFill>
            <w14:solidFill>
              <w14:schemeClr w14:val="tx1"/>
            </w14:solidFill>
          </w14:textFill>
        </w:rPr>
        <w:t>。履约保证金百分比：成交金额的5%。履约保证金可采用银行转帐或电汇、有效银行保函等方式提交。采购人与</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中标单位</w:t>
      </w:r>
      <w:r>
        <w:rPr>
          <w:rFonts w:hint="eastAsia" w:ascii="宋体" w:hAnsi="宋体" w:eastAsia="宋体" w:cs="宋体"/>
          <w:bCs/>
          <w:color w:val="000000" w:themeColor="text1"/>
          <w:sz w:val="24"/>
          <w:highlight w:val="none"/>
          <w:u w:val="single"/>
          <w14:textFill>
            <w14:solidFill>
              <w14:schemeClr w14:val="tx1"/>
            </w14:solidFill>
          </w14:textFill>
        </w:rPr>
        <w:t>签订合同前，</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中标单位</w:t>
      </w:r>
      <w:r>
        <w:rPr>
          <w:rFonts w:hint="eastAsia" w:ascii="宋体" w:hAnsi="宋体" w:eastAsia="宋体" w:cs="宋体"/>
          <w:bCs/>
          <w:color w:val="000000" w:themeColor="text1"/>
          <w:sz w:val="24"/>
          <w:highlight w:val="none"/>
          <w:u w:val="single"/>
          <w14:textFill>
            <w14:solidFill>
              <w14:schemeClr w14:val="tx1"/>
            </w14:solidFill>
          </w14:textFill>
        </w:rPr>
        <w:t>应提供合同金额5%的履约保证金，履约保证金在整个项目竣工验收合格后凭保证金收据、合同和竣工验收合格的证明材料30天内一次性无息退回。</w:t>
      </w:r>
      <w:r>
        <w:rPr>
          <w:rFonts w:hint="eastAsia" w:ascii="宋体" w:hAnsi="宋体" w:eastAsia="宋体" w:cs="宋体"/>
          <w:color w:val="000000" w:themeColor="text1"/>
          <w:sz w:val="24"/>
          <w:highlight w:val="yellow"/>
          <w:u w:val="single"/>
          <w14:textFill>
            <w14:solidFill>
              <w14:schemeClr w14:val="tx1"/>
            </w14:solidFill>
          </w14:textFill>
        </w:rPr>
        <w:br w:type="textWrapping"/>
      </w:r>
      <w:r>
        <w:rPr>
          <w:rFonts w:hint="eastAsia" w:ascii="宋体" w:hAnsi="宋体" w:eastAsia="宋体" w:cs="宋体"/>
          <w:color w:val="000000" w:themeColor="text1"/>
          <w:sz w:val="24"/>
          <w:u w:val="none"/>
          <w:lang w:val="en-US" w:eastAsia="zh-CN"/>
          <w14:textFill>
            <w14:solidFill>
              <w14:schemeClr w14:val="tx1"/>
            </w14:solidFill>
          </w14:textFill>
        </w:rPr>
        <w:t xml:space="preserve">   </w:t>
      </w:r>
      <w:r>
        <w:rPr>
          <w:rFonts w:hint="eastAsia" w:ascii="宋体" w:hAnsi="宋体" w:cs="宋体"/>
          <w:color w:val="000000" w:themeColor="text1"/>
          <w:sz w:val="24"/>
          <w:u w:val="none"/>
          <w:lang w:val="en-US" w:eastAsia="zh-CN"/>
          <w14:textFill>
            <w14:solidFill>
              <w14:schemeClr w14:val="tx1"/>
            </w14:solidFill>
          </w14:textFill>
        </w:rPr>
        <w:t xml:space="preserve"> </w:t>
      </w:r>
      <w:r>
        <w:rPr>
          <w:rFonts w:hint="eastAsia" w:ascii="宋体" w:hAnsi="宋体" w:eastAsia="宋体" w:cs="宋体"/>
          <w:color w:val="000000"/>
          <w:sz w:val="24"/>
          <w:u w:val="none"/>
        </w:rPr>
        <w:t>6</w:t>
      </w:r>
      <w:r>
        <w:rPr>
          <w:rFonts w:hint="eastAsia" w:ascii="宋体" w:hAnsi="宋体" w:eastAsia="宋体" w:cs="宋体"/>
          <w:color w:val="000000"/>
          <w:sz w:val="24"/>
          <w:u w:val="none"/>
          <w:lang w:val="en-US" w:eastAsia="zh-CN"/>
        </w:rPr>
        <w:t>.</w:t>
      </w:r>
      <w:r>
        <w:rPr>
          <w:rFonts w:hint="eastAsia" w:ascii="宋体" w:hAnsi="宋体" w:eastAsia="宋体" w:cs="宋体"/>
          <w:color w:val="000000"/>
          <w:sz w:val="24"/>
        </w:rPr>
        <w:t>验收标准：根据本招标文件、中标单位的投标文件、承诺及有关国家、行业规定进行验收。</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支付方式数据表格</w:t>
      </w:r>
    </w:p>
    <w:tbl>
      <w:tblPr>
        <w:tblStyle w:val="21"/>
        <w:tblW w:w="950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421"/>
        <w:gridCol w:w="69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14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rPr>
            </w:pPr>
            <w:r>
              <w:rPr>
                <w:rFonts w:hint="eastAsia" w:ascii="宋体" w:hAnsi="宋体" w:eastAsia="宋体" w:cs="宋体"/>
                <w:sz w:val="24"/>
              </w:rPr>
              <w:t>支付期次</w:t>
            </w:r>
          </w:p>
        </w:tc>
        <w:tc>
          <w:tcPr>
            <w:tcW w:w="14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sz w:val="24"/>
              </w:rPr>
            </w:pPr>
            <w:r>
              <w:rPr>
                <w:rFonts w:hint="eastAsia" w:ascii="宋体" w:hAnsi="宋体" w:eastAsia="宋体" w:cs="宋体"/>
                <w:sz w:val="24"/>
              </w:rPr>
              <w:t>支付比</w:t>
            </w:r>
            <w:r>
              <w:rPr>
                <w:rFonts w:hint="eastAsia" w:ascii="宋体" w:hAnsi="宋体" w:cs="宋体"/>
                <w:sz w:val="24"/>
                <w:lang w:val="en-US" w:eastAsia="zh-CN"/>
              </w:rPr>
              <w:t>例</w:t>
            </w:r>
            <w:r>
              <w:rPr>
                <w:rFonts w:hint="eastAsia" w:ascii="宋体" w:hAnsi="宋体" w:eastAsia="宋体" w:cs="宋体"/>
                <w:sz w:val="24"/>
              </w:rPr>
              <w:t>(%)</w:t>
            </w:r>
          </w:p>
        </w:tc>
        <w:tc>
          <w:tcPr>
            <w:tcW w:w="69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rPr>
            </w:pPr>
            <w:r>
              <w:rPr>
                <w:rFonts w:hint="eastAsia" w:ascii="宋体" w:hAnsi="宋体" w:eastAsia="宋体" w:cs="宋体"/>
                <w:sz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4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szCs w:val="24"/>
              </w:rPr>
              <w:t>1</w:t>
            </w:r>
          </w:p>
        </w:tc>
        <w:tc>
          <w:tcPr>
            <w:tcW w:w="1421" w:type="dxa"/>
            <w:tcBorders>
              <w:top w:val="outset" w:color="auto" w:sz="6" w:space="0"/>
              <w:left w:val="outset" w:color="auto" w:sz="6" w:space="0"/>
              <w:bottom w:val="outset" w:color="auto" w:sz="6" w:space="0"/>
              <w:right w:val="outset" w:color="auto" w:sz="6" w:space="0"/>
            </w:tcBorders>
            <w:vAlign w:val="center"/>
          </w:tcPr>
          <w:p>
            <w:pPr>
              <w:pStyle w:val="40"/>
              <w:spacing w:after="0" w:line="626" w:lineRule="exact"/>
              <w:jc w:val="center"/>
              <w:rPr>
                <w:rFonts w:hint="eastAsia" w:ascii="宋体" w:hAnsi="宋体" w:eastAsia="宋体" w:cs="宋体"/>
                <w:sz w:val="24"/>
                <w:lang w:eastAsia="zh-CN"/>
              </w:rPr>
            </w:pPr>
            <w:r>
              <w:rPr>
                <w:rFonts w:hint="eastAsia"/>
                <w:color w:val="auto"/>
                <w:sz w:val="24"/>
                <w:szCs w:val="24"/>
                <w:highlight w:val="none"/>
                <w:lang w:val="en-US" w:eastAsia="zh-CN" w:bidi="ar-SA"/>
              </w:rPr>
              <w:t>30</w:t>
            </w:r>
          </w:p>
        </w:tc>
        <w:tc>
          <w:tcPr>
            <w:tcW w:w="6941"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sz w:val="24"/>
                <w:lang w:eastAsia="zh-CN"/>
              </w:rPr>
            </w:pPr>
            <w:r>
              <w:rPr>
                <w:rFonts w:hint="eastAsia" w:ascii="宋体" w:hAnsi="宋体" w:cs="宋体"/>
                <w:sz w:val="24"/>
                <w:highlight w:val="none"/>
                <w:lang w:val="en-US" w:eastAsia="zh-CN"/>
              </w:rPr>
              <w:t>合同签订后并提供相关票据的，</w:t>
            </w:r>
            <w:r>
              <w:rPr>
                <w:rFonts w:hint="eastAsia" w:ascii="宋体" w:hAnsi="宋体" w:cs="宋体"/>
                <w:color w:val="auto"/>
                <w:sz w:val="24"/>
                <w:highlight w:val="none"/>
                <w:lang w:val="en-US" w:eastAsia="zh-CN"/>
              </w:rPr>
              <w:t>15日内支付实际合同价的30%。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4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szCs w:val="24"/>
              </w:rPr>
              <w:t>2</w:t>
            </w:r>
          </w:p>
        </w:tc>
        <w:tc>
          <w:tcPr>
            <w:tcW w:w="1421" w:type="dxa"/>
            <w:tcBorders>
              <w:top w:val="outset" w:color="auto" w:sz="6" w:space="0"/>
              <w:left w:val="outset" w:color="auto" w:sz="6" w:space="0"/>
              <w:bottom w:val="outset" w:color="auto" w:sz="6" w:space="0"/>
              <w:right w:val="outset" w:color="auto" w:sz="6" w:space="0"/>
            </w:tcBorders>
            <w:vAlign w:val="center"/>
          </w:tcPr>
          <w:p>
            <w:pPr>
              <w:pStyle w:val="40"/>
              <w:spacing w:after="0" w:line="626" w:lineRule="exact"/>
              <w:jc w:val="center"/>
              <w:rPr>
                <w:rFonts w:hint="default" w:ascii="宋体" w:hAnsi="宋体" w:eastAsia="宋体" w:cs="宋体"/>
                <w:sz w:val="24"/>
                <w:lang w:val="en-US" w:eastAsia="zh-CN"/>
              </w:rPr>
            </w:pPr>
            <w:r>
              <w:rPr>
                <w:rFonts w:hint="eastAsia"/>
                <w:color w:val="auto"/>
                <w:sz w:val="24"/>
                <w:szCs w:val="24"/>
                <w:highlight w:val="none"/>
                <w:lang w:val="en-US" w:eastAsia="zh-CN" w:bidi="ar-SA"/>
              </w:rPr>
              <w:t>20</w:t>
            </w:r>
          </w:p>
        </w:tc>
        <w:tc>
          <w:tcPr>
            <w:tcW w:w="6941"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sz w:val="24"/>
                <w:lang w:eastAsia="zh-CN"/>
              </w:rPr>
            </w:pPr>
            <w:r>
              <w:rPr>
                <w:rFonts w:ascii="宋体" w:hAnsi="宋体" w:eastAsia="宋体" w:cs="宋体"/>
                <w:color w:val="auto"/>
                <w:kern w:val="0"/>
                <w:sz w:val="24"/>
                <w:szCs w:val="24"/>
                <w:highlight w:val="none"/>
                <w:lang w:val="en-US" w:eastAsia="zh-CN" w:bidi="ar"/>
              </w:rPr>
              <w:t>合同包内全部货物送达</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sz w:val="24"/>
                <w:highlight w:val="none"/>
                <w:lang w:val="en-US" w:eastAsia="zh-CN"/>
              </w:rPr>
              <w:t>安装完成</w:t>
            </w:r>
            <w:r>
              <w:rPr>
                <w:rFonts w:hint="eastAsia" w:ascii="宋体" w:hAnsi="宋体" w:cs="宋体"/>
                <w:sz w:val="24"/>
                <w:highlight w:val="none"/>
                <w:lang w:val="en-US" w:eastAsia="zh-CN"/>
              </w:rPr>
              <w:t>并提供相关票据的</w:t>
            </w:r>
            <w:r>
              <w:rPr>
                <w:rFonts w:hint="eastAsia" w:ascii="宋体" w:hAnsi="宋体" w:cs="宋体"/>
                <w:color w:val="auto"/>
                <w:sz w:val="24"/>
                <w:highlight w:val="none"/>
                <w:lang w:val="en-US" w:eastAsia="zh-CN"/>
              </w:rPr>
              <w:t>，15日内支付至实际合同价的50%。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4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eastAsia="zh-CN"/>
              </w:rPr>
            </w:pPr>
            <w:r>
              <w:rPr>
                <w:rFonts w:hint="eastAsia" w:ascii="宋体" w:hAnsi="宋体" w:eastAsia="宋体" w:cs="宋体"/>
                <w:sz w:val="24"/>
                <w:szCs w:val="24"/>
              </w:rPr>
              <w:t>3</w:t>
            </w:r>
          </w:p>
        </w:tc>
        <w:tc>
          <w:tcPr>
            <w:tcW w:w="1421" w:type="dxa"/>
            <w:tcBorders>
              <w:top w:val="outset" w:color="auto" w:sz="6" w:space="0"/>
              <w:left w:val="outset" w:color="auto" w:sz="6" w:space="0"/>
              <w:bottom w:val="outset" w:color="auto" w:sz="6" w:space="0"/>
              <w:right w:val="outset" w:color="auto" w:sz="6" w:space="0"/>
            </w:tcBorders>
            <w:vAlign w:val="center"/>
          </w:tcPr>
          <w:p>
            <w:pPr>
              <w:pStyle w:val="40"/>
              <w:spacing w:after="0" w:line="626" w:lineRule="exact"/>
              <w:jc w:val="center"/>
              <w:rPr>
                <w:rFonts w:hint="default" w:ascii="宋体" w:hAnsi="宋体" w:eastAsia="宋体" w:cs="宋体"/>
                <w:sz w:val="24"/>
                <w:lang w:val="en-US"/>
              </w:rPr>
            </w:pPr>
            <w:r>
              <w:rPr>
                <w:rFonts w:hint="eastAsia"/>
                <w:color w:val="auto"/>
                <w:sz w:val="24"/>
                <w:szCs w:val="24"/>
                <w:highlight w:val="none"/>
                <w:lang w:val="en-US" w:eastAsia="zh-CN" w:bidi="ar-SA"/>
              </w:rPr>
              <w:t>47</w:t>
            </w:r>
          </w:p>
        </w:tc>
        <w:tc>
          <w:tcPr>
            <w:tcW w:w="6941"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sz w:val="24"/>
              </w:rPr>
            </w:pPr>
            <w:r>
              <w:rPr>
                <w:rFonts w:ascii="宋体" w:hAnsi="宋体" w:eastAsia="宋体" w:cs="宋体"/>
                <w:color w:val="auto"/>
                <w:kern w:val="0"/>
                <w:sz w:val="24"/>
                <w:szCs w:val="24"/>
                <w:highlight w:val="none"/>
                <w:lang w:val="en-US" w:eastAsia="zh-CN" w:bidi="ar"/>
              </w:rPr>
              <w:t>合同包内全部货物</w:t>
            </w:r>
            <w:r>
              <w:rPr>
                <w:rFonts w:hint="eastAsia" w:ascii="宋体" w:hAnsi="宋体" w:cs="宋体"/>
                <w:color w:val="auto"/>
                <w:sz w:val="24"/>
                <w:highlight w:val="none"/>
                <w:lang w:val="en-US" w:eastAsia="zh-CN"/>
              </w:rPr>
              <w:t>验收合格并提供相关票据的，15日内支付至实际合同价的97%。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4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421" w:type="dxa"/>
            <w:tcBorders>
              <w:top w:val="outset" w:color="auto" w:sz="6" w:space="0"/>
              <w:left w:val="outset" w:color="auto" w:sz="6" w:space="0"/>
              <w:bottom w:val="outset" w:color="auto" w:sz="6" w:space="0"/>
              <w:right w:val="outset" w:color="auto" w:sz="6" w:space="0"/>
            </w:tcBorders>
            <w:vAlign w:val="center"/>
          </w:tcPr>
          <w:p>
            <w:pPr>
              <w:pStyle w:val="40"/>
              <w:spacing w:after="0" w:line="626" w:lineRule="exact"/>
              <w:jc w:val="center"/>
              <w:rPr>
                <w:rFonts w:hint="eastAsia" w:ascii="宋体" w:hAnsi="宋体" w:cs="宋体"/>
                <w:sz w:val="24"/>
                <w:szCs w:val="24"/>
                <w:lang w:val="en-US" w:eastAsia="zh-CN"/>
              </w:rPr>
            </w:pPr>
            <w:r>
              <w:rPr>
                <w:rFonts w:hint="eastAsia"/>
                <w:color w:val="auto"/>
                <w:sz w:val="24"/>
                <w:szCs w:val="24"/>
                <w:highlight w:val="none"/>
                <w:lang w:val="en-US" w:eastAsia="zh-CN" w:bidi="ar-SA"/>
              </w:rPr>
              <w:t>3</w:t>
            </w:r>
          </w:p>
        </w:tc>
        <w:tc>
          <w:tcPr>
            <w:tcW w:w="6941"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cs="宋体"/>
                <w:kern w:val="0"/>
                <w:sz w:val="24"/>
                <w:szCs w:val="24"/>
                <w:lang w:val="en-US" w:eastAsia="zh-CN"/>
              </w:rPr>
            </w:pPr>
            <w:r>
              <w:rPr>
                <w:rFonts w:hint="eastAsia" w:ascii="宋体" w:hAnsi="宋体" w:cs="宋体"/>
                <w:sz w:val="24"/>
              </w:rPr>
              <w:t>设备质保期</w:t>
            </w:r>
            <w:r>
              <w:rPr>
                <w:rFonts w:hint="eastAsia" w:ascii="宋体" w:hAnsi="宋体" w:cs="宋体"/>
                <w:sz w:val="24"/>
                <w:lang w:val="en-US" w:eastAsia="zh-CN"/>
              </w:rPr>
              <w:t>满</w:t>
            </w:r>
            <w:r>
              <w:rPr>
                <w:rFonts w:hint="eastAsia" w:ascii="宋体" w:hAnsi="宋体" w:cs="宋体"/>
                <w:sz w:val="24"/>
              </w:rPr>
              <w:t>后，且</w:t>
            </w:r>
            <w:r>
              <w:rPr>
                <w:rFonts w:hint="eastAsia" w:ascii="宋体" w:hAnsi="宋体" w:cs="宋体"/>
                <w:color w:val="000000"/>
                <w:kern w:val="0"/>
                <w:sz w:val="24"/>
              </w:rPr>
              <w:t>提供相关票据的，</w:t>
            </w:r>
            <w:r>
              <w:rPr>
                <w:rFonts w:hint="eastAsia" w:ascii="宋体" w:hAnsi="宋体" w:cs="宋体"/>
                <w:sz w:val="24"/>
              </w:rPr>
              <w:t>15日内支付</w:t>
            </w:r>
            <w:r>
              <w:rPr>
                <w:rFonts w:hint="eastAsia" w:ascii="宋体" w:hAnsi="宋体" w:cs="宋体"/>
                <w:sz w:val="24"/>
                <w:lang w:val="en-US" w:eastAsia="zh-CN"/>
              </w:rPr>
              <w:t>剩余合同价款（</w:t>
            </w:r>
            <w:r>
              <w:rPr>
                <w:rFonts w:hint="eastAsia" w:ascii="宋体" w:hAnsi="宋体" w:cs="宋体"/>
                <w:sz w:val="24"/>
                <w:u w:val="none"/>
                <w:lang w:val="en-US" w:eastAsia="zh-CN"/>
              </w:rPr>
              <w:t>如中标人</w:t>
            </w:r>
            <w:r>
              <w:rPr>
                <w:rFonts w:hint="eastAsia" w:ascii="宋体" w:hAnsi="宋体" w:eastAsia="宋体" w:cs="宋体"/>
                <w:color w:val="000000"/>
                <w:kern w:val="0"/>
                <w:sz w:val="24"/>
                <w:szCs w:val="24"/>
                <w:u w:val="none"/>
              </w:rPr>
              <w:t>未能按</w:t>
            </w:r>
            <w:r>
              <w:rPr>
                <w:rFonts w:hint="eastAsia" w:ascii="宋体" w:hAnsi="宋体" w:eastAsia="宋体" w:cs="宋体"/>
                <w:color w:val="000000"/>
                <w:kern w:val="0"/>
                <w:sz w:val="24"/>
                <w:szCs w:val="24"/>
                <w:u w:val="none"/>
                <w:lang w:val="en-US" w:eastAsia="zh-CN"/>
              </w:rPr>
              <w:t>相关</w:t>
            </w:r>
            <w:r>
              <w:rPr>
                <w:rFonts w:hint="eastAsia" w:ascii="宋体" w:hAnsi="宋体" w:eastAsia="宋体" w:cs="宋体"/>
                <w:color w:val="000000"/>
                <w:kern w:val="0"/>
                <w:sz w:val="24"/>
                <w:szCs w:val="24"/>
                <w:u w:val="none"/>
              </w:rPr>
              <w:t>约定按时做好保修而使</w:t>
            </w:r>
            <w:r>
              <w:rPr>
                <w:rFonts w:hint="eastAsia" w:ascii="宋体" w:hAnsi="宋体" w:cs="宋体"/>
                <w:color w:val="000000"/>
                <w:kern w:val="0"/>
                <w:sz w:val="24"/>
                <w:szCs w:val="24"/>
                <w:u w:val="none"/>
                <w:lang w:val="en-US" w:eastAsia="zh-CN"/>
              </w:rPr>
              <w:t>采购人</w:t>
            </w:r>
            <w:r>
              <w:rPr>
                <w:rFonts w:hint="eastAsia" w:ascii="宋体" w:hAnsi="宋体" w:eastAsia="宋体" w:cs="宋体"/>
                <w:color w:val="000000"/>
                <w:kern w:val="0"/>
                <w:sz w:val="24"/>
                <w:szCs w:val="24"/>
                <w:u w:val="none"/>
              </w:rPr>
              <w:t>不得不自行组织返修</w:t>
            </w:r>
            <w:r>
              <w:rPr>
                <w:rFonts w:hint="eastAsia" w:ascii="宋体" w:hAnsi="宋体" w:eastAsia="宋体" w:cs="宋体"/>
                <w:color w:val="000000"/>
                <w:kern w:val="0"/>
                <w:sz w:val="24"/>
                <w:szCs w:val="24"/>
                <w:u w:val="none"/>
                <w:lang w:eastAsia="zh-CN"/>
              </w:rPr>
              <w:t>或请第三方进行维修</w:t>
            </w:r>
            <w:r>
              <w:rPr>
                <w:rFonts w:hint="eastAsia" w:ascii="宋体" w:hAnsi="宋体" w:eastAsia="宋体" w:cs="宋体"/>
                <w:color w:val="000000"/>
                <w:kern w:val="0"/>
                <w:sz w:val="24"/>
                <w:szCs w:val="24"/>
                <w:u w:val="none"/>
              </w:rPr>
              <w:t>的，则发生费用应在</w:t>
            </w:r>
            <w:r>
              <w:rPr>
                <w:rFonts w:hint="eastAsia" w:ascii="宋体" w:hAnsi="宋体" w:eastAsia="宋体" w:cs="宋体"/>
                <w:color w:val="000000"/>
                <w:kern w:val="0"/>
                <w:sz w:val="24"/>
                <w:szCs w:val="24"/>
                <w:u w:val="none"/>
                <w:lang w:val="en-US" w:eastAsia="zh-CN"/>
              </w:rPr>
              <w:t>此次支付费用中</w:t>
            </w:r>
            <w:r>
              <w:rPr>
                <w:rFonts w:hint="eastAsia" w:ascii="宋体" w:hAnsi="宋体" w:eastAsia="宋体" w:cs="宋体"/>
                <w:color w:val="000000"/>
                <w:kern w:val="0"/>
                <w:sz w:val="24"/>
                <w:szCs w:val="24"/>
                <w:u w:val="none"/>
              </w:rPr>
              <w:t>扣除</w:t>
            </w:r>
            <w:r>
              <w:rPr>
                <w:rFonts w:hint="eastAsia" w:ascii="宋体" w:hAnsi="宋体" w:eastAsia="宋体" w:cs="宋体"/>
                <w:color w:val="000000"/>
                <w:kern w:val="0"/>
                <w:sz w:val="24"/>
                <w:szCs w:val="24"/>
                <w:u w:val="none"/>
                <w:lang w:eastAsia="zh-CN"/>
              </w:rPr>
              <w:t>，</w:t>
            </w:r>
            <w:r>
              <w:rPr>
                <w:rFonts w:hint="eastAsia" w:ascii="宋体" w:hAnsi="宋体" w:eastAsia="宋体" w:cs="宋体"/>
                <w:color w:val="000000"/>
                <w:kern w:val="0"/>
                <w:sz w:val="24"/>
                <w:szCs w:val="24"/>
                <w:u w:val="none"/>
                <w:lang w:val="en-US" w:eastAsia="zh-CN"/>
              </w:rPr>
              <w:t>剩余款项再由</w:t>
            </w:r>
            <w:r>
              <w:rPr>
                <w:rFonts w:hint="eastAsia" w:ascii="宋体" w:hAnsi="宋体" w:cs="宋体"/>
                <w:color w:val="000000"/>
                <w:kern w:val="0"/>
                <w:sz w:val="24"/>
                <w:szCs w:val="24"/>
                <w:u w:val="none"/>
                <w:lang w:val="en-US" w:eastAsia="zh-CN"/>
              </w:rPr>
              <w:t>采购人</w:t>
            </w:r>
            <w:r>
              <w:rPr>
                <w:rFonts w:hint="eastAsia" w:ascii="宋体" w:hAnsi="宋体" w:eastAsia="宋体" w:cs="宋体"/>
                <w:color w:val="000000"/>
                <w:kern w:val="0"/>
                <w:sz w:val="24"/>
                <w:szCs w:val="24"/>
                <w:u w:val="none"/>
                <w:lang w:val="en-US" w:eastAsia="zh-CN"/>
              </w:rPr>
              <w:t>支付给</w:t>
            </w:r>
            <w:r>
              <w:rPr>
                <w:rFonts w:hint="eastAsia" w:ascii="宋体" w:hAnsi="宋体" w:cs="宋体"/>
                <w:color w:val="000000"/>
                <w:kern w:val="0"/>
                <w:sz w:val="24"/>
                <w:szCs w:val="24"/>
                <w:u w:val="none"/>
                <w:lang w:val="en-US" w:eastAsia="zh-CN"/>
              </w:rPr>
              <w:t>中标人</w:t>
            </w:r>
            <w:r>
              <w:rPr>
                <w:rFonts w:hint="eastAsia" w:ascii="宋体" w:hAnsi="宋体" w:cs="宋体"/>
                <w:sz w:val="24"/>
                <w:u w:val="none"/>
                <w:lang w:val="en-US" w:eastAsia="zh-CN"/>
              </w:rPr>
              <w:t>）</w:t>
            </w:r>
            <w:r>
              <w:rPr>
                <w:rFonts w:hint="eastAsia" w:ascii="宋体" w:hAnsi="宋体" w:cs="宋体"/>
                <w:sz w:val="24"/>
                <w:lang w:val="en-US" w:eastAsia="zh-CN"/>
              </w:rPr>
              <w:t>。</w:t>
            </w:r>
          </w:p>
        </w:tc>
      </w:tr>
    </w:tbl>
    <w:p>
      <w:pPr>
        <w:pStyle w:val="11"/>
        <w:rPr>
          <w:rFonts w:hint="eastAsia" w:ascii="宋体" w:hAnsi="宋体" w:eastAsia="宋体" w:cs="宋体"/>
          <w:lang w:val="en-US" w:eastAsia="zh-CN"/>
        </w:rPr>
      </w:pPr>
    </w:p>
    <w:p>
      <w:pPr>
        <w:spacing w:line="360" w:lineRule="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highlight w:val="none"/>
          <w:u w:val="none"/>
          <w14:textFill>
            <w14:solidFill>
              <w14:schemeClr w14:val="tx1"/>
            </w14:solidFill>
          </w14:textFill>
        </w:rPr>
        <w:t>备注：</w:t>
      </w:r>
      <w:r>
        <w:rPr>
          <w:rFonts w:hint="eastAsia" w:ascii="宋体" w:hAnsi="宋体" w:eastAsia="宋体" w:cs="宋体"/>
          <w:b/>
          <w:bCs w:val="0"/>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b/>
          <w:bCs w:val="0"/>
          <w:color w:val="000000" w:themeColor="text1"/>
          <w:sz w:val="24"/>
          <w:szCs w:val="24"/>
          <w:u w:val="none"/>
          <w:lang w:val="en-US"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上述</w:t>
      </w:r>
      <w:r>
        <w:rPr>
          <w:rFonts w:hint="eastAsia" w:ascii="宋体" w:hAnsi="宋体" w:eastAsia="宋体" w:cs="宋体"/>
          <w:b/>
          <w:bCs w:val="0"/>
          <w:color w:val="000000" w:themeColor="text1"/>
          <w:sz w:val="24"/>
          <w:szCs w:val="24"/>
          <w:lang w:eastAsia="zh-CN"/>
          <w14:textFill>
            <w14:solidFill>
              <w14:schemeClr w14:val="tx1"/>
            </w14:solidFill>
          </w14:textFill>
        </w:rPr>
        <w:t>要求</w:t>
      </w:r>
      <w:r>
        <w:rPr>
          <w:rFonts w:hint="eastAsia" w:ascii="宋体" w:hAnsi="宋体" w:eastAsia="宋体" w:cs="宋体"/>
          <w:b/>
          <w:bCs w:val="0"/>
          <w:color w:val="000000" w:themeColor="text1"/>
          <w:sz w:val="24"/>
          <w:szCs w:val="24"/>
          <w14:textFill>
            <w14:solidFill>
              <w14:schemeClr w14:val="tx1"/>
            </w14:solidFill>
          </w14:textFill>
        </w:rPr>
        <w:t>条件</w:t>
      </w:r>
      <w:r>
        <w:rPr>
          <w:rFonts w:hint="eastAsia" w:ascii="宋体" w:hAnsi="宋体" w:eastAsia="宋体" w:cs="宋体"/>
          <w:b/>
          <w:bCs w:val="0"/>
          <w:color w:val="000000" w:themeColor="text1"/>
          <w:sz w:val="24"/>
          <w:szCs w:val="24"/>
          <w:lang w:eastAsia="zh-CN"/>
          <w14:textFill>
            <w14:solidFill>
              <w14:schemeClr w14:val="tx1"/>
            </w14:solidFill>
          </w14:textFill>
        </w:rPr>
        <w:t>均</w:t>
      </w:r>
      <w:r>
        <w:rPr>
          <w:rFonts w:hint="eastAsia" w:ascii="宋体" w:hAnsi="宋体" w:eastAsia="宋体" w:cs="宋体"/>
          <w:b/>
          <w:bCs w:val="0"/>
          <w:color w:val="000000" w:themeColor="text1"/>
          <w:sz w:val="24"/>
          <w:szCs w:val="24"/>
          <w14:textFill>
            <w14:solidFill>
              <w14:schemeClr w14:val="tx1"/>
            </w14:solidFill>
          </w14:textFill>
        </w:rPr>
        <w:t>为必须满足项，任一项不满足要求为无效投标。</w:t>
      </w:r>
      <w:r>
        <w:rPr>
          <w:rFonts w:hint="eastAsia" w:ascii="宋体" w:hAnsi="宋体" w:eastAsia="宋体" w:cs="宋体"/>
          <w:b w:val="0"/>
          <w:bCs w:val="0"/>
          <w:color w:val="000000" w:themeColor="text1"/>
          <w:sz w:val="24"/>
          <w:szCs w:val="24"/>
          <w14:textFill>
            <w14:solidFill>
              <w14:schemeClr w14:val="tx1"/>
            </w14:solidFill>
          </w14:textFill>
        </w:rPr>
        <w:t>如果</w:t>
      </w:r>
      <w:r>
        <w:rPr>
          <w:rFonts w:hint="eastAsia" w:ascii="宋体" w:hAnsi="宋体" w:eastAsia="宋体" w:cs="宋体"/>
          <w:b w:val="0"/>
          <w:bCs w:val="0"/>
          <w:color w:val="000000" w:themeColor="text1"/>
          <w:sz w:val="24"/>
          <w:szCs w:val="24"/>
          <w:lang w:val="en-US" w:eastAsia="zh-CN"/>
          <w14:textFill>
            <w14:solidFill>
              <w14:schemeClr w14:val="tx1"/>
            </w14:solidFill>
          </w14:textFill>
        </w:rPr>
        <w:t>投标人</w:t>
      </w:r>
      <w:r>
        <w:rPr>
          <w:rFonts w:hint="eastAsia" w:ascii="宋体" w:hAnsi="宋体" w:eastAsia="宋体" w:cs="宋体"/>
          <w:b w:val="0"/>
          <w:bCs w:val="0"/>
          <w:color w:val="000000" w:themeColor="text1"/>
          <w:sz w:val="24"/>
          <w:szCs w:val="24"/>
          <w14:textFill>
            <w14:solidFill>
              <w14:schemeClr w14:val="tx1"/>
            </w14:solidFill>
          </w14:textFill>
        </w:rPr>
        <w:t>在</w:t>
      </w:r>
      <w:r>
        <w:rPr>
          <w:rFonts w:hint="eastAsia" w:ascii="宋体" w:hAnsi="宋体" w:eastAsia="宋体" w:cs="宋体"/>
          <w:b w:val="0"/>
          <w:bCs w:val="0"/>
          <w:color w:val="000000" w:themeColor="text1"/>
          <w:sz w:val="24"/>
          <w:szCs w:val="24"/>
          <w:lang w:val="en-US" w:eastAsia="zh-CN"/>
          <w14:textFill>
            <w14:solidFill>
              <w14:schemeClr w14:val="tx1"/>
            </w14:solidFill>
          </w14:textFill>
        </w:rPr>
        <w:t>投标</w:t>
      </w:r>
      <w:r>
        <w:rPr>
          <w:rFonts w:hint="eastAsia" w:ascii="宋体" w:hAnsi="宋体" w:eastAsia="宋体" w:cs="宋体"/>
          <w:b w:val="0"/>
          <w:bCs w:val="0"/>
          <w:color w:val="000000" w:themeColor="text1"/>
          <w:sz w:val="24"/>
          <w:szCs w:val="24"/>
          <w14:textFill>
            <w14:solidFill>
              <w14:schemeClr w14:val="tx1"/>
            </w14:solidFill>
          </w14:textFill>
        </w:rPr>
        <w:t>文件中没有以书面方式对上述各项要求和条款提出不满足或负偏离，则视为</w:t>
      </w:r>
      <w:r>
        <w:rPr>
          <w:rFonts w:hint="eastAsia" w:ascii="宋体" w:hAnsi="宋体" w:eastAsia="宋体" w:cs="宋体"/>
          <w:b w:val="0"/>
          <w:bCs w:val="0"/>
          <w:color w:val="000000" w:themeColor="text1"/>
          <w:sz w:val="24"/>
          <w:szCs w:val="24"/>
          <w:lang w:val="en-US" w:eastAsia="zh-CN"/>
          <w14:textFill>
            <w14:solidFill>
              <w14:schemeClr w14:val="tx1"/>
            </w14:solidFill>
          </w14:textFill>
        </w:rPr>
        <w:t>投标人</w:t>
      </w:r>
      <w:r>
        <w:rPr>
          <w:rFonts w:hint="eastAsia" w:ascii="宋体" w:hAnsi="宋体" w:eastAsia="宋体" w:cs="宋体"/>
          <w:b w:val="0"/>
          <w:bCs w:val="0"/>
          <w:color w:val="000000" w:themeColor="text1"/>
          <w:sz w:val="24"/>
          <w:szCs w:val="24"/>
          <w14:textFill>
            <w14:solidFill>
              <w14:schemeClr w14:val="tx1"/>
            </w14:solidFill>
          </w14:textFill>
        </w:rPr>
        <w:t>能够完全理解并满足上述规定的各相关条款要求。如有不满足或负偏离，不管是多么微小，</w:t>
      </w:r>
      <w:r>
        <w:rPr>
          <w:rFonts w:hint="eastAsia" w:ascii="宋体" w:hAnsi="宋体" w:eastAsia="宋体" w:cs="宋体"/>
          <w:b w:val="0"/>
          <w:bCs w:val="0"/>
          <w:color w:val="000000" w:themeColor="text1"/>
          <w:sz w:val="24"/>
          <w:szCs w:val="24"/>
          <w:lang w:val="en-US" w:eastAsia="zh-CN"/>
          <w14:textFill>
            <w14:solidFill>
              <w14:schemeClr w14:val="tx1"/>
            </w14:solidFill>
          </w14:textFill>
        </w:rPr>
        <w:t>投标人</w:t>
      </w:r>
      <w:r>
        <w:rPr>
          <w:rFonts w:hint="eastAsia" w:ascii="宋体" w:hAnsi="宋体" w:eastAsia="宋体" w:cs="宋体"/>
          <w:b w:val="0"/>
          <w:bCs w:val="0"/>
          <w:color w:val="000000" w:themeColor="text1"/>
          <w:sz w:val="24"/>
          <w:szCs w:val="24"/>
          <w14:textFill>
            <w14:solidFill>
              <w14:schemeClr w14:val="tx1"/>
            </w14:solidFill>
          </w14:textFill>
        </w:rPr>
        <w:t>都应在</w:t>
      </w:r>
      <w:r>
        <w:rPr>
          <w:rFonts w:hint="eastAsia" w:ascii="宋体" w:hAnsi="宋体" w:eastAsia="宋体" w:cs="宋体"/>
          <w:b w:val="0"/>
          <w:bCs w:val="0"/>
          <w:color w:val="000000" w:themeColor="text1"/>
          <w:sz w:val="24"/>
          <w:szCs w:val="24"/>
          <w:lang w:val="en-US" w:eastAsia="zh-CN"/>
          <w14:textFill>
            <w14:solidFill>
              <w14:schemeClr w14:val="tx1"/>
            </w14:solidFill>
          </w14:textFill>
        </w:rPr>
        <w:t>投标</w:t>
      </w:r>
      <w:r>
        <w:rPr>
          <w:rFonts w:hint="eastAsia" w:ascii="宋体" w:hAnsi="宋体" w:eastAsia="宋体" w:cs="宋体"/>
          <w:b w:val="0"/>
          <w:bCs w:val="0"/>
          <w:color w:val="000000" w:themeColor="text1"/>
          <w:sz w:val="24"/>
          <w:szCs w:val="24"/>
          <w14:textFill>
            <w14:solidFill>
              <w14:schemeClr w14:val="tx1"/>
            </w14:solidFill>
          </w14:textFill>
        </w:rPr>
        <w:t>文件中加以如实详细说明，否则，</w:t>
      </w:r>
      <w:r>
        <w:rPr>
          <w:rFonts w:hint="eastAsia" w:ascii="宋体" w:hAnsi="宋体" w:eastAsia="宋体" w:cs="宋体"/>
          <w:b w:val="0"/>
          <w:bCs w:val="0"/>
          <w:color w:val="000000" w:themeColor="text1"/>
          <w:sz w:val="24"/>
          <w:szCs w:val="24"/>
          <w:lang w:val="en-US" w:eastAsia="zh-CN"/>
          <w14:textFill>
            <w14:solidFill>
              <w14:schemeClr w14:val="tx1"/>
            </w14:solidFill>
          </w14:textFill>
        </w:rPr>
        <w:t>投标人</w:t>
      </w:r>
      <w:r>
        <w:rPr>
          <w:rFonts w:hint="eastAsia" w:ascii="宋体" w:hAnsi="宋体" w:eastAsia="宋体" w:cs="宋体"/>
          <w:b w:val="0"/>
          <w:bCs w:val="0"/>
          <w:color w:val="000000" w:themeColor="text1"/>
          <w:sz w:val="24"/>
          <w:szCs w:val="24"/>
          <w14:textFill>
            <w14:solidFill>
              <w14:schemeClr w14:val="tx1"/>
            </w14:solidFill>
          </w14:textFill>
        </w:rPr>
        <w:t>中标后才提出或者被采购人发现的任何负偏离或不满足均视为</w:t>
      </w:r>
      <w:r>
        <w:rPr>
          <w:rFonts w:hint="eastAsia" w:ascii="宋体" w:hAnsi="宋体" w:eastAsia="宋体" w:cs="宋体"/>
          <w:b w:val="0"/>
          <w:bCs w:val="0"/>
          <w:color w:val="000000" w:themeColor="text1"/>
          <w:sz w:val="24"/>
          <w:szCs w:val="24"/>
          <w:lang w:eastAsia="zh-CN"/>
          <w14:textFill>
            <w14:solidFill>
              <w14:schemeClr w14:val="tx1"/>
            </w14:solidFill>
          </w14:textFill>
        </w:rPr>
        <w:t>成交人</w:t>
      </w:r>
      <w:r>
        <w:rPr>
          <w:rFonts w:hint="eastAsia" w:ascii="宋体" w:hAnsi="宋体" w:eastAsia="宋体" w:cs="宋体"/>
          <w:b w:val="0"/>
          <w:bCs w:val="0"/>
          <w:color w:val="000000" w:themeColor="text1"/>
          <w:sz w:val="24"/>
          <w:szCs w:val="24"/>
          <w14:textFill>
            <w14:solidFill>
              <w14:schemeClr w14:val="tx1"/>
            </w14:solidFill>
          </w14:textFill>
        </w:rPr>
        <w:t>违约。</w:t>
      </w:r>
    </w:p>
    <w:p>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2、投标人</w:t>
      </w:r>
      <w:r>
        <w:rPr>
          <w:rFonts w:hint="eastAsia" w:ascii="宋体" w:hAnsi="宋体" w:eastAsia="宋体" w:cs="宋体"/>
          <w:b w:val="0"/>
          <w:bCs w:val="0"/>
          <w:color w:val="000000" w:themeColor="text1"/>
          <w:sz w:val="24"/>
          <w:szCs w:val="24"/>
          <w:lang w:eastAsia="zh-CN"/>
          <w14:textFill>
            <w14:solidFill>
              <w14:schemeClr w14:val="tx1"/>
            </w14:solidFill>
          </w14:textFill>
        </w:rPr>
        <w:t>投报的综合单价和总报价须包括完成本项目的所有费用，采购人不再另行支</w:t>
      </w:r>
      <w:r>
        <w:rPr>
          <w:rFonts w:hint="eastAsia" w:ascii="宋体" w:hAnsi="宋体" w:eastAsia="宋体" w:cs="宋体"/>
          <w:b w:val="0"/>
          <w:bCs w:val="0"/>
          <w:color w:val="auto"/>
          <w:sz w:val="24"/>
          <w:szCs w:val="24"/>
          <w:lang w:eastAsia="zh-CN"/>
        </w:rPr>
        <w:t>付任何费用。</w:t>
      </w:r>
    </w:p>
    <w:p>
      <w:pPr>
        <w:pStyle w:val="42"/>
        <w:pageBreakBefore w:val="0"/>
        <w:kinsoku/>
        <w:wordWrap/>
        <w:overflowPunct/>
        <w:topLinePunct w:val="0"/>
        <w:bidi w:val="0"/>
        <w:spacing w:line="360" w:lineRule="auto"/>
        <w:jc w:val="left"/>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、其他事项</w:t>
      </w:r>
    </w:p>
    <w:p>
      <w:pPr>
        <w:pStyle w:val="42"/>
        <w:pageBreakBefore w:val="0"/>
        <w:kinsoku/>
        <w:wordWrap/>
        <w:overflowPunct/>
        <w:topLinePunct w:val="0"/>
        <w:bidi w:val="0"/>
        <w:spacing w:line="360" w:lineRule="auto"/>
        <w:ind w:firstLine="480" w:firstLineChars="200"/>
        <w:jc w:val="both"/>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除招标文件另有规定外，若出现有关法律、法规和规章有强制性规定但招标文件未列明的情形，则投标人应按照有关法律、法规和规章强制性规定执行</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b/>
          <w:color w:val="000000"/>
          <w:kern w:val="0"/>
          <w:sz w:val="24"/>
          <w:szCs w:val="24"/>
        </w:rPr>
      </w:pP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rPr>
        <w:t>备注：</w:t>
      </w:r>
      <w:r>
        <w:rPr>
          <w:rFonts w:hint="eastAsia" w:asciiTheme="minorEastAsia" w:hAnsiTheme="minorEastAsia" w:eastAsiaTheme="minorEastAsia" w:cstheme="minorEastAsia"/>
          <w:b/>
          <w:color w:val="000000"/>
          <w:sz w:val="24"/>
          <w:szCs w:val="24"/>
        </w:rPr>
        <w:t>上述</w:t>
      </w:r>
      <w:r>
        <w:rPr>
          <w:rFonts w:hint="eastAsia" w:asciiTheme="minorEastAsia" w:hAnsiTheme="minorEastAsia" w:eastAsiaTheme="minorEastAsia" w:cstheme="minorEastAsia"/>
          <w:b/>
          <w:color w:val="000000"/>
          <w:sz w:val="24"/>
          <w:szCs w:val="24"/>
          <w:lang w:val="en-US" w:eastAsia="zh-CN"/>
        </w:rPr>
        <w:t>要求</w:t>
      </w:r>
      <w:r>
        <w:rPr>
          <w:rFonts w:hint="eastAsia" w:asciiTheme="minorEastAsia" w:hAnsiTheme="minorEastAsia" w:eastAsiaTheme="minorEastAsia" w:cstheme="minorEastAsia"/>
          <w:b/>
          <w:color w:val="000000"/>
          <w:sz w:val="24"/>
          <w:szCs w:val="24"/>
        </w:rPr>
        <w:t>为必须满足项，任一项不满足要求为无效投标。如果投标人在投标文件中没有以书面方式对上述各项要求和条款提出不满足或负偏离，则视为投标人能够完全理解并满足上述规定的各相关条款要求。如有不满足或负偏离，不管是多么微小，投标人都应在响应文件中加以如实详细说明，否则，投标人中标后才提出或者被采购人发现的任何负偏离或不满足均视为中标人违约。</w:t>
      </w:r>
    </w:p>
    <w:p>
      <w:pPr>
        <w:pStyle w:val="42"/>
        <w:pageBreakBefore w:val="0"/>
        <w:kinsoku/>
        <w:wordWrap/>
        <w:overflowPunct/>
        <w:topLinePunct w:val="0"/>
        <w:bidi w:val="0"/>
        <w:spacing w:line="360" w:lineRule="auto"/>
        <w:ind w:firstLine="480" w:firstLineChars="200"/>
        <w:jc w:val="both"/>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p>
    <w:bookmarkEnd w:id="43"/>
    <w:bookmarkEnd w:id="44"/>
    <w:bookmarkEnd w:id="45"/>
    <w:bookmarkEnd w:id="46"/>
    <w:bookmarkEnd w:id="47"/>
    <w:bookmarkEnd w:id="48"/>
    <w:bookmarkEnd w:id="49"/>
    <w:bookmarkEnd w:id="50"/>
    <w:bookmarkEnd w:id="51"/>
    <w:p>
      <w:pPr>
        <w:pStyle w:val="42"/>
        <w:pageBreakBefore w:val="0"/>
        <w:kinsoku/>
        <w:wordWrap/>
        <w:overflowPunct/>
        <w:topLinePunct w:val="0"/>
        <w:bidi w:val="0"/>
        <w:spacing w:line="360" w:lineRule="auto"/>
        <w:ind w:firstLine="640" w:firstLineChars="200"/>
        <w:jc w:val="center"/>
        <w:textAlignment w:val="auto"/>
        <w:outlineLvl w:val="9"/>
        <w:rPr>
          <w:rStyle w:val="24"/>
          <w:rFonts w:hint="eastAsia" w:ascii="宋体" w:hAnsi="宋体" w:eastAsia="宋体" w:cs="宋体"/>
          <w:color w:val="000000" w:themeColor="text1"/>
          <w:spacing w:val="0"/>
          <w:sz w:val="32"/>
          <w:szCs w:val="32"/>
          <w:highlight w:val="none"/>
          <w14:textFill>
            <w14:solidFill>
              <w14:schemeClr w14:val="tx1"/>
            </w14:solidFill>
          </w14:textFill>
        </w:rPr>
      </w:pPr>
      <w:bookmarkStart w:id="53" w:name="_Toc16136"/>
    </w:p>
    <w:p>
      <w:pPr>
        <w:pStyle w:val="42"/>
        <w:pageBreakBefore w:val="0"/>
        <w:kinsoku/>
        <w:wordWrap/>
        <w:overflowPunct/>
        <w:topLinePunct w:val="0"/>
        <w:bidi w:val="0"/>
        <w:spacing w:line="360" w:lineRule="auto"/>
        <w:ind w:firstLine="640" w:firstLineChars="20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Style w:val="24"/>
          <w:rFonts w:hint="eastAsia" w:ascii="宋体" w:hAnsi="宋体" w:eastAsia="宋体" w:cs="宋体"/>
          <w:color w:val="000000" w:themeColor="text1"/>
          <w:spacing w:val="0"/>
          <w:sz w:val="32"/>
          <w:szCs w:val="32"/>
          <w:highlight w:val="none"/>
          <w14:textFill>
            <w14:solidFill>
              <w14:schemeClr w14:val="tx1"/>
            </w14:solidFill>
          </w14:textFill>
        </w:rPr>
        <w:t>第四章</w:t>
      </w:r>
      <w:r>
        <w:rPr>
          <w:rFonts w:hint="eastAsia" w:ascii="宋体" w:hAnsi="宋体" w:eastAsia="宋体" w:cs="宋体"/>
          <w:b/>
          <w:color w:val="000000" w:themeColor="text1"/>
          <w:sz w:val="32"/>
          <w:szCs w:val="32"/>
          <w:highlight w:val="none"/>
          <w14:textFill>
            <w14:solidFill>
              <w14:schemeClr w14:val="tx1"/>
            </w14:solidFill>
          </w14:textFill>
        </w:rPr>
        <w:t xml:space="preserve">  </w:t>
      </w:r>
      <w:bookmarkStart w:id="54" w:name="_Toc11141995"/>
      <w:bookmarkStart w:id="55" w:name="_Toc11142872"/>
      <w:bookmarkStart w:id="56" w:name="_Toc11141812"/>
      <w:bookmarkStart w:id="57" w:name="_Toc11141152"/>
      <w:bookmarkStart w:id="58" w:name="_Toc11141657"/>
      <w:bookmarkStart w:id="59" w:name="_Toc48030818"/>
      <w:bookmarkStart w:id="60" w:name="_Toc11141699"/>
      <w:bookmarkStart w:id="61" w:name="_Toc11141231"/>
      <w:bookmarkStart w:id="62" w:name="_Toc11142867"/>
      <w:bookmarkStart w:id="63" w:name="_Toc11142536"/>
      <w:r>
        <w:rPr>
          <w:rStyle w:val="24"/>
          <w:rFonts w:hint="eastAsia" w:ascii="宋体" w:hAnsi="宋体" w:eastAsia="宋体" w:cs="宋体"/>
          <w:color w:val="000000" w:themeColor="text1"/>
          <w:spacing w:val="0"/>
          <w:sz w:val="32"/>
          <w:szCs w:val="32"/>
          <w:highlight w:val="none"/>
          <w:lang w:val="en-US" w:eastAsia="zh-CN"/>
          <w14:textFill>
            <w14:solidFill>
              <w14:schemeClr w14:val="tx1"/>
            </w14:solidFill>
          </w14:textFill>
        </w:rPr>
        <w:t>采购</w:t>
      </w:r>
      <w:r>
        <w:rPr>
          <w:rStyle w:val="24"/>
          <w:rFonts w:hint="eastAsia" w:ascii="宋体" w:hAnsi="宋体" w:eastAsia="宋体" w:cs="宋体"/>
          <w:color w:val="000000" w:themeColor="text1"/>
          <w:spacing w:val="0"/>
          <w:sz w:val="32"/>
          <w:szCs w:val="32"/>
          <w:highlight w:val="none"/>
          <w14:textFill>
            <w14:solidFill>
              <w14:schemeClr w14:val="tx1"/>
            </w14:solidFill>
          </w14:textFill>
        </w:rPr>
        <w:t>合同</w:t>
      </w:r>
      <w:bookmarkEnd w:id="53"/>
    </w:p>
    <w:p>
      <w:pPr>
        <w:jc w:val="center"/>
        <w:rPr>
          <w:sz w:val="24"/>
        </w:rPr>
      </w:pPr>
      <w:r>
        <w:rPr>
          <w:rFonts w:hint="eastAsia" w:cs="宋体"/>
          <w:sz w:val="24"/>
        </w:rPr>
        <w:t>（若合同内与以上述招标文件要求出现不一致的，以招标文件要求为准）</w:t>
      </w:r>
    </w:p>
    <w:p>
      <w:pPr>
        <w:pStyle w:val="42"/>
        <w:spacing w:line="360" w:lineRule="auto"/>
        <w:ind w:firstLine="480" w:firstLineChars="200"/>
        <w:outlineLvl w:val="9"/>
        <w:rPr>
          <w:rFonts w:hAnsi="宋体"/>
          <w:b/>
          <w:sz w:val="24"/>
        </w:rPr>
      </w:pP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szCs w:val="24"/>
        </w:rPr>
      </w:pPr>
      <w:r>
        <w:rPr>
          <w:rStyle w:val="24"/>
          <w:rFonts w:hint="eastAsia" w:asciiTheme="minorEastAsia" w:hAnsiTheme="minorEastAsia" w:eastAsiaTheme="minorEastAsia" w:cstheme="minorEastAsia"/>
          <w:b/>
          <w:bCs/>
          <w:sz w:val="24"/>
        </w:rPr>
        <w:t>1、签订合同应遵守《中华人民共和国民法典》等法律法规。</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szCs w:val="24"/>
        </w:rPr>
      </w:pPr>
      <w:r>
        <w:rPr>
          <w:rStyle w:val="24"/>
          <w:rFonts w:hint="eastAsia" w:asciiTheme="minorEastAsia" w:hAnsiTheme="minorEastAsia" w:eastAsiaTheme="minorEastAsia" w:cstheme="minorEastAsia"/>
          <w:b/>
          <w:bCs/>
          <w:sz w:val="24"/>
        </w:rPr>
        <w:t>2、签订合同时，采购人与</w:t>
      </w:r>
      <w:r>
        <w:rPr>
          <w:rStyle w:val="24"/>
          <w:rFonts w:hint="eastAsia" w:asciiTheme="minorEastAsia" w:hAnsiTheme="minorEastAsia" w:eastAsiaTheme="minorEastAsia" w:cstheme="minorEastAsia"/>
          <w:b/>
          <w:bCs/>
          <w:sz w:val="24"/>
          <w:lang w:val="en-US" w:eastAsia="zh-CN"/>
        </w:rPr>
        <w:t>中标单位</w:t>
      </w:r>
      <w:r>
        <w:rPr>
          <w:rStyle w:val="24"/>
          <w:rFonts w:hint="eastAsia" w:asciiTheme="minorEastAsia" w:hAnsiTheme="minorEastAsia" w:eastAsiaTheme="minorEastAsia" w:cstheme="minorEastAsia"/>
          <w:b/>
          <w:bCs/>
          <w:sz w:val="24"/>
        </w:rPr>
        <w:t>应结合</w:t>
      </w:r>
      <w:r>
        <w:rPr>
          <w:rStyle w:val="24"/>
          <w:rFonts w:hint="eastAsia" w:asciiTheme="minorEastAsia" w:hAnsiTheme="minorEastAsia" w:eastAsiaTheme="minorEastAsia" w:cstheme="minorEastAsia"/>
          <w:b/>
          <w:bCs/>
          <w:sz w:val="24"/>
          <w:lang w:val="en-US"/>
        </w:rPr>
        <w:t>招标文件</w:t>
      </w:r>
      <w:r>
        <w:rPr>
          <w:rStyle w:val="24"/>
          <w:rFonts w:hint="eastAsia" w:asciiTheme="minorEastAsia" w:hAnsiTheme="minorEastAsia" w:eastAsiaTheme="minorEastAsia" w:cstheme="minorEastAsia"/>
          <w:b/>
          <w:bCs/>
          <w:sz w:val="24"/>
        </w:rPr>
        <w:t>第三章规定填列相应内容。</w:t>
      </w:r>
      <w:r>
        <w:rPr>
          <w:rStyle w:val="24"/>
          <w:rFonts w:hint="eastAsia" w:asciiTheme="minorEastAsia" w:hAnsiTheme="minorEastAsia" w:eastAsiaTheme="minorEastAsia" w:cstheme="minorEastAsia"/>
          <w:b/>
          <w:bCs/>
          <w:sz w:val="24"/>
          <w:lang w:val="en-US"/>
        </w:rPr>
        <w:t>招标文件</w:t>
      </w:r>
      <w:r>
        <w:rPr>
          <w:rStyle w:val="24"/>
          <w:rFonts w:hint="eastAsia" w:asciiTheme="minorEastAsia" w:hAnsiTheme="minorEastAsia" w:eastAsiaTheme="minorEastAsia" w:cstheme="minorEastAsia"/>
          <w:b/>
          <w:bCs/>
          <w:sz w:val="24"/>
        </w:rPr>
        <w:t>第三章已有规定的，双方均不得变更或调整；</w:t>
      </w:r>
      <w:r>
        <w:rPr>
          <w:rStyle w:val="24"/>
          <w:rFonts w:hint="eastAsia" w:asciiTheme="minorEastAsia" w:hAnsiTheme="minorEastAsia" w:eastAsiaTheme="minorEastAsia" w:cstheme="minorEastAsia"/>
          <w:b/>
          <w:bCs/>
          <w:sz w:val="24"/>
          <w:lang w:val="en-US"/>
        </w:rPr>
        <w:t>招标文件</w:t>
      </w:r>
      <w:r>
        <w:rPr>
          <w:rStyle w:val="24"/>
          <w:rFonts w:hint="eastAsia" w:asciiTheme="minorEastAsia" w:hAnsiTheme="minorEastAsia" w:eastAsiaTheme="minorEastAsia" w:cstheme="minorEastAsia"/>
          <w:b/>
          <w:bCs/>
          <w:sz w:val="24"/>
        </w:rPr>
        <w:t>第三章未作规定的，双方可通过友好协商进行约定。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000000"/>
          <w:kern w:val="0"/>
          <w:sz w:val="24"/>
        </w:rPr>
      </w:pPr>
      <w:r>
        <w:rPr>
          <w:rStyle w:val="24"/>
          <w:rFonts w:hint="eastAsia" w:asciiTheme="minorEastAsia" w:hAnsiTheme="minorEastAsia" w:eastAsiaTheme="minorEastAsia" w:cstheme="minorEastAsia"/>
          <w:b/>
          <w:bCs/>
          <w:sz w:val="24"/>
        </w:rPr>
        <w:t>3、</w:t>
      </w:r>
      <w:r>
        <w:rPr>
          <w:rFonts w:hint="eastAsia" w:ascii="宋体" w:hAnsi="宋体" w:eastAsia="宋体" w:cs="宋体"/>
          <w:b/>
          <w:bCs/>
          <w:color w:val="000000"/>
          <w:kern w:val="0"/>
          <w:sz w:val="24"/>
        </w:rPr>
        <w:t>本章节所附的合同主要条款及格式为参考文本，如果因为项目实际特点不能适用，则可由甲乙</w:t>
      </w:r>
      <w:r>
        <w:rPr>
          <w:rFonts w:hint="eastAsia" w:ascii="宋体" w:hAnsi="宋体" w:eastAsia="宋体" w:cs="宋体"/>
          <w:b/>
          <w:bCs/>
          <w:color w:val="000000"/>
          <w:kern w:val="0"/>
          <w:sz w:val="24"/>
          <w:lang w:val="en-US" w:eastAsia="zh-CN"/>
        </w:rPr>
        <w:t>双</w:t>
      </w:r>
      <w:r>
        <w:rPr>
          <w:rFonts w:hint="eastAsia" w:ascii="宋体" w:hAnsi="宋体" w:eastAsia="宋体" w:cs="宋体"/>
          <w:b/>
          <w:bCs/>
          <w:color w:val="000000"/>
          <w:kern w:val="0"/>
          <w:sz w:val="24"/>
        </w:rPr>
        <w:t>方在合同签订阶段可通过友好协商进行约定。</w:t>
      </w:r>
    </w:p>
    <w:p>
      <w:pPr>
        <w:pageBreakBefore w:val="0"/>
        <w:kinsoku/>
        <w:wordWrap/>
        <w:overflowPunct/>
        <w:topLinePunct w:val="0"/>
        <w:bidi w:val="0"/>
        <w:snapToGrid w:val="0"/>
        <w:spacing w:line="360" w:lineRule="auto"/>
        <w:textAlignment w:val="auto"/>
        <w:rPr>
          <w:rFonts w:hint="eastAsia" w:ascii="宋体" w:hAnsi="宋体" w:eastAsia="宋体" w:cs="宋体"/>
          <w:spacing w:val="23"/>
          <w:sz w:val="24"/>
          <w:szCs w:val="24"/>
        </w:rPr>
      </w:pPr>
    </w:p>
    <w:p>
      <w:pPr>
        <w:spacing w:line="360" w:lineRule="auto"/>
        <w:rPr>
          <w:rFonts w:hint="eastAsia" w:asciiTheme="minorEastAsia" w:hAnsiTheme="minorEastAsia" w:eastAsiaTheme="minorEastAsia"/>
          <w:sz w:val="30"/>
          <w:szCs w:val="30"/>
        </w:rPr>
      </w:pPr>
      <w:bookmarkStart w:id="64" w:name="_Toc15803"/>
      <w:r>
        <w:rPr>
          <w:rFonts w:hint="eastAsia" w:asciiTheme="minorEastAsia" w:hAnsiTheme="minorEastAsia" w:cstheme="minorEastAsia"/>
          <w:spacing w:val="0"/>
          <w:sz w:val="24"/>
          <w:szCs w:val="24"/>
          <w:lang w:val="en-US" w:eastAsia="zh-CN"/>
        </w:rPr>
        <w:t>甲</w:t>
      </w:r>
      <w:r>
        <w:rPr>
          <w:rFonts w:hint="eastAsia" w:asciiTheme="minorEastAsia" w:hAnsiTheme="minorEastAsia" w:cstheme="minorEastAsia"/>
          <w:spacing w:val="0"/>
          <w:sz w:val="24"/>
          <w:szCs w:val="24"/>
          <w:lang w:eastAsia="zh-CN"/>
        </w:rPr>
        <w:t>方：</w:t>
      </w:r>
      <w:r>
        <w:rPr>
          <w:rFonts w:hint="eastAsia" w:asciiTheme="minorEastAsia" w:hAnsiTheme="minorEastAsia" w:cstheme="minorEastAsia"/>
          <w:spacing w:val="0"/>
          <w:sz w:val="24"/>
          <w:szCs w:val="24"/>
          <w:u w:val="single"/>
          <w:lang w:eastAsia="zh-CN"/>
        </w:rPr>
        <w:t>福建冠豸山现代农业发展有限公司</w:t>
      </w:r>
      <w:r>
        <w:rPr>
          <w:rFonts w:hint="eastAsia" w:asciiTheme="minorEastAsia" w:hAnsiTheme="minorEastAsia" w:cstheme="minorEastAsia"/>
          <w:spacing w:val="0"/>
          <w:sz w:val="24"/>
          <w:szCs w:val="24"/>
          <w:lang w:eastAsia="zh-CN"/>
        </w:rPr>
        <w:t xml:space="preserve"> </w:t>
      </w:r>
    </w:p>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u w:val="single"/>
        </w:rPr>
        <w:t>（</w:t>
      </w:r>
      <w:r>
        <w:rPr>
          <w:rFonts w:hint="eastAsia" w:asciiTheme="minorEastAsia" w:hAnsiTheme="minorEastAsia" w:cstheme="minorEastAsia"/>
          <w:spacing w:val="0"/>
          <w:sz w:val="24"/>
          <w:szCs w:val="24"/>
          <w:u w:val="single"/>
          <w:lang w:eastAsia="zh-CN"/>
        </w:rPr>
        <w:t>乙方</w:t>
      </w:r>
      <w:r>
        <w:rPr>
          <w:rFonts w:hint="eastAsia" w:asciiTheme="minorEastAsia" w:hAnsiTheme="minorEastAsia" w:eastAsiaTheme="minorEastAsia" w:cstheme="minorEastAsia"/>
          <w:spacing w:val="0"/>
          <w:sz w:val="24"/>
          <w:szCs w:val="24"/>
          <w:u w:val="single"/>
        </w:rPr>
        <w:t>全称）</w:t>
      </w:r>
      <w:r>
        <w:rPr>
          <w:rFonts w:hint="eastAsia" w:asciiTheme="minorEastAsia" w:hAnsiTheme="minorEastAsia" w:cstheme="minorEastAsia"/>
          <w:spacing w:val="0"/>
          <w:sz w:val="24"/>
          <w:szCs w:val="24"/>
          <w:u w:val="single"/>
          <w:lang w:val="en-US" w:eastAsia="zh-CN"/>
        </w:rPr>
        <w:t xml:space="preserve">                  </w:t>
      </w:r>
    </w:p>
    <w:p>
      <w:pPr>
        <w:pStyle w:val="17"/>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 根据招标编号为</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w:t>
      </w:r>
      <w:r>
        <w:rPr>
          <w:rFonts w:hint="eastAsia" w:asciiTheme="minorEastAsia" w:hAnsiTheme="minorEastAsia" w:eastAsiaTheme="minorEastAsia" w:cstheme="minorEastAsia"/>
          <w:spacing w:val="0"/>
          <w:sz w:val="24"/>
          <w:szCs w:val="24"/>
        </w:rPr>
        <w:t>的</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项目（以下简称：“本项目”）的招标结果，</w:t>
      </w:r>
      <w:r>
        <w:rPr>
          <w:rFonts w:hint="eastAsia" w:asciiTheme="minorEastAsia" w:hAnsiTheme="minorEastAsia" w:cstheme="minorEastAsia"/>
          <w:spacing w:val="0"/>
          <w:sz w:val="24"/>
          <w:szCs w:val="24"/>
          <w:lang w:val="en-US" w:eastAsia="zh-CN"/>
        </w:rPr>
        <w:t>中标人</w:t>
      </w:r>
      <w:r>
        <w:rPr>
          <w:rFonts w:hint="eastAsia" w:asciiTheme="minorEastAsia" w:hAnsiTheme="minorEastAsia" w:eastAsiaTheme="minorEastAsia" w:cstheme="minorEastAsia"/>
          <w:spacing w:val="0"/>
          <w:sz w:val="24"/>
          <w:szCs w:val="24"/>
        </w:rPr>
        <w:t>为</w:t>
      </w:r>
      <w:r>
        <w:rPr>
          <w:rFonts w:hint="eastAsia" w:asciiTheme="minorEastAsia" w:hAnsi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。现经</w:t>
      </w:r>
      <w:r>
        <w:rPr>
          <w:rFonts w:hint="eastAsia" w:asciiTheme="minorEastAsia" w:hAnsiTheme="minorEastAsia" w:eastAsiaTheme="minorEastAsia" w:cstheme="minorEastAsia"/>
          <w:spacing w:val="0"/>
          <w:sz w:val="24"/>
          <w:szCs w:val="24"/>
          <w:lang w:eastAsia="zh-CN"/>
        </w:rPr>
        <w:t>采购单位与供应商</w:t>
      </w:r>
      <w:r>
        <w:rPr>
          <w:rFonts w:hint="eastAsia" w:asciiTheme="minorEastAsia" w:hAnsiTheme="minorEastAsia" w:eastAsiaTheme="minorEastAsia" w:cstheme="minorEastAsia"/>
          <w:spacing w:val="0"/>
          <w:sz w:val="24"/>
          <w:szCs w:val="24"/>
        </w:rPr>
        <w:t>友好协商，就以下事项达成一致并签订本合同：</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1、下列合同文件是构成本合同不可分割的部分：</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1.1合同条款；</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1.2招标文件、</w:t>
      </w:r>
      <w:r>
        <w:rPr>
          <w:rFonts w:hint="eastAsia" w:asciiTheme="minorEastAsia" w:hAnsi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的投标文件；</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1.3其他文件或材料：</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2、合同标的</w:t>
      </w:r>
    </w:p>
    <w:tbl>
      <w:tblPr>
        <w:tblStyle w:val="21"/>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4"/>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0" w:hRule="atLeast"/>
          <w:jc w:val="center"/>
        </w:trPr>
        <w:tc>
          <w:tcPr>
            <w:tcW w:w="5734"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合同标的</w:t>
            </w:r>
          </w:p>
        </w:tc>
        <w:tc>
          <w:tcPr>
            <w:tcW w:w="2465"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734" w:type="dxa"/>
            <w:noWrap w:val="0"/>
            <w:vAlign w:val="center"/>
          </w:tcPr>
          <w:p>
            <w:pPr>
              <w:spacing w:line="36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连城县林坊镇2023年地瓜脱毒种苗扩繁基地—棚内设施建设（二期）项目</w:t>
            </w:r>
          </w:p>
        </w:tc>
        <w:tc>
          <w:tcPr>
            <w:tcW w:w="2465"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1项</w:t>
            </w:r>
          </w:p>
        </w:tc>
      </w:tr>
    </w:tbl>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3、合同总金额</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 xml:space="preserve">3.1 </w:t>
      </w:r>
      <w:r>
        <w:rPr>
          <w:rFonts w:hint="eastAsia" w:asciiTheme="minorEastAsia" w:hAnsiTheme="minorEastAsia" w:eastAsiaTheme="minorEastAsia" w:cstheme="minorEastAsia"/>
          <w:spacing w:val="0"/>
          <w:sz w:val="24"/>
          <w:szCs w:val="24"/>
          <w:lang w:eastAsia="zh-CN"/>
        </w:rPr>
        <w:t>中标</w:t>
      </w:r>
      <w:r>
        <w:rPr>
          <w:rFonts w:hint="eastAsia" w:asciiTheme="minorEastAsia" w:hAnsiTheme="minorEastAsia" w:eastAsiaTheme="minorEastAsia" w:cstheme="minorEastAsia"/>
          <w:spacing w:val="0"/>
          <w:sz w:val="24"/>
          <w:szCs w:val="24"/>
        </w:rPr>
        <w:t>价格：</w:t>
      </w:r>
      <w:r>
        <w:rPr>
          <w:rFonts w:hint="eastAsia" w:asciiTheme="minorEastAsia" w:hAnsiTheme="minorEastAsia" w:eastAsiaTheme="minorEastAsia" w:cstheme="minorEastAsia"/>
          <w:spacing w:val="0"/>
          <w:sz w:val="24"/>
          <w:szCs w:val="24"/>
          <w:u w:val="single"/>
        </w:rPr>
        <w:t xml:space="preserve">大写          元小写¥         </w:t>
      </w:r>
      <w:r>
        <w:rPr>
          <w:rFonts w:hint="eastAsia" w:asciiTheme="minorEastAsia" w:hAnsiTheme="minorEastAsia" w:eastAsiaTheme="minorEastAsia" w:cstheme="minorEastAsia"/>
          <w:spacing w:val="0"/>
          <w:sz w:val="24"/>
          <w:szCs w:val="24"/>
        </w:rPr>
        <w:t>；</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4、合同标的交付时间、地点和条件</w:t>
      </w:r>
    </w:p>
    <w:p>
      <w:pPr>
        <w:spacing w:before="120" w:line="360" w:lineRule="auto"/>
        <w:ind w:firstLine="240" w:firstLineChars="100"/>
        <w:rPr>
          <w:rFonts w:hint="eastAsia" w:ascii="宋体" w:hAnsi="宋体" w:eastAsiaTheme="minorEastAsia"/>
          <w:sz w:val="24"/>
          <w:u w:val="single"/>
          <w:lang w:eastAsia="zh-CN"/>
        </w:rPr>
      </w:pPr>
      <w:r>
        <w:rPr>
          <w:rFonts w:hint="eastAsia" w:asciiTheme="minorEastAsia" w:hAnsiTheme="minorEastAsia" w:eastAsiaTheme="minorEastAsia" w:cstheme="minorEastAsia"/>
          <w:spacing w:val="0"/>
          <w:sz w:val="24"/>
          <w:szCs w:val="24"/>
        </w:rPr>
        <w:t>4.</w:t>
      </w:r>
      <w:r>
        <w:rPr>
          <w:rFonts w:hint="eastAsia" w:ascii="宋体" w:hAnsi="宋体"/>
          <w:sz w:val="24"/>
        </w:rPr>
        <w:t>1、交付地点：</w:t>
      </w:r>
      <w:r>
        <w:rPr>
          <w:rFonts w:hint="eastAsia" w:ascii="宋体" w:hAnsi="宋体"/>
          <w:sz w:val="24"/>
          <w:u w:val="single"/>
        </w:rPr>
        <w:t xml:space="preserve"> </w:t>
      </w:r>
      <w:r>
        <w:rPr>
          <w:rFonts w:hint="eastAsia" w:asciiTheme="minorEastAsia" w:hAnsiTheme="minorEastAsia" w:eastAsiaTheme="minorEastAsia"/>
          <w:sz w:val="24"/>
          <w:u w:val="single"/>
        </w:rPr>
        <w:t>连城县</w:t>
      </w:r>
      <w:r>
        <w:rPr>
          <w:rFonts w:hint="eastAsia" w:asciiTheme="minorEastAsia" w:hAnsiTheme="minorEastAsia" w:eastAsiaTheme="minorEastAsia"/>
          <w:sz w:val="24"/>
          <w:u w:val="single"/>
          <w:lang w:eastAsia="zh-CN"/>
        </w:rPr>
        <w:t>。</w:t>
      </w:r>
    </w:p>
    <w:p>
      <w:pPr>
        <w:spacing w:before="120"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w:t>
      </w:r>
      <w:r>
        <w:rPr>
          <w:rFonts w:hint="eastAsia" w:ascii="宋体" w:hAnsi="宋体"/>
          <w:sz w:val="24"/>
          <w:lang w:val="en-US" w:eastAsia="zh-CN"/>
        </w:rPr>
        <w:t>2</w:t>
      </w:r>
      <w:r>
        <w:rPr>
          <w:rFonts w:hint="eastAsia" w:ascii="宋体" w:hAnsi="宋体"/>
          <w:sz w:val="24"/>
        </w:rPr>
        <w:t>、交付条件：</w:t>
      </w:r>
      <w:r>
        <w:rPr>
          <w:rFonts w:hint="eastAsia" w:ascii="宋体" w:hAnsi="宋体"/>
          <w:sz w:val="24"/>
          <w:u w:val="single"/>
          <w:lang w:val="en-US" w:eastAsia="zh-CN"/>
        </w:rPr>
        <w:t>验收合格</w:t>
      </w:r>
      <w:r>
        <w:rPr>
          <w:rFonts w:hint="eastAsia" w:ascii="宋体" w:hAnsi="宋体"/>
          <w:sz w:val="24"/>
          <w:u w:val="single"/>
          <w:lang w:eastAsia="zh-CN"/>
        </w:rPr>
        <w:t>。</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5、合同标的应符合招标文件、</w:t>
      </w:r>
      <w:r>
        <w:rPr>
          <w:rFonts w:hint="eastAsia" w:asciiTheme="minorEastAsia" w:hAnsi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投标文件的规定或约定，具体如下：</w:t>
      </w:r>
    </w:p>
    <w:p>
      <w:pPr>
        <w:spacing w:line="360" w:lineRule="auto"/>
        <w:ind w:firstLine="480" w:firstLineChars="20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详见招标文件</w:t>
      </w:r>
      <w:r>
        <w:rPr>
          <w:rFonts w:hint="eastAsia" w:ascii="宋体" w:hAnsi="宋体" w:eastAsia="宋体" w:cs="宋体"/>
          <w:color w:val="000000" w:themeColor="text1"/>
          <w:sz w:val="24"/>
          <w:szCs w:val="24"/>
          <w:u w:val="single"/>
          <w:lang w:val="en-US" w:eastAsia="zh-CN"/>
          <w14:textFill>
            <w14:solidFill>
              <w14:schemeClr w14:val="tx1"/>
            </w14:solidFill>
          </w14:textFill>
        </w:rPr>
        <w:t>第三章要求</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保证严格按照《</w:t>
      </w:r>
      <w:r>
        <w:rPr>
          <w:rFonts w:hint="eastAsia" w:ascii="宋体" w:hAnsi="宋体" w:cs="宋体"/>
          <w:color w:val="000000" w:themeColor="text1"/>
          <w:sz w:val="24"/>
          <w:szCs w:val="24"/>
          <w:u w:val="single"/>
          <w:lang w:val="en-US" w:eastAsia="zh-CN"/>
          <w14:textFill>
            <w14:solidFill>
              <w14:schemeClr w14:val="tx1"/>
            </w14:solidFill>
          </w14:textFill>
        </w:rPr>
        <w:t>连城县林坊镇2023年地瓜脱毒种苗扩繁基地—棚内设施建设（二期）项目</w:t>
      </w:r>
      <w:r>
        <w:rPr>
          <w:rFonts w:hint="eastAsia" w:ascii="宋体" w:hAnsi="宋体" w:eastAsia="宋体" w:cs="宋体"/>
          <w:color w:val="000000" w:themeColor="text1"/>
          <w:sz w:val="24"/>
          <w:szCs w:val="24"/>
          <w:u w:val="single"/>
          <w14:textFill>
            <w14:solidFill>
              <w14:schemeClr w14:val="tx1"/>
            </w14:solidFill>
          </w14:textFill>
        </w:rPr>
        <w:t xml:space="preserve">》（招标编号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）招标文件和</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的投标文件执行。</w:t>
      </w:r>
    </w:p>
    <w:p>
      <w:pPr>
        <w:pStyle w:val="17"/>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spacing w:val="0"/>
          <w:kern w:val="0"/>
          <w:sz w:val="24"/>
          <w:szCs w:val="24"/>
          <w:lang w:val="en-US" w:eastAsia="zh-CN" w:bidi="ar-SA"/>
        </w:rPr>
      </w:pPr>
      <w:r>
        <w:rPr>
          <w:rFonts w:hint="eastAsia" w:asciiTheme="minorEastAsia" w:hAnsiTheme="minorEastAsia" w:eastAsiaTheme="minorEastAsia" w:cstheme="minorEastAsia"/>
          <w:b w:val="0"/>
          <w:spacing w:val="0"/>
          <w:kern w:val="0"/>
          <w:sz w:val="24"/>
          <w:szCs w:val="24"/>
          <w:lang w:val="en-US" w:eastAsia="zh-CN" w:bidi="ar-SA"/>
        </w:rPr>
        <w:t>6、验收标准：</w:t>
      </w:r>
      <w:r>
        <w:rPr>
          <w:rFonts w:hint="eastAsia" w:ascii="宋体" w:hAnsi="宋体" w:eastAsia="宋体" w:cs="宋体"/>
          <w:color w:val="000000"/>
          <w:sz w:val="24"/>
        </w:rPr>
        <w:t>根据本招标文件、中标单位的投标文件、承诺及有关国家、行业规定进行验收</w:t>
      </w:r>
      <w:r>
        <w:rPr>
          <w:rFonts w:hint="eastAsia" w:asciiTheme="minorEastAsia" w:hAnsiTheme="minorEastAsia" w:eastAsiaTheme="minorEastAsia" w:cstheme="minorEastAsia"/>
          <w:b w:val="0"/>
          <w:spacing w:val="0"/>
          <w:kern w:val="0"/>
          <w:sz w:val="24"/>
          <w:szCs w:val="24"/>
          <w:lang w:val="en-US" w:eastAsia="zh-CN" w:bidi="ar-SA"/>
        </w:rPr>
        <w:t>。</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0"/>
          <w:sz w:val="24"/>
          <w:szCs w:val="24"/>
          <w:highlight w:val="none"/>
        </w:rPr>
        <w:t>7、</w:t>
      </w:r>
      <w:r>
        <w:rPr>
          <w:rFonts w:hint="eastAsia" w:asciiTheme="minorEastAsia" w:hAnsiTheme="minorEastAsia" w:eastAsiaTheme="minorEastAsia" w:cstheme="minorEastAsia"/>
          <w:spacing w:val="0"/>
          <w:sz w:val="24"/>
          <w:szCs w:val="24"/>
          <w:highlight w:val="none"/>
          <w:lang w:val="en-US" w:eastAsia="zh-CN"/>
        </w:rPr>
        <w:t>支付方式</w:t>
      </w:r>
      <w:r>
        <w:rPr>
          <w:rFonts w:hint="eastAsia" w:asciiTheme="minorEastAsia" w:hAnsiTheme="minorEastAsia" w:eastAsiaTheme="minorEastAsia" w:cstheme="minorEastAsia"/>
          <w:spacing w:val="0"/>
          <w:sz w:val="24"/>
          <w:szCs w:val="24"/>
          <w:highlight w:val="none"/>
        </w:rPr>
        <w:t>：</w:t>
      </w:r>
    </w:p>
    <w:tbl>
      <w:tblPr>
        <w:tblStyle w:val="21"/>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15"/>
        <w:gridCol w:w="63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rPr>
            </w:pPr>
            <w:r>
              <w:rPr>
                <w:rFonts w:hint="eastAsia" w:ascii="宋体" w:hAnsi="宋体" w:eastAsia="宋体" w:cs="宋体"/>
                <w:sz w:val="24"/>
              </w:rPr>
              <w:t>支付期次</w:t>
            </w:r>
          </w:p>
        </w:tc>
        <w:tc>
          <w:tcPr>
            <w:tcW w:w="181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sz w:val="24"/>
              </w:rPr>
            </w:pPr>
            <w:r>
              <w:rPr>
                <w:rFonts w:hint="eastAsia" w:ascii="宋体" w:hAnsi="宋体" w:eastAsia="宋体" w:cs="宋体"/>
                <w:sz w:val="24"/>
              </w:rPr>
              <w:t>支付比例(%)</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rPr>
            </w:pPr>
            <w:r>
              <w:rPr>
                <w:rFonts w:hint="eastAsia" w:ascii="宋体" w:hAnsi="宋体" w:eastAsia="宋体" w:cs="宋体"/>
                <w:sz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szCs w:val="24"/>
              </w:rPr>
              <w:t>1</w:t>
            </w:r>
          </w:p>
        </w:tc>
        <w:tc>
          <w:tcPr>
            <w:tcW w:w="1815" w:type="dxa"/>
            <w:tcBorders>
              <w:top w:val="outset" w:color="auto" w:sz="6" w:space="0"/>
              <w:left w:val="outset" w:color="auto" w:sz="6" w:space="0"/>
              <w:bottom w:val="outset" w:color="auto" w:sz="6" w:space="0"/>
              <w:right w:val="outset" w:color="auto" w:sz="6" w:space="0"/>
            </w:tcBorders>
            <w:vAlign w:val="center"/>
          </w:tcPr>
          <w:p>
            <w:pPr>
              <w:pStyle w:val="40"/>
              <w:spacing w:after="0" w:line="626" w:lineRule="exact"/>
              <w:jc w:val="center"/>
              <w:rPr>
                <w:rFonts w:hint="eastAsia" w:ascii="宋体" w:hAnsi="宋体" w:eastAsia="宋体" w:cs="宋体"/>
                <w:sz w:val="24"/>
                <w:lang w:eastAsia="zh-CN"/>
              </w:rPr>
            </w:pPr>
            <w:r>
              <w:rPr>
                <w:rFonts w:hint="eastAsia"/>
                <w:color w:val="auto"/>
                <w:sz w:val="24"/>
                <w:szCs w:val="24"/>
                <w:highlight w:val="none"/>
                <w:lang w:val="en-US" w:eastAsia="zh-CN" w:bidi="ar-SA"/>
              </w:rPr>
              <w:t>30</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sz w:val="24"/>
              </w:rPr>
            </w:pPr>
            <w:r>
              <w:rPr>
                <w:rFonts w:hint="eastAsia" w:ascii="宋体" w:hAnsi="宋体" w:cs="宋体"/>
                <w:sz w:val="24"/>
                <w:highlight w:val="none"/>
                <w:lang w:val="en-US" w:eastAsia="zh-CN"/>
              </w:rPr>
              <w:t>合同签订后并提供相关票据的，</w:t>
            </w:r>
            <w:r>
              <w:rPr>
                <w:rFonts w:hint="eastAsia" w:ascii="宋体" w:hAnsi="宋体" w:cs="宋体"/>
                <w:color w:val="auto"/>
                <w:sz w:val="24"/>
                <w:highlight w:val="none"/>
                <w:lang w:val="en-US" w:eastAsia="zh-CN"/>
              </w:rPr>
              <w:t>15日内支付实际合同价的30%。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szCs w:val="24"/>
              </w:rPr>
              <w:t>2</w:t>
            </w:r>
          </w:p>
        </w:tc>
        <w:tc>
          <w:tcPr>
            <w:tcW w:w="1815" w:type="dxa"/>
            <w:tcBorders>
              <w:top w:val="outset" w:color="auto" w:sz="6" w:space="0"/>
              <w:left w:val="outset" w:color="auto" w:sz="6" w:space="0"/>
              <w:bottom w:val="outset" w:color="auto" w:sz="6" w:space="0"/>
              <w:right w:val="outset" w:color="auto" w:sz="6" w:space="0"/>
            </w:tcBorders>
            <w:vAlign w:val="center"/>
          </w:tcPr>
          <w:p>
            <w:pPr>
              <w:pStyle w:val="40"/>
              <w:spacing w:after="0" w:line="626" w:lineRule="exact"/>
              <w:jc w:val="center"/>
              <w:rPr>
                <w:rFonts w:hint="default" w:ascii="宋体" w:hAnsi="宋体" w:eastAsia="宋体" w:cs="宋体"/>
                <w:sz w:val="24"/>
                <w:lang w:val="en-US" w:eastAsia="zh-CN"/>
              </w:rPr>
            </w:pPr>
            <w:r>
              <w:rPr>
                <w:rFonts w:hint="eastAsia"/>
                <w:color w:val="auto"/>
                <w:sz w:val="24"/>
                <w:szCs w:val="24"/>
                <w:highlight w:val="none"/>
                <w:lang w:val="en-US" w:eastAsia="zh-CN" w:bidi="ar-SA"/>
              </w:rPr>
              <w:t>20</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sz w:val="24"/>
              </w:rPr>
            </w:pPr>
            <w:r>
              <w:rPr>
                <w:rFonts w:ascii="宋体" w:hAnsi="宋体" w:eastAsia="宋体" w:cs="宋体"/>
                <w:color w:val="auto"/>
                <w:kern w:val="0"/>
                <w:sz w:val="24"/>
                <w:szCs w:val="24"/>
                <w:highlight w:val="none"/>
                <w:lang w:val="en-US" w:eastAsia="zh-CN" w:bidi="ar"/>
              </w:rPr>
              <w:t>合同包内全部货物送达</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sz w:val="24"/>
                <w:highlight w:val="none"/>
                <w:lang w:val="en-US" w:eastAsia="zh-CN"/>
              </w:rPr>
              <w:t>安装完成</w:t>
            </w:r>
            <w:r>
              <w:rPr>
                <w:rFonts w:hint="eastAsia" w:ascii="宋体" w:hAnsi="宋体" w:cs="宋体"/>
                <w:sz w:val="24"/>
                <w:highlight w:val="none"/>
                <w:lang w:val="en-US" w:eastAsia="zh-CN"/>
              </w:rPr>
              <w:t>并提供相关票据的</w:t>
            </w:r>
            <w:r>
              <w:rPr>
                <w:rFonts w:hint="eastAsia" w:ascii="宋体" w:hAnsi="宋体" w:cs="宋体"/>
                <w:color w:val="auto"/>
                <w:sz w:val="24"/>
                <w:highlight w:val="none"/>
                <w:lang w:val="en-US" w:eastAsia="zh-CN"/>
              </w:rPr>
              <w:t>，15日内支付至实际合同价的50%。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eastAsia="zh-CN"/>
              </w:rPr>
            </w:pPr>
            <w:r>
              <w:rPr>
                <w:rFonts w:hint="eastAsia" w:ascii="宋体" w:hAnsi="宋体" w:eastAsia="宋体" w:cs="宋体"/>
                <w:sz w:val="24"/>
                <w:szCs w:val="24"/>
              </w:rPr>
              <w:t>3</w:t>
            </w:r>
          </w:p>
        </w:tc>
        <w:tc>
          <w:tcPr>
            <w:tcW w:w="1815" w:type="dxa"/>
            <w:tcBorders>
              <w:top w:val="outset" w:color="auto" w:sz="6" w:space="0"/>
              <w:left w:val="outset" w:color="auto" w:sz="6" w:space="0"/>
              <w:bottom w:val="outset" w:color="auto" w:sz="6" w:space="0"/>
              <w:right w:val="outset" w:color="auto" w:sz="6" w:space="0"/>
            </w:tcBorders>
            <w:vAlign w:val="center"/>
          </w:tcPr>
          <w:p>
            <w:pPr>
              <w:pStyle w:val="40"/>
              <w:spacing w:after="0" w:line="626" w:lineRule="exact"/>
              <w:jc w:val="center"/>
              <w:rPr>
                <w:rFonts w:hint="eastAsia" w:ascii="宋体" w:hAnsi="宋体" w:eastAsia="宋体" w:cs="宋体"/>
                <w:sz w:val="24"/>
              </w:rPr>
            </w:pPr>
            <w:r>
              <w:rPr>
                <w:rFonts w:hint="eastAsia"/>
                <w:color w:val="auto"/>
                <w:sz w:val="24"/>
                <w:szCs w:val="24"/>
                <w:highlight w:val="none"/>
                <w:lang w:val="en-US" w:eastAsia="zh-CN" w:bidi="ar-SA"/>
              </w:rPr>
              <w:t>47</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sz w:val="24"/>
              </w:rPr>
            </w:pPr>
            <w:r>
              <w:rPr>
                <w:rFonts w:ascii="宋体" w:hAnsi="宋体" w:eastAsia="宋体" w:cs="宋体"/>
                <w:color w:val="auto"/>
                <w:kern w:val="0"/>
                <w:sz w:val="24"/>
                <w:szCs w:val="24"/>
                <w:highlight w:val="none"/>
                <w:lang w:val="en-US" w:eastAsia="zh-CN" w:bidi="ar"/>
              </w:rPr>
              <w:t>合同包内全部货物</w:t>
            </w:r>
            <w:r>
              <w:rPr>
                <w:rFonts w:hint="eastAsia" w:ascii="宋体" w:hAnsi="宋体" w:cs="宋体"/>
                <w:color w:val="auto"/>
                <w:sz w:val="24"/>
                <w:highlight w:val="none"/>
                <w:lang w:val="en-US" w:eastAsia="zh-CN"/>
              </w:rPr>
              <w:t>验收合格并提供相关票据的，15日内支付至实际合同价的97%。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815" w:type="dxa"/>
            <w:tcBorders>
              <w:top w:val="outset" w:color="auto" w:sz="6" w:space="0"/>
              <w:left w:val="outset" w:color="auto" w:sz="6" w:space="0"/>
              <w:bottom w:val="outset" w:color="auto" w:sz="6" w:space="0"/>
              <w:right w:val="outset" w:color="auto" w:sz="6" w:space="0"/>
            </w:tcBorders>
            <w:vAlign w:val="center"/>
          </w:tcPr>
          <w:p>
            <w:pPr>
              <w:pStyle w:val="40"/>
              <w:spacing w:after="0" w:line="626" w:lineRule="exact"/>
              <w:jc w:val="center"/>
              <w:rPr>
                <w:rFonts w:hint="eastAsia" w:ascii="宋体" w:hAnsi="宋体" w:cs="宋体"/>
                <w:sz w:val="24"/>
                <w:szCs w:val="24"/>
                <w:lang w:val="en-US" w:eastAsia="zh-CN"/>
              </w:rPr>
            </w:pPr>
            <w:r>
              <w:rPr>
                <w:rFonts w:hint="eastAsia"/>
                <w:color w:val="auto"/>
                <w:sz w:val="24"/>
                <w:szCs w:val="24"/>
                <w:highlight w:val="none"/>
                <w:lang w:val="en-US" w:eastAsia="zh-CN" w:bidi="ar-SA"/>
              </w:rPr>
              <w:t>3</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cs="宋体"/>
                <w:kern w:val="0"/>
                <w:sz w:val="24"/>
                <w:szCs w:val="24"/>
                <w:lang w:val="en-US" w:eastAsia="zh-CN"/>
              </w:rPr>
            </w:pPr>
            <w:r>
              <w:rPr>
                <w:rFonts w:hint="eastAsia" w:ascii="宋体" w:hAnsi="宋体" w:cs="宋体"/>
                <w:sz w:val="24"/>
              </w:rPr>
              <w:t>设备质保期</w:t>
            </w:r>
            <w:r>
              <w:rPr>
                <w:rFonts w:hint="eastAsia" w:ascii="宋体" w:hAnsi="宋体" w:cs="宋体"/>
                <w:sz w:val="24"/>
                <w:lang w:val="en-US" w:eastAsia="zh-CN"/>
              </w:rPr>
              <w:t>满</w:t>
            </w:r>
            <w:r>
              <w:rPr>
                <w:rFonts w:hint="eastAsia" w:ascii="宋体" w:hAnsi="宋体" w:cs="宋体"/>
                <w:sz w:val="24"/>
              </w:rPr>
              <w:t>后，且</w:t>
            </w:r>
            <w:r>
              <w:rPr>
                <w:rFonts w:hint="eastAsia" w:ascii="宋体" w:hAnsi="宋体" w:cs="宋体"/>
                <w:color w:val="000000"/>
                <w:kern w:val="0"/>
                <w:sz w:val="24"/>
              </w:rPr>
              <w:t>提供相关票据的，</w:t>
            </w:r>
            <w:r>
              <w:rPr>
                <w:rFonts w:hint="eastAsia" w:ascii="宋体" w:hAnsi="宋体" w:cs="宋体"/>
                <w:sz w:val="24"/>
              </w:rPr>
              <w:t>15日内支付</w:t>
            </w:r>
            <w:r>
              <w:rPr>
                <w:rFonts w:hint="eastAsia" w:ascii="宋体" w:hAnsi="宋体" w:cs="宋体"/>
                <w:sz w:val="24"/>
                <w:lang w:val="en-US" w:eastAsia="zh-CN"/>
              </w:rPr>
              <w:t>剩余合同价款（</w:t>
            </w:r>
            <w:r>
              <w:rPr>
                <w:rFonts w:hint="eastAsia" w:ascii="宋体" w:hAnsi="宋体" w:cs="宋体"/>
                <w:sz w:val="24"/>
                <w:u w:val="none"/>
                <w:lang w:val="en-US" w:eastAsia="zh-CN"/>
              </w:rPr>
              <w:t>如乙方</w:t>
            </w:r>
            <w:r>
              <w:rPr>
                <w:rFonts w:hint="eastAsia" w:ascii="宋体" w:hAnsi="宋体" w:eastAsia="宋体" w:cs="宋体"/>
                <w:color w:val="000000"/>
                <w:kern w:val="0"/>
                <w:sz w:val="24"/>
                <w:szCs w:val="24"/>
                <w:u w:val="none"/>
              </w:rPr>
              <w:t>未能按</w:t>
            </w:r>
            <w:r>
              <w:rPr>
                <w:rFonts w:hint="eastAsia" w:ascii="宋体" w:hAnsi="宋体" w:eastAsia="宋体" w:cs="宋体"/>
                <w:color w:val="000000"/>
                <w:kern w:val="0"/>
                <w:sz w:val="24"/>
                <w:szCs w:val="24"/>
                <w:u w:val="none"/>
                <w:lang w:val="en-US" w:eastAsia="zh-CN"/>
              </w:rPr>
              <w:t>相关</w:t>
            </w:r>
            <w:r>
              <w:rPr>
                <w:rFonts w:hint="eastAsia" w:ascii="宋体" w:hAnsi="宋体" w:eastAsia="宋体" w:cs="宋体"/>
                <w:color w:val="000000"/>
                <w:kern w:val="0"/>
                <w:sz w:val="24"/>
                <w:szCs w:val="24"/>
                <w:u w:val="none"/>
              </w:rPr>
              <w:t>约定按时做好保修而使</w:t>
            </w:r>
            <w:r>
              <w:rPr>
                <w:rFonts w:hint="eastAsia" w:ascii="宋体" w:hAnsi="宋体" w:cs="宋体"/>
                <w:color w:val="000000"/>
                <w:kern w:val="0"/>
                <w:sz w:val="24"/>
                <w:szCs w:val="24"/>
                <w:u w:val="none"/>
                <w:lang w:val="en-US" w:eastAsia="zh-CN"/>
              </w:rPr>
              <w:t>甲方</w:t>
            </w:r>
            <w:r>
              <w:rPr>
                <w:rFonts w:hint="eastAsia" w:ascii="宋体" w:hAnsi="宋体" w:eastAsia="宋体" w:cs="宋体"/>
                <w:color w:val="000000"/>
                <w:kern w:val="0"/>
                <w:sz w:val="24"/>
                <w:szCs w:val="24"/>
                <w:u w:val="none"/>
              </w:rPr>
              <w:t>不得不自行组织返修</w:t>
            </w:r>
            <w:r>
              <w:rPr>
                <w:rFonts w:hint="eastAsia" w:ascii="宋体" w:hAnsi="宋体" w:eastAsia="宋体" w:cs="宋体"/>
                <w:color w:val="000000"/>
                <w:kern w:val="0"/>
                <w:sz w:val="24"/>
                <w:szCs w:val="24"/>
                <w:u w:val="none"/>
                <w:lang w:eastAsia="zh-CN"/>
              </w:rPr>
              <w:t>或请第三方进行维修</w:t>
            </w:r>
            <w:r>
              <w:rPr>
                <w:rFonts w:hint="eastAsia" w:ascii="宋体" w:hAnsi="宋体" w:eastAsia="宋体" w:cs="宋体"/>
                <w:color w:val="000000"/>
                <w:kern w:val="0"/>
                <w:sz w:val="24"/>
                <w:szCs w:val="24"/>
                <w:u w:val="none"/>
              </w:rPr>
              <w:t>的，则发生费用应在</w:t>
            </w:r>
            <w:r>
              <w:rPr>
                <w:rFonts w:hint="eastAsia" w:ascii="宋体" w:hAnsi="宋体" w:eastAsia="宋体" w:cs="宋体"/>
                <w:color w:val="000000"/>
                <w:kern w:val="0"/>
                <w:sz w:val="24"/>
                <w:szCs w:val="24"/>
                <w:u w:val="none"/>
                <w:lang w:val="en-US" w:eastAsia="zh-CN"/>
              </w:rPr>
              <w:t>此次支付费用中</w:t>
            </w:r>
            <w:r>
              <w:rPr>
                <w:rFonts w:hint="eastAsia" w:ascii="宋体" w:hAnsi="宋体" w:eastAsia="宋体" w:cs="宋体"/>
                <w:color w:val="000000"/>
                <w:kern w:val="0"/>
                <w:sz w:val="24"/>
                <w:szCs w:val="24"/>
                <w:u w:val="none"/>
              </w:rPr>
              <w:t>扣除</w:t>
            </w:r>
            <w:r>
              <w:rPr>
                <w:rFonts w:hint="eastAsia" w:ascii="宋体" w:hAnsi="宋体" w:eastAsia="宋体" w:cs="宋体"/>
                <w:color w:val="000000"/>
                <w:kern w:val="0"/>
                <w:sz w:val="24"/>
                <w:szCs w:val="24"/>
                <w:u w:val="none"/>
                <w:lang w:eastAsia="zh-CN"/>
              </w:rPr>
              <w:t>，</w:t>
            </w:r>
            <w:r>
              <w:rPr>
                <w:rFonts w:hint="eastAsia" w:ascii="宋体" w:hAnsi="宋体" w:eastAsia="宋体" w:cs="宋体"/>
                <w:color w:val="000000"/>
                <w:kern w:val="0"/>
                <w:sz w:val="24"/>
                <w:szCs w:val="24"/>
                <w:u w:val="none"/>
                <w:lang w:val="en-US" w:eastAsia="zh-CN"/>
              </w:rPr>
              <w:t>剩余款项再由</w:t>
            </w:r>
            <w:r>
              <w:rPr>
                <w:rFonts w:hint="eastAsia" w:ascii="宋体" w:hAnsi="宋体" w:cs="宋体"/>
                <w:color w:val="000000"/>
                <w:kern w:val="0"/>
                <w:sz w:val="24"/>
                <w:szCs w:val="24"/>
                <w:u w:val="none"/>
                <w:lang w:val="en-US" w:eastAsia="zh-CN"/>
              </w:rPr>
              <w:t>甲方</w:t>
            </w:r>
            <w:r>
              <w:rPr>
                <w:rFonts w:hint="eastAsia" w:ascii="宋体" w:hAnsi="宋体" w:eastAsia="宋体" w:cs="宋体"/>
                <w:color w:val="000000"/>
                <w:kern w:val="0"/>
                <w:sz w:val="24"/>
                <w:szCs w:val="24"/>
                <w:u w:val="none"/>
                <w:lang w:val="en-US" w:eastAsia="zh-CN"/>
              </w:rPr>
              <w:t>支付给乙方</w:t>
            </w:r>
            <w:r>
              <w:rPr>
                <w:rFonts w:hint="eastAsia" w:ascii="宋体" w:hAnsi="宋体" w:cs="宋体"/>
                <w:sz w:val="24"/>
                <w:u w:val="none"/>
                <w:lang w:val="en-US" w:eastAsia="zh-CN"/>
              </w:rPr>
              <w:t>）</w:t>
            </w:r>
            <w:r>
              <w:rPr>
                <w:rFonts w:hint="eastAsia" w:ascii="宋体" w:hAnsi="宋体" w:cs="宋体"/>
                <w:sz w:val="24"/>
                <w:lang w:val="en-US" w:eastAsia="zh-CN"/>
              </w:rPr>
              <w:t>。</w:t>
            </w:r>
          </w:p>
        </w:tc>
      </w:tr>
    </w:tbl>
    <w:p>
      <w:pPr>
        <w:spacing w:afterLines="50" w:line="360" w:lineRule="auto"/>
        <w:ind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kern w:val="0"/>
          <w:sz w:val="24"/>
          <w:szCs w:val="24"/>
          <w:lang w:val="en-US" w:eastAsia="zh-CN" w:bidi="ar-SA"/>
        </w:rPr>
        <w:t>、保密条款：</w:t>
      </w:r>
    </w:p>
    <w:p>
      <w:pPr>
        <w:pStyle w:val="15"/>
        <w:spacing w:after="50"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15"/>
        <w:spacing w:after="50"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8.2商业秘密指双方有关项目设计信息、作品创意构思及其它技术信息。</w:t>
      </w:r>
    </w:p>
    <w:p>
      <w:pPr>
        <w:pStyle w:val="15"/>
        <w:spacing w:after="156"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8.3此保密条款在本合同期内及本合同终止后叁年内有效。任何一方违反保密条款，给另一方造成损失，应当承担赔偿责任。</w:t>
      </w:r>
    </w:p>
    <w:p>
      <w:pPr>
        <w:pStyle w:val="17"/>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pacing w:val="0"/>
          <w:sz w:val="24"/>
          <w:szCs w:val="24"/>
        </w:rPr>
        <w:t>9、合同有效期</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cstheme="minorEastAsia"/>
          <w:color w:val="000000" w:themeColor="text1"/>
          <w:spacing w:val="0"/>
          <w:sz w:val="24"/>
          <w:szCs w:val="24"/>
          <w:highlight w:val="none"/>
          <w:u w:val="single"/>
          <w:lang w:val="en-US" w:eastAsia="zh-CN"/>
          <w14:textFill>
            <w14:solidFill>
              <w14:schemeClr w14:val="tx1"/>
            </w14:solidFill>
          </w14:textFill>
        </w:rPr>
        <w:t xml:space="preserve">                        。</w:t>
      </w:r>
    </w:p>
    <w:p>
      <w:pPr>
        <w:pStyle w:val="17"/>
        <w:keepNext w:val="0"/>
        <w:keepLines w:val="0"/>
        <w:widowControl/>
        <w:numPr>
          <w:ilvl w:val="0"/>
          <w:numId w:val="4"/>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违约责任</w:t>
      </w:r>
    </w:p>
    <w:p>
      <w:pPr>
        <w:pStyle w:val="15"/>
        <w:spacing w:after="156"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10.1</w:t>
      </w:r>
      <w:r>
        <w:rPr>
          <w:rFonts w:hint="eastAsia" w:asciiTheme="minorEastAsia" w:hAnsiTheme="minorEastAsia" w:eastAsiaTheme="minorEastAsia"/>
          <w:sz w:val="24"/>
          <w:szCs w:val="24"/>
        </w:rPr>
        <w:t>若</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认为</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的成品不符合</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要求的，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有权要求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返工，</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应于收到</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的返工要求后七个工作日内或双方商定的时间内重新设计提交。</w:t>
      </w:r>
    </w:p>
    <w:p>
      <w:pPr>
        <w:pStyle w:val="15"/>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10.2</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未能按本合同或各分项合同约定的时间内付款，使</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不能及时开展各项工作，因此而给</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造成的工作延误或影响，</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不承担任何损失或责任。</w:t>
      </w:r>
    </w:p>
    <w:p>
      <w:pPr>
        <w:pStyle w:val="15"/>
        <w:spacing w:after="50"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10.3</w:t>
      </w:r>
      <w:r>
        <w:rPr>
          <w:rFonts w:hint="eastAsia" w:asciiTheme="minorEastAsia" w:hAnsiTheme="minorEastAsia" w:eastAsiaTheme="minorEastAsia"/>
          <w:sz w:val="24"/>
          <w:szCs w:val="24"/>
        </w:rPr>
        <w:t>如因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原因未能在规定的计划时间内完成工作内容及工作量，且经</w:t>
      </w:r>
      <w:r>
        <w:rPr>
          <w:rFonts w:hint="eastAsia" w:asciiTheme="minorEastAsia" w:hAnsiTheme="minorEastAsia" w:eastAsiaTheme="minorEastAsia"/>
          <w:sz w:val="24"/>
          <w:szCs w:val="24"/>
          <w:lang w:val="en-US" w:eastAsia="zh-CN"/>
        </w:rPr>
        <w:t>双方</w:t>
      </w:r>
      <w:r>
        <w:rPr>
          <w:rFonts w:hint="eastAsia" w:asciiTheme="minorEastAsia" w:hAnsiTheme="minorEastAsia" w:eastAsiaTheme="minorEastAsia"/>
          <w:sz w:val="24"/>
          <w:szCs w:val="24"/>
        </w:rPr>
        <w:t>反复就服务内容进行沟通均未达到项目工作要求，并对项目推广造成影响的，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可书面下达整改通知书，在整改通知书下达后</w:t>
      </w:r>
      <w:r>
        <w:rPr>
          <w:rFonts w:asciiTheme="minorEastAsia" w:hAnsiTheme="minorEastAsia" w:eastAsiaTheme="minorEastAsia"/>
          <w:sz w:val="24"/>
          <w:szCs w:val="24"/>
        </w:rPr>
        <w:t>15日内仍未取得显著改观的，</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有权单方面行使合同解除权</w:t>
      </w:r>
      <w:r>
        <w:rPr>
          <w:rFonts w:hint="eastAsia" w:asciiTheme="minorEastAsia" w:hAnsiTheme="minorEastAsia" w:eastAsiaTheme="minorEastAsia"/>
          <w:sz w:val="24"/>
          <w:szCs w:val="24"/>
        </w:rPr>
        <w:t>并且不承担违约责任，</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以书面形式向</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送达解除合同函件，并以送达之日为合同解除日。</w:t>
      </w:r>
    </w:p>
    <w:p>
      <w:pPr>
        <w:pStyle w:val="15"/>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10.4</w:t>
      </w:r>
      <w:r>
        <w:rPr>
          <w:rFonts w:hint="eastAsia" w:asciiTheme="minorEastAsia" w:hAnsiTheme="minorEastAsia" w:eastAsiaTheme="minorEastAsia"/>
          <w:sz w:val="24"/>
          <w:szCs w:val="24"/>
        </w:rPr>
        <w:t>因不可抗力致使本合同无法继续履行的，任何一方均可书面提出终止本合同。双方互不承担责任。</w:t>
      </w:r>
    </w:p>
    <w:p>
      <w:pPr>
        <w:pStyle w:val="15"/>
        <w:tabs>
          <w:tab w:val="left" w:pos="1985"/>
        </w:tabs>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10.5</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因自身原因单方面提前解约，应按实际已完成的服务时间向</w:t>
      </w:r>
      <w:r>
        <w:rPr>
          <w:rFonts w:hint="eastAsia" w:asciiTheme="minorEastAsia" w:hAnsiTheme="minorEastAsia" w:eastAsiaTheme="minorEastAsia"/>
          <w:sz w:val="24"/>
          <w:szCs w:val="24"/>
          <w:lang w:eastAsia="zh-CN"/>
        </w:rPr>
        <w:t>供应商</w:t>
      </w:r>
      <w:r>
        <w:rPr>
          <w:rFonts w:hint="eastAsia" w:asciiTheme="minorEastAsia" w:hAnsiTheme="minorEastAsia" w:eastAsiaTheme="minorEastAsia"/>
          <w:sz w:val="24"/>
          <w:szCs w:val="24"/>
        </w:rPr>
        <w:t>结算并支付费用。</w:t>
      </w:r>
    </w:p>
    <w:p>
      <w:pPr>
        <w:pStyle w:val="15"/>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10.6</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因自身原因单方面提前解约，</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即可扣除</w:t>
      </w:r>
      <w:r>
        <w:rPr>
          <w:rFonts w:hint="eastAsia" w:asciiTheme="minorEastAsia" w:hAnsiTheme="minorEastAsia" w:eastAsiaTheme="minorEastAsia"/>
          <w:sz w:val="24"/>
          <w:szCs w:val="24"/>
          <w:lang w:eastAsia="zh-CN"/>
        </w:rPr>
        <w:t>供应商</w:t>
      </w:r>
      <w:r>
        <w:rPr>
          <w:rFonts w:hint="eastAsia" w:asciiTheme="minorEastAsia" w:hAnsiTheme="minorEastAsia" w:eastAsiaTheme="minorEastAsia"/>
          <w:sz w:val="24"/>
          <w:szCs w:val="24"/>
        </w:rPr>
        <w:t>该阶段服务费。</w:t>
      </w:r>
    </w:p>
    <w:p>
      <w:pPr>
        <w:pStyle w:val="15"/>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10.7</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lang w:eastAsia="zh-CN"/>
        </w:rPr>
        <w:t>与</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其中一方未按本合同约定履行职责，</w:t>
      </w:r>
      <w:r>
        <w:rPr>
          <w:rFonts w:hint="eastAsia" w:asciiTheme="minorEastAsia" w:hAnsiTheme="minorEastAsia" w:eastAsiaTheme="minorEastAsia"/>
          <w:sz w:val="24"/>
          <w:szCs w:val="24"/>
          <w:lang w:val="en-US" w:eastAsia="zh-CN"/>
        </w:rPr>
        <w:t>其中</w:t>
      </w:r>
      <w:r>
        <w:rPr>
          <w:rFonts w:hint="eastAsia" w:asciiTheme="minorEastAsia" w:hAnsiTheme="minorEastAsia" w:eastAsiaTheme="minorEastAsia"/>
          <w:sz w:val="24"/>
          <w:szCs w:val="24"/>
        </w:rPr>
        <w:t>一方可以书面通知违约方，并给予违约方不超过</w:t>
      </w:r>
      <w:r>
        <w:rPr>
          <w:rFonts w:asciiTheme="minorEastAsia" w:hAnsiTheme="minorEastAsia" w:eastAsiaTheme="minorEastAsia"/>
          <w:sz w:val="24"/>
          <w:szCs w:val="24"/>
        </w:rPr>
        <w:t>15天的整改期，若期满未修正的，则</w:t>
      </w:r>
      <w:r>
        <w:rPr>
          <w:rFonts w:hint="eastAsia" w:asciiTheme="minorEastAsia" w:hAnsiTheme="minorEastAsia" w:eastAsiaTheme="minorEastAsia"/>
          <w:sz w:val="24"/>
          <w:szCs w:val="24"/>
          <w:lang w:val="en-US" w:eastAsia="zh-CN"/>
        </w:rPr>
        <w:t>其中</w:t>
      </w:r>
      <w:r>
        <w:rPr>
          <w:rFonts w:asciiTheme="minorEastAsia" w:hAnsiTheme="minorEastAsia" w:eastAsiaTheme="minorEastAsia"/>
          <w:sz w:val="24"/>
          <w:szCs w:val="24"/>
        </w:rPr>
        <w:t>一方可单方解除合同。合同解除后，</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可收取合同解除前所完成之服务项目的费用</w:t>
      </w:r>
      <w:r>
        <w:rPr>
          <w:rFonts w:hint="eastAsia" w:asciiTheme="minorEastAsia" w:hAnsiTheme="minorEastAsia" w:eastAsiaTheme="minorEastAsia"/>
          <w:sz w:val="24"/>
          <w:szCs w:val="24"/>
        </w:rPr>
        <w:t>，但因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无故单方提前解除的除外。</w:t>
      </w:r>
    </w:p>
    <w:p>
      <w:pPr>
        <w:pStyle w:val="15"/>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10.8</w:t>
      </w:r>
      <w:r>
        <w:rPr>
          <w:rFonts w:hint="eastAsia" w:asciiTheme="minorEastAsia" w:hAnsiTheme="minorEastAsia" w:eastAsiaTheme="minorEastAsia"/>
          <w:sz w:val="24"/>
          <w:szCs w:val="24"/>
        </w:rPr>
        <w:t>对于因违约而引起的诉讼产生的费用（包括但不限于：法院判决的赔偿费用、诉讼费、律师费、鉴定费、公证费、差旅费等），应由违约方承担。</w:t>
      </w:r>
    </w:p>
    <w:p>
      <w:pPr>
        <w:pStyle w:val="15"/>
        <w:spacing w:after="50" w:line="360" w:lineRule="auto"/>
        <w:ind w:left="0" w:leftChars="0"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10.9供应商未按本合同约定的时间向甲方交付成果的，每逾期一天向甲方支付本合同千分之一的违约金，逾期超过30天的，甲方有权解除合同。</w:t>
      </w:r>
    </w:p>
    <w:p>
      <w:pPr>
        <w:pStyle w:val="17"/>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11、知识产权</w:t>
      </w:r>
    </w:p>
    <w:p>
      <w:pPr>
        <w:pStyle w:val="15"/>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最后确认交付的项目规划和品牌内容，其知识产权永久性归</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所有，未经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不得交由其他任何第三方使用。</w:t>
      </w:r>
    </w:p>
    <w:p>
      <w:pPr>
        <w:pStyle w:val="15"/>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为履行本合同而完成的有关工作成果以及作品，凡经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采用的，其知识产权归</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所有；凡未经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w:t>
      </w:r>
      <w:r>
        <w:rPr>
          <w:rFonts w:hint="eastAsia" w:asciiTheme="minorEastAsia" w:hAnsiTheme="minorEastAsia" w:eastAsiaTheme="minorEastAsia"/>
          <w:sz w:val="24"/>
          <w:szCs w:val="24"/>
        </w:rPr>
        <w:t>但</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对此工作成果以及作品有保留或使用可能</w:t>
      </w:r>
      <w:r>
        <w:rPr>
          <w:rFonts w:asciiTheme="minorEastAsia" w:hAnsiTheme="minorEastAsia" w:eastAsiaTheme="minorEastAsia"/>
          <w:sz w:val="24"/>
          <w:szCs w:val="24"/>
        </w:rPr>
        <w:t>的，</w:t>
      </w:r>
      <w:r>
        <w:rPr>
          <w:rFonts w:hint="eastAsia" w:asciiTheme="minorEastAsia" w:hAnsiTheme="minorEastAsia" w:eastAsiaTheme="minorEastAsia"/>
          <w:sz w:val="24"/>
          <w:szCs w:val="24"/>
        </w:rPr>
        <w:t>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eastAsia="zh-CN"/>
        </w:rPr>
        <w:t>供应商</w:t>
      </w:r>
      <w:r>
        <w:rPr>
          <w:rFonts w:hint="eastAsia" w:asciiTheme="minorEastAsia" w:hAnsiTheme="minorEastAsia" w:eastAsiaTheme="minorEastAsia"/>
          <w:sz w:val="24"/>
          <w:szCs w:val="24"/>
        </w:rPr>
        <w:t>在</w:t>
      </w:r>
      <w:r>
        <w:rPr>
          <w:rFonts w:asciiTheme="minorEastAsia" w:hAnsiTheme="minorEastAsia" w:eastAsiaTheme="minorEastAsia"/>
          <w:sz w:val="24"/>
          <w:szCs w:val="24"/>
        </w:rPr>
        <w:t>3</w:t>
      </w:r>
      <w:r>
        <w:rPr>
          <w:rFonts w:hint="eastAsia" w:asciiTheme="minorEastAsia" w:hAnsiTheme="minorEastAsia" w:eastAsiaTheme="minorEastAsia"/>
          <w:sz w:val="24"/>
          <w:szCs w:val="24"/>
        </w:rPr>
        <w:t>个月内不得交由任何其他第三方使用</w:t>
      </w:r>
      <w:r>
        <w:rPr>
          <w:rFonts w:asciiTheme="minorEastAsia" w:hAnsiTheme="minorEastAsia" w:eastAsiaTheme="minorEastAsia"/>
          <w:sz w:val="24"/>
          <w:szCs w:val="24"/>
        </w:rPr>
        <w:t xml:space="preserve">。 </w:t>
      </w:r>
    </w:p>
    <w:p>
      <w:pPr>
        <w:pStyle w:val="15"/>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向</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提交的</w:t>
      </w:r>
      <w:r>
        <w:rPr>
          <w:rFonts w:asciiTheme="minorEastAsia" w:hAnsiTheme="minorEastAsia" w:eastAsiaTheme="minorEastAsia"/>
          <w:sz w:val="24"/>
          <w:szCs w:val="24"/>
        </w:rPr>
        <w:t>工作成果及作品</w:t>
      </w:r>
      <w:r>
        <w:rPr>
          <w:rFonts w:hint="eastAsia" w:asciiTheme="minorEastAsia" w:hAnsiTheme="minorEastAsia" w:eastAsiaTheme="minorEastAsia"/>
          <w:sz w:val="24"/>
          <w:szCs w:val="24"/>
        </w:rPr>
        <w:t>，不得</w:t>
      </w:r>
      <w:r>
        <w:rPr>
          <w:rFonts w:asciiTheme="minorEastAsia" w:hAnsiTheme="minorEastAsia" w:eastAsiaTheme="minorEastAsia"/>
          <w:sz w:val="24"/>
          <w:szCs w:val="24"/>
        </w:rPr>
        <w:t>涉及</w:t>
      </w:r>
      <w:r>
        <w:rPr>
          <w:rFonts w:hint="eastAsia" w:asciiTheme="minorEastAsia" w:hAnsiTheme="minorEastAsia" w:eastAsiaTheme="minorEastAsia"/>
          <w:sz w:val="24"/>
          <w:szCs w:val="24"/>
        </w:rPr>
        <w:t>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，如涉及到或</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在使用中确认因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原因而导致设计作品侵犯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的，所由此产生的所有责任概由</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承担。</w:t>
      </w:r>
    </w:p>
    <w:p>
      <w:pPr>
        <w:pStyle w:val="15"/>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4</w:t>
      </w:r>
      <w:r>
        <w:rPr>
          <w:rFonts w:asciiTheme="minorEastAsia" w:hAnsiTheme="minorEastAsia" w:eastAsiaTheme="minorEastAsia"/>
          <w:sz w:val="24"/>
          <w:szCs w:val="24"/>
        </w:rPr>
        <w:t>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可</w:t>
      </w:r>
      <w:r>
        <w:rPr>
          <w:rFonts w:asciiTheme="minorEastAsia" w:hAnsiTheme="minorEastAsia" w:eastAsiaTheme="minorEastAsia"/>
          <w:sz w:val="24"/>
          <w:szCs w:val="24"/>
        </w:rPr>
        <w:t>将本合同所完成的工作成果及作品，用于为</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自身宣传和专业研究的目的。</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12、解决争议的方法</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12.1甲、乙双方协商解决。</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12.2若协商解决不成，则通过下列途径之一解决：</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向人民法院提起诉讼，具体如下：</w:t>
      </w:r>
      <w:r>
        <w:rPr>
          <w:rFonts w:hint="eastAsia" w:asciiTheme="minorEastAsia" w:hAnsiTheme="minorEastAsia" w:eastAsiaTheme="minorEastAsia" w:cstheme="minorEastAsia"/>
          <w:spacing w:val="0"/>
          <w:sz w:val="24"/>
          <w:szCs w:val="24"/>
          <w:u w:val="single"/>
        </w:rPr>
        <w:t>向</w:t>
      </w:r>
      <w:r>
        <w:rPr>
          <w:rFonts w:hint="eastAsia" w:asciiTheme="minorEastAsia" w:hAnsiTheme="minorEastAsia" w:cstheme="minorEastAsia"/>
          <w:spacing w:val="0"/>
          <w:sz w:val="24"/>
          <w:szCs w:val="24"/>
          <w:u w:val="single"/>
          <w:lang w:val="en-US" w:eastAsia="zh-CN"/>
        </w:rPr>
        <w:t>连城县</w:t>
      </w:r>
      <w:r>
        <w:rPr>
          <w:rFonts w:hint="eastAsia" w:asciiTheme="minorEastAsia" w:hAnsiTheme="minorEastAsia" w:eastAsiaTheme="minorEastAsia" w:cstheme="minorEastAsia"/>
          <w:spacing w:val="0"/>
          <w:sz w:val="24"/>
          <w:szCs w:val="24"/>
          <w:u w:val="single"/>
        </w:rPr>
        <w:t>人民法院提起诉讼</w:t>
      </w:r>
      <w:r>
        <w:rPr>
          <w:rFonts w:hint="eastAsia" w:asciiTheme="minorEastAsia" w:hAnsiTheme="minorEastAsia" w:eastAsiaTheme="minorEastAsia" w:cstheme="minorEastAsia"/>
          <w:spacing w:val="0"/>
          <w:sz w:val="24"/>
          <w:szCs w:val="24"/>
        </w:rPr>
        <w:t>。败诉方承担包括但不限于诉讼费、交通费、</w:t>
      </w:r>
      <w:r>
        <w:rPr>
          <w:rFonts w:hint="eastAsia" w:asciiTheme="minorEastAsia" w:hAnsiTheme="minorEastAsia" w:eastAsiaTheme="minorEastAsia" w:cstheme="minorEastAsia"/>
          <w:spacing w:val="0"/>
          <w:sz w:val="24"/>
          <w:szCs w:val="24"/>
          <w:lang w:val="en-US" w:eastAsia="zh-CN"/>
        </w:rPr>
        <w:t>财产保全保险费、</w:t>
      </w:r>
      <w:r>
        <w:rPr>
          <w:rFonts w:hint="eastAsia" w:asciiTheme="minorEastAsia" w:hAnsiTheme="minorEastAsia" w:eastAsiaTheme="minorEastAsia" w:cstheme="minorEastAsia"/>
          <w:spacing w:val="0"/>
          <w:sz w:val="24"/>
          <w:szCs w:val="24"/>
        </w:rPr>
        <w:t>保全费、律师代理费等相关费用。</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13、不可抗力</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14、合同条款</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u w:val="single"/>
        </w:rPr>
        <w:t>按照实际情况编制填写。招标文件第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章已有规定的，双方均不得变更或调整；招标文件第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章未作规定的，双方可通过友好协商进行约定</w:t>
      </w:r>
      <w:r>
        <w:rPr>
          <w:rFonts w:hint="eastAsia" w:asciiTheme="minorEastAsia" w:hAnsiTheme="minorEastAsia" w:eastAsiaTheme="minorEastAsia" w:cstheme="minorEastAsia"/>
          <w:spacing w:val="0"/>
          <w:sz w:val="24"/>
          <w:szCs w:val="24"/>
        </w:rPr>
        <w:t>。</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15、其他约定</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15.1合同文件与本合同具有同等法律效力。</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15.2本合同未尽事宜，双方可另行</w:t>
      </w:r>
      <w:r>
        <w:rPr>
          <w:rFonts w:hint="eastAsia" w:asciiTheme="minorEastAsia" w:hAnsiTheme="minorEastAsia" w:eastAsiaTheme="minorEastAsia" w:cstheme="minorEastAsia"/>
          <w:spacing w:val="0"/>
          <w:sz w:val="24"/>
          <w:szCs w:val="24"/>
          <w:lang w:val="en-US" w:eastAsia="zh-CN"/>
        </w:rPr>
        <w:t>签订</w:t>
      </w:r>
      <w:r>
        <w:rPr>
          <w:rFonts w:hint="eastAsia" w:asciiTheme="minorEastAsia" w:hAnsiTheme="minorEastAsia" w:eastAsiaTheme="minorEastAsia" w:cstheme="minorEastAsia"/>
          <w:spacing w:val="0"/>
          <w:sz w:val="24"/>
          <w:szCs w:val="24"/>
        </w:rPr>
        <w:t>补充</w:t>
      </w:r>
      <w:r>
        <w:rPr>
          <w:rFonts w:hint="eastAsia" w:asciiTheme="minorEastAsia" w:hAnsiTheme="minorEastAsia" w:eastAsiaTheme="minorEastAsia" w:cstheme="minorEastAsia"/>
          <w:spacing w:val="0"/>
          <w:sz w:val="24"/>
          <w:szCs w:val="24"/>
          <w:lang w:val="en-US" w:eastAsia="zh-CN"/>
        </w:rPr>
        <w:t>协议</w:t>
      </w:r>
      <w:r>
        <w:rPr>
          <w:rFonts w:hint="eastAsia" w:asciiTheme="minorEastAsia" w:hAnsiTheme="minorEastAsia" w:eastAsiaTheme="minorEastAsia" w:cstheme="minorEastAsia"/>
          <w:spacing w:val="0"/>
          <w:sz w:val="24"/>
          <w:szCs w:val="24"/>
        </w:rPr>
        <w:t>。</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15.3合同生效：自签订之日起生效。</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15.4本合同一式</w:t>
      </w:r>
      <w:r>
        <w:rPr>
          <w:rFonts w:hint="eastAsia" w:asciiTheme="minorEastAsia" w:hAnsiTheme="minorEastAsia" w:cstheme="minorEastAsia"/>
          <w:spacing w:val="0"/>
          <w:sz w:val="24"/>
          <w:szCs w:val="24"/>
          <w:u w:val="single"/>
          <w:lang w:val="en-US" w:eastAsia="zh-CN"/>
        </w:rPr>
        <w:t xml:space="preserve"> 肆 </w:t>
      </w:r>
      <w:r>
        <w:rPr>
          <w:rFonts w:hint="eastAsia" w:asciiTheme="minorEastAsia" w:hAnsiTheme="minorEastAsia" w:eastAsiaTheme="minorEastAsia" w:cstheme="minorEastAsia"/>
          <w:spacing w:val="0"/>
          <w:sz w:val="24"/>
          <w:szCs w:val="24"/>
        </w:rPr>
        <w:t>份，经双方授权代表签字并盖章后生效。</w:t>
      </w:r>
      <w:r>
        <w:rPr>
          <w:rFonts w:hint="eastAsia" w:asciiTheme="minorEastAsia" w:hAnsiTheme="minorEastAsia" w:cstheme="minorEastAsia"/>
          <w:spacing w:val="0"/>
          <w:sz w:val="24"/>
          <w:szCs w:val="24"/>
          <w:lang w:val="en-US" w:eastAsia="zh-CN"/>
        </w:rPr>
        <w:t>甲</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cstheme="minorEastAsia"/>
          <w:spacing w:val="0"/>
          <w:sz w:val="24"/>
          <w:szCs w:val="24"/>
          <w:lang w:eastAsia="zh-CN"/>
        </w:rPr>
        <w:t>乙</w:t>
      </w:r>
      <w:r>
        <w:rPr>
          <w:rFonts w:hint="eastAsia" w:asciiTheme="minorEastAsia" w:hAnsiTheme="minorEastAsia" w:cstheme="minorEastAsia"/>
          <w:spacing w:val="0"/>
          <w:sz w:val="24"/>
          <w:szCs w:val="24"/>
          <w:lang w:val="en-US" w:eastAsia="zh-CN"/>
        </w:rPr>
        <w:t>双</w:t>
      </w:r>
      <w:r>
        <w:rPr>
          <w:rFonts w:hint="eastAsia" w:asciiTheme="minorEastAsia" w:hAnsiTheme="minorEastAsia" w:cstheme="minorEastAsia"/>
          <w:spacing w:val="0"/>
          <w:sz w:val="24"/>
          <w:szCs w:val="24"/>
          <w:lang w:eastAsia="zh-CN"/>
        </w:rPr>
        <w:t>方</w:t>
      </w:r>
      <w:r>
        <w:rPr>
          <w:rFonts w:hint="eastAsia" w:asciiTheme="minorEastAsia" w:hAnsiTheme="minorEastAsia" w:eastAsiaTheme="minorEastAsia" w:cstheme="minorEastAsia"/>
          <w:spacing w:val="0"/>
          <w:sz w:val="24"/>
          <w:szCs w:val="24"/>
        </w:rPr>
        <w:t>各执</w:t>
      </w:r>
      <w:r>
        <w:rPr>
          <w:rFonts w:hint="eastAsia" w:asciiTheme="minorEastAsia" w:hAnsiTheme="minorEastAsia" w:cstheme="minorEastAsia"/>
          <w:spacing w:val="0"/>
          <w:sz w:val="24"/>
          <w:szCs w:val="24"/>
          <w:u w:val="single"/>
          <w:lang w:val="en-US" w:eastAsia="zh-CN"/>
        </w:rPr>
        <w:t xml:space="preserve"> 贰 </w:t>
      </w:r>
      <w:r>
        <w:rPr>
          <w:rFonts w:hint="eastAsia" w:asciiTheme="minorEastAsia" w:hAnsiTheme="minorEastAsia" w:eastAsiaTheme="minorEastAsia" w:cstheme="minorEastAsia"/>
          <w:spacing w:val="0"/>
          <w:sz w:val="24"/>
          <w:szCs w:val="24"/>
        </w:rPr>
        <w:t>份，具有同等效力。</w:t>
      </w:r>
    </w:p>
    <w:p>
      <w:pPr>
        <w:pStyle w:val="1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15.5其他：</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r>
        <w:rPr>
          <w:rFonts w:hint="eastAsia" w:asciiTheme="minorEastAsia" w:hAnsiTheme="minorEastAsia" w:eastAsiaTheme="minorEastAsia" w:cstheme="minorEastAsia"/>
          <w:spacing w:val="0"/>
          <w:sz w:val="24"/>
          <w:szCs w:val="24"/>
          <w:u w:val="single"/>
        </w:rPr>
        <w:t>（按照实际情况编制填写需要增加的内容）</w:t>
      </w:r>
      <w:r>
        <w:rPr>
          <w:rFonts w:hint="eastAsia" w:asciiTheme="minorEastAsia" w:hAnsiTheme="minorEastAsia" w:eastAsiaTheme="minorEastAsia" w:cstheme="minorEastAsia"/>
          <w:spacing w:val="0"/>
          <w:sz w:val="24"/>
          <w:szCs w:val="24"/>
        </w:rPr>
        <w:t>。</w:t>
      </w:r>
    </w:p>
    <w:p>
      <w:pPr>
        <w:pStyle w:val="17"/>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（以下无正文）</w:t>
      </w:r>
    </w:p>
    <w:p>
      <w:pPr>
        <w:pStyle w:val="17"/>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甲方：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乙方：</w:t>
      </w:r>
    </w:p>
    <w:p>
      <w:pPr>
        <w:pStyle w:val="17"/>
        <w:spacing w:before="75" w:beforeAutospacing="0" w:after="75" w:afterAutospacing="0"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                住所：</w:t>
      </w:r>
    </w:p>
    <w:p>
      <w:pPr>
        <w:pStyle w:val="18"/>
        <w:numPr>
          <w:ilvl w:val="-1"/>
          <w:numId w:val="0"/>
        </w:numPr>
        <w:tabs>
          <w:tab w:val="left" w:pos="425"/>
        </w:tabs>
        <w:ind w:left="0" w:firstLine="0"/>
        <w:rPr>
          <w:rFonts w:hint="default" w:eastAsiaTheme="minorEastAsia"/>
          <w:lang w:val="en-US" w:eastAsia="zh-CN"/>
        </w:rPr>
      </w:pPr>
      <w:r>
        <w:rPr>
          <w:rFonts w:hint="eastAsia" w:asciiTheme="minorEastAsia" w:hAnsiTheme="minorEastAsia" w:eastAsiaTheme="minorEastAsia" w:cstheme="minorEastAsia"/>
          <w:lang w:val="en-US" w:eastAsia="zh-CN"/>
        </w:rPr>
        <w:t>统一社会信用代码：                    统一社会信用代码：</w:t>
      </w:r>
    </w:p>
    <w:p>
      <w:pPr>
        <w:pStyle w:val="17"/>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单位负责人：                单位负责人：</w:t>
      </w:r>
    </w:p>
    <w:p>
      <w:pPr>
        <w:pStyle w:val="17"/>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委托代理人：             委托代理人：</w:t>
      </w:r>
    </w:p>
    <w:p>
      <w:pPr>
        <w:pStyle w:val="17"/>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联系方法：              联系方法：</w:t>
      </w:r>
    </w:p>
    <w:p>
      <w:pPr>
        <w:pStyle w:val="17"/>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开户银行：              开户银行</w:t>
      </w:r>
    </w:p>
    <w:p>
      <w:pPr>
        <w:pStyle w:val="17"/>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账号：                账号：</w:t>
      </w:r>
    </w:p>
    <w:p>
      <w:pPr>
        <w:pStyle w:val="17"/>
        <w:spacing w:before="75" w:beforeAutospacing="0" w:after="75" w:afterAutospacing="0" w:line="360" w:lineRule="auto"/>
        <w:rPr>
          <w:rFonts w:hint="eastAsia" w:asciiTheme="minorEastAsia" w:hAnsiTheme="minorEastAsia" w:eastAsiaTheme="minorEastAsia" w:cstheme="minorEastAsia"/>
        </w:rPr>
      </w:pPr>
    </w:p>
    <w:p>
      <w:pPr>
        <w:pStyle w:val="17"/>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w:t>
      </w:r>
    </w:p>
    <w:p>
      <w:pPr>
        <w:pStyle w:val="17"/>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w:t>
      </w:r>
    </w:p>
    <w:p>
      <w:pPr>
        <w:pStyle w:val="17"/>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签订地点：</w:t>
      </w:r>
      <w:r>
        <w:rPr>
          <w:rFonts w:hint="eastAsia" w:asciiTheme="minorEastAsia" w:hAnsiTheme="minorEastAsia" w:eastAsiaTheme="minorEastAsia" w:cstheme="minorEastAsia"/>
          <w:u w:val="single"/>
        </w:rPr>
        <w:t xml:space="preserve">              </w:t>
      </w:r>
    </w:p>
    <w:p>
      <w:pPr>
        <w:pStyle w:val="17"/>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11"/>
        <w:rPr>
          <w:rFonts w:hint="eastAsia" w:ascii="宋体" w:hAnsi="宋体" w:eastAsia="宋体" w:cs="宋体"/>
          <w:b/>
          <w:bCs/>
          <w:color w:val="000000" w:themeColor="text1"/>
          <w:sz w:val="24"/>
          <w:szCs w:val="24"/>
          <w:highlight w:val="none"/>
          <w14:textFill>
            <w14:solidFill>
              <w14:schemeClr w14:val="tx1"/>
            </w14:solidFill>
          </w14:textFill>
        </w:rPr>
      </w:pPr>
    </w:p>
    <w:p>
      <w:pPr>
        <w:pStyle w:val="11"/>
        <w:rPr>
          <w:rFonts w:hint="eastAsia" w:ascii="宋体" w:hAnsi="宋体" w:eastAsia="宋体" w:cs="宋体"/>
          <w:b/>
          <w:bCs/>
          <w:color w:val="000000" w:themeColor="text1"/>
          <w:sz w:val="24"/>
          <w:szCs w:val="24"/>
          <w:highlight w:val="none"/>
          <w14:textFill>
            <w14:solidFill>
              <w14:schemeClr w14:val="tx1"/>
            </w14:solidFill>
          </w14:textFill>
        </w:rPr>
      </w:pPr>
    </w:p>
    <w:p>
      <w:pPr>
        <w:pStyle w:val="11"/>
        <w:rPr>
          <w:rFonts w:hint="eastAsia" w:ascii="宋体" w:hAnsi="宋体" w:eastAsia="宋体" w:cs="宋体"/>
          <w:b/>
          <w:bCs/>
          <w:color w:val="000000" w:themeColor="text1"/>
          <w:sz w:val="24"/>
          <w:szCs w:val="24"/>
          <w:highlight w:val="none"/>
          <w14:textFill>
            <w14:solidFill>
              <w14:schemeClr w14:val="tx1"/>
            </w14:solidFill>
          </w14:textFill>
        </w:rPr>
      </w:pPr>
    </w:p>
    <w:p>
      <w:pPr>
        <w:pStyle w:val="11"/>
        <w:rPr>
          <w:rFonts w:hint="eastAsia" w:ascii="宋体" w:hAnsi="宋体" w:eastAsia="宋体" w:cs="宋体"/>
          <w:b/>
          <w:bCs/>
          <w:color w:val="000000" w:themeColor="text1"/>
          <w:sz w:val="24"/>
          <w:szCs w:val="24"/>
          <w:highlight w:val="none"/>
          <w14:textFill>
            <w14:solidFill>
              <w14:schemeClr w14:val="tx1"/>
            </w14:solidFill>
          </w14:textFill>
        </w:rPr>
      </w:pPr>
    </w:p>
    <w:p>
      <w:pPr>
        <w:pStyle w:val="11"/>
        <w:rPr>
          <w:rFonts w:hint="eastAsia" w:ascii="宋体" w:hAnsi="宋体" w:eastAsia="宋体" w:cs="宋体"/>
          <w:b/>
          <w:bCs/>
          <w:color w:val="000000" w:themeColor="text1"/>
          <w:sz w:val="24"/>
          <w:szCs w:val="24"/>
          <w:highlight w:val="none"/>
          <w14:textFill>
            <w14:solidFill>
              <w14:schemeClr w14:val="tx1"/>
            </w14:solidFill>
          </w14:textFill>
        </w:rPr>
      </w:pPr>
    </w:p>
    <w:p>
      <w:pPr>
        <w:pageBreakBefore w:val="0"/>
        <w:kinsoku/>
        <w:wordWrap/>
        <w:overflowPunct/>
        <w:topLinePunct w:val="0"/>
        <w:bidi w:val="0"/>
        <w:spacing w:before="240" w:after="60" w:line="360" w:lineRule="auto"/>
        <w:jc w:val="center"/>
        <w:textAlignment w:val="auto"/>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pageBreakBefore w:val="0"/>
        <w:kinsoku/>
        <w:wordWrap/>
        <w:overflowPunct/>
        <w:topLinePunct w:val="0"/>
        <w:bidi w:val="0"/>
        <w:spacing w:before="240" w:after="60" w:line="360" w:lineRule="auto"/>
        <w:jc w:val="center"/>
        <w:textAlignment w:val="auto"/>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pageBreakBefore w:val="0"/>
        <w:kinsoku/>
        <w:wordWrap/>
        <w:overflowPunct/>
        <w:topLinePunct w:val="0"/>
        <w:bidi w:val="0"/>
        <w:spacing w:before="240" w:after="60" w:line="360" w:lineRule="auto"/>
        <w:jc w:val="center"/>
        <w:textAlignment w:val="auto"/>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pageBreakBefore w:val="0"/>
        <w:kinsoku/>
        <w:wordWrap/>
        <w:overflowPunct/>
        <w:topLinePunct w:val="0"/>
        <w:bidi w:val="0"/>
        <w:spacing w:before="240" w:after="60" w:line="360" w:lineRule="auto"/>
        <w:jc w:val="center"/>
        <w:textAlignment w:val="auto"/>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pageBreakBefore w:val="0"/>
        <w:kinsoku/>
        <w:wordWrap/>
        <w:overflowPunct/>
        <w:topLinePunct w:val="0"/>
        <w:bidi w:val="0"/>
        <w:spacing w:before="240" w:after="60" w:line="360" w:lineRule="auto"/>
        <w:jc w:val="center"/>
        <w:textAlignment w:val="auto"/>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pageBreakBefore w:val="0"/>
        <w:kinsoku/>
        <w:wordWrap/>
        <w:overflowPunct/>
        <w:topLinePunct w:val="0"/>
        <w:bidi w:val="0"/>
        <w:spacing w:before="240" w:after="60" w:line="360" w:lineRule="auto"/>
        <w:jc w:val="center"/>
        <w:textAlignment w:val="auto"/>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pageBreakBefore w:val="0"/>
        <w:kinsoku/>
        <w:wordWrap/>
        <w:overflowPunct/>
        <w:topLinePunct w:val="0"/>
        <w:bidi w:val="0"/>
        <w:spacing w:before="240" w:after="60" w:line="360" w:lineRule="auto"/>
        <w:jc w:val="center"/>
        <w:textAlignment w:val="auto"/>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第五章 投标文件格式</w:t>
      </w:r>
      <w:bookmarkEnd w:id="54"/>
      <w:bookmarkEnd w:id="55"/>
      <w:bookmarkEnd w:id="56"/>
      <w:bookmarkEnd w:id="57"/>
      <w:bookmarkEnd w:id="58"/>
      <w:bookmarkEnd w:id="59"/>
      <w:bookmarkEnd w:id="60"/>
      <w:bookmarkEnd w:id="61"/>
      <w:bookmarkEnd w:id="62"/>
      <w:bookmarkEnd w:id="63"/>
      <w:bookmarkEnd w:id="64"/>
    </w:p>
    <w:p>
      <w:pPr>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bl>
      <w:tblPr>
        <w:tblStyle w:val="21"/>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pageBreakBefore w:val="0"/>
              <w:kinsoku/>
              <w:wordWrap/>
              <w:overflowPunct/>
              <w:topLinePunct w:val="0"/>
              <w:bidi w:val="0"/>
              <w:spacing w:before="12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注释：</w:t>
            </w:r>
          </w:p>
          <w:p>
            <w:pPr>
              <w:pageBreakBefore w:val="0"/>
              <w:kinsoku/>
              <w:wordWrap/>
              <w:overflowPunct/>
              <w:topLinePunct w:val="0"/>
              <w:bidi w:val="0"/>
              <w:spacing w:before="120" w:line="360" w:lineRule="auto"/>
              <w:ind w:left="492" w:right="132"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《投标文件格式》是投标人的部分投标文件格式和签订合同时所需文件的格式。投标人应参照这些格式文件制作投标文件。</w:t>
            </w:r>
          </w:p>
          <w:p>
            <w:pPr>
              <w:pageBreakBefore w:val="0"/>
              <w:kinsoku/>
              <w:wordWrap/>
              <w:overflowPunct/>
              <w:topLinePunct w:val="0"/>
              <w:bidi w:val="0"/>
              <w:spacing w:before="12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pPr>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pageBreakBefore w:val="0"/>
        <w:kinsoku/>
        <w:wordWrap/>
        <w:overflowPunct/>
        <w:topLinePunct w:val="0"/>
        <w:bidi w:val="0"/>
        <w:snapToGrid w:val="0"/>
        <w:spacing w:line="360" w:lineRule="auto"/>
        <w:ind w:firstLine="480" w:firstLineChars="20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p>
      <w:pPr>
        <w:pageBreakBefore w:val="0"/>
        <w:kinsoku/>
        <w:wordWrap/>
        <w:overflowPunct/>
        <w:topLinePunct w:val="0"/>
        <w:bidi w:val="0"/>
        <w:snapToGrid w:val="0"/>
        <w:spacing w:line="360" w:lineRule="auto"/>
        <w:ind w:firstLine="480" w:firstLineChars="20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p>
      <w:pPr>
        <w:pageBreakBefore w:val="0"/>
        <w:kinsoku/>
        <w:wordWrap/>
        <w:overflowPunct/>
        <w:topLinePunct w:val="0"/>
        <w:bidi w:val="0"/>
        <w:snapToGrid w:val="0"/>
        <w:spacing w:line="360" w:lineRule="auto"/>
        <w:ind w:firstLine="480" w:firstLineChars="20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p>
      <w:pPr>
        <w:pageBreakBefore w:val="0"/>
        <w:kinsoku/>
        <w:wordWrap/>
        <w:overflowPunct/>
        <w:topLinePunct w:val="0"/>
        <w:bidi w:val="0"/>
        <w:snapToGrid w:val="0"/>
        <w:spacing w:line="360" w:lineRule="auto"/>
        <w:ind w:firstLine="480" w:firstLineChars="20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p>
      <w:pPr>
        <w:pageBreakBefore w:val="0"/>
        <w:kinsoku/>
        <w:wordWrap/>
        <w:overflowPunct/>
        <w:topLinePunct w:val="0"/>
        <w:bidi w:val="0"/>
        <w:snapToGrid w:val="0"/>
        <w:spacing w:line="360" w:lineRule="auto"/>
        <w:ind w:firstLine="480" w:firstLineChars="20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p>
      <w:pPr>
        <w:pageBreakBefore w:val="0"/>
        <w:kinsoku/>
        <w:wordWrap/>
        <w:overflowPunct/>
        <w:topLinePunct w:val="0"/>
        <w:bidi w:val="0"/>
        <w:snapToGrid w:val="0"/>
        <w:spacing w:line="360" w:lineRule="auto"/>
        <w:ind w:firstLine="480" w:firstLineChars="20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p>
      <w:pPr>
        <w:pageBreakBefore w:val="0"/>
        <w:kinsoku/>
        <w:wordWrap/>
        <w:overflowPunct/>
        <w:topLinePunct w:val="0"/>
        <w:bidi w:val="0"/>
        <w:snapToGrid w:val="0"/>
        <w:spacing w:line="360" w:lineRule="auto"/>
        <w:ind w:firstLine="480" w:firstLineChars="20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p>
      <w:pPr>
        <w:pageBreakBefore w:val="0"/>
        <w:kinsoku/>
        <w:wordWrap/>
        <w:overflowPunct/>
        <w:topLinePunct w:val="0"/>
        <w:bidi w:val="0"/>
        <w:snapToGrid w:val="0"/>
        <w:spacing w:line="360" w:lineRule="auto"/>
        <w:ind w:firstLine="480" w:firstLineChars="20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p>
      <w:pPr>
        <w:pageBreakBefore w:val="0"/>
        <w:kinsoku/>
        <w:wordWrap/>
        <w:overflowPunct/>
        <w:topLinePunct w:val="0"/>
        <w:bidi w:val="0"/>
        <w:snapToGrid w:val="0"/>
        <w:spacing w:line="360" w:lineRule="auto"/>
        <w:ind w:firstLine="480" w:firstLineChars="20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p>
      <w:pPr>
        <w:pageBreakBefore w:val="0"/>
        <w:kinsoku/>
        <w:wordWrap/>
        <w:overflowPunct/>
        <w:topLinePunct w:val="0"/>
        <w:bidi w:val="0"/>
        <w:snapToGrid w:val="0"/>
        <w:spacing w:line="360" w:lineRule="auto"/>
        <w:ind w:firstLine="480" w:firstLineChars="20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p>
      <w:pPr>
        <w:pageBreakBefore w:val="0"/>
        <w:kinsoku/>
        <w:wordWrap/>
        <w:overflowPunct/>
        <w:topLinePunct w:val="0"/>
        <w:bidi w:val="0"/>
        <w:snapToGrid w:val="0"/>
        <w:spacing w:line="360" w:lineRule="auto"/>
        <w:ind w:firstLine="480" w:firstLineChars="20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p>
      <w:pPr>
        <w:pageBreakBefore w:val="0"/>
        <w:kinsoku/>
        <w:wordWrap/>
        <w:overflowPunct/>
        <w:topLinePunct w:val="0"/>
        <w:bidi w:val="0"/>
        <w:snapToGrid w:val="0"/>
        <w:spacing w:line="360" w:lineRule="auto"/>
        <w:ind w:firstLine="480" w:firstLineChars="20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1435" w:firstLineChars="598"/>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1435" w:firstLineChars="598"/>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1435" w:firstLineChars="598"/>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1435" w:firstLineChars="598"/>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640" w:firstLineChars="200"/>
        <w:textAlignment w:val="auto"/>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firstLine="1040" w:firstLineChars="200"/>
        <w:jc w:val="center"/>
        <w:textAlignment w:val="auto"/>
        <w:rPr>
          <w:rFonts w:hint="eastAsia" w:ascii="宋体" w:hAnsi="宋体" w:eastAsia="宋体" w:cs="宋体"/>
          <w:b/>
          <w:color w:val="000000" w:themeColor="text1"/>
          <w:sz w:val="52"/>
          <w:szCs w:val="52"/>
          <w:highlight w:val="none"/>
          <w14:textFill>
            <w14:solidFill>
              <w14:schemeClr w14:val="tx1"/>
            </w14:solidFill>
          </w14:textFill>
        </w:rPr>
      </w:pPr>
    </w:p>
    <w:p>
      <w:pPr>
        <w:pageBreakBefore w:val="0"/>
        <w:kinsoku/>
        <w:wordWrap/>
        <w:overflowPunct/>
        <w:topLinePunct w:val="0"/>
        <w:bidi w:val="0"/>
        <w:spacing w:line="360" w:lineRule="auto"/>
        <w:ind w:firstLine="1040" w:firstLineChars="200"/>
        <w:jc w:val="center"/>
        <w:textAlignment w:val="auto"/>
        <w:rPr>
          <w:rFonts w:hint="eastAsia" w:ascii="宋体" w:hAnsi="宋体" w:eastAsia="宋体" w:cs="宋体"/>
          <w:b/>
          <w:color w:val="000000" w:themeColor="text1"/>
          <w:sz w:val="52"/>
          <w:szCs w:val="52"/>
          <w:highlight w:val="none"/>
          <w14:textFill>
            <w14:solidFill>
              <w14:schemeClr w14:val="tx1"/>
            </w14:solidFill>
          </w14:textFill>
        </w:rPr>
      </w:pPr>
    </w:p>
    <w:p>
      <w:pPr>
        <w:pageBreakBefore w:val="0"/>
        <w:kinsoku/>
        <w:wordWrap/>
        <w:overflowPunct/>
        <w:topLinePunct w:val="0"/>
        <w:bidi w:val="0"/>
        <w:spacing w:line="360" w:lineRule="auto"/>
        <w:ind w:firstLine="1040" w:firstLineChars="200"/>
        <w:jc w:val="center"/>
        <w:textAlignment w:val="auto"/>
        <w:rPr>
          <w:rFonts w:hint="eastAsia" w:ascii="宋体" w:hAnsi="宋体" w:eastAsia="宋体" w:cs="宋体"/>
          <w:b/>
          <w:color w:val="000000" w:themeColor="text1"/>
          <w:sz w:val="52"/>
          <w:szCs w:val="52"/>
          <w:highlight w:val="none"/>
          <w14:textFill>
            <w14:solidFill>
              <w14:schemeClr w14:val="tx1"/>
            </w14:solidFill>
          </w14:textFill>
        </w:rPr>
      </w:pPr>
    </w:p>
    <w:p>
      <w:pPr>
        <w:pageBreakBefore w:val="0"/>
        <w:kinsoku/>
        <w:wordWrap/>
        <w:overflowPunct/>
        <w:topLinePunct w:val="0"/>
        <w:bidi w:val="0"/>
        <w:spacing w:line="360" w:lineRule="auto"/>
        <w:ind w:firstLine="1040" w:firstLineChars="200"/>
        <w:jc w:val="center"/>
        <w:textAlignment w:val="auto"/>
        <w:rPr>
          <w:rFonts w:hint="eastAsia" w:ascii="宋体" w:hAnsi="宋体" w:eastAsia="宋体" w:cs="宋体"/>
          <w:b/>
          <w:color w:val="000000" w:themeColor="text1"/>
          <w:sz w:val="52"/>
          <w:szCs w:val="52"/>
          <w:highlight w:val="none"/>
          <w14:textFill>
            <w14:solidFill>
              <w14:schemeClr w14:val="tx1"/>
            </w14:solidFill>
          </w14:textFill>
        </w:rPr>
      </w:pPr>
    </w:p>
    <w:p>
      <w:pPr>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投  标  文  件</w:t>
      </w:r>
    </w:p>
    <w:p>
      <w:pPr>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firstLine="1580" w:firstLineChars="494"/>
        <w:textAlignment w:val="auto"/>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报价部分</w:t>
      </w:r>
    </w:p>
    <w:p>
      <w:pPr>
        <w:pageBreakBefore w:val="0"/>
        <w:kinsoku/>
        <w:wordWrap/>
        <w:overflowPunct/>
        <w:topLinePunct w:val="0"/>
        <w:bidi w:val="0"/>
        <w:spacing w:line="360" w:lineRule="auto"/>
        <w:ind w:firstLine="640" w:firstLineChars="200"/>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firstLine="640" w:firstLineChars="200"/>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firstLine="1760" w:firstLineChars="550"/>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 目 名 称：</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p>
    <w:p>
      <w:pPr>
        <w:pageBreakBefore w:val="0"/>
        <w:kinsoku/>
        <w:wordWrap/>
        <w:overflowPunct/>
        <w:topLinePunct w:val="0"/>
        <w:bidi w:val="0"/>
        <w:spacing w:line="360" w:lineRule="auto"/>
        <w:ind w:firstLine="1760" w:firstLineChars="550"/>
        <w:textAlignment w:val="auto"/>
        <w:rPr>
          <w:rFonts w:hint="eastAsia" w:ascii="宋体" w:hAnsi="宋体" w:eastAsia="宋体" w:cs="宋体"/>
          <w:b/>
          <w:color w:val="000000" w:themeColor="text1"/>
          <w:sz w:val="32"/>
          <w:szCs w:val="32"/>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招 标 编 号：</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p>
    <w:p>
      <w:pPr>
        <w:pageBreakBefore w:val="0"/>
        <w:kinsoku/>
        <w:wordWrap/>
        <w:overflowPunct/>
        <w:topLinePunct w:val="0"/>
        <w:bidi w:val="0"/>
        <w:spacing w:line="360" w:lineRule="auto"/>
        <w:ind w:firstLine="640" w:firstLineChars="200"/>
        <w:textAlignment w:val="auto"/>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firstLine="640" w:firstLineChars="200"/>
        <w:textAlignment w:val="auto"/>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firstLine="640" w:firstLineChars="200"/>
        <w:textAlignment w:val="auto"/>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firstLine="640" w:firstLineChars="200"/>
        <w:textAlignment w:val="auto"/>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firstLine="640" w:firstLineChars="200"/>
        <w:textAlignment w:val="auto"/>
        <w:rPr>
          <w:rFonts w:hint="eastAsia" w:ascii="宋体" w:hAnsi="宋体" w:eastAsia="宋体" w:cs="宋体"/>
          <w:b/>
          <w:color w:val="000000" w:themeColor="text1"/>
          <w:sz w:val="32"/>
          <w:szCs w:val="32"/>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投标人名称 ：</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p>
    <w:p>
      <w:pPr>
        <w:pageBreakBefore w:val="0"/>
        <w:kinsoku/>
        <w:wordWrap/>
        <w:overflowPunct/>
        <w:topLinePunct w:val="0"/>
        <w:bidi w:val="0"/>
        <w:spacing w:line="360" w:lineRule="auto"/>
        <w:ind w:firstLine="640" w:firstLineChars="200"/>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日      期 ：</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napToGrid w:val="0"/>
        <w:spacing w:line="360" w:lineRule="auto"/>
        <w:ind w:firstLine="357" w:firstLineChars="149"/>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14:textFill>
            <w14:solidFill>
              <w14:schemeClr w14:val="tx1"/>
            </w14:solidFill>
          </w14:textFill>
        </w:rPr>
        <w:t>报价部分目录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投标文件报价部分：</w:t>
      </w:r>
    </w:p>
    <w:p>
      <w:pPr>
        <w:pageBreakBefore w:val="0"/>
        <w:numPr>
          <w:ilvl w:val="0"/>
          <w:numId w:val="5"/>
        </w:numPr>
        <w:kinsoku/>
        <w:wordWrap/>
        <w:overflowPunct/>
        <w:topLinePunct w:val="0"/>
        <w:bidi w:val="0"/>
        <w:spacing w:line="360" w:lineRule="auto"/>
        <w:ind w:left="0" w:leftChars="0"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一览表</w:t>
      </w:r>
    </w:p>
    <w:p>
      <w:pPr>
        <w:pStyle w:val="4"/>
        <w:numPr>
          <w:ilvl w:val="0"/>
          <w:numId w:val="0"/>
        </w:numPr>
        <w:ind w:firstLine="960" w:firstLineChars="400"/>
        <w:rPr>
          <w:rFonts w:hint="eastAsia" w:ascii="宋体" w:hAnsi="宋体" w:eastAsia="宋体" w:cs="宋体"/>
          <w:b w:val="0"/>
          <w:bCs/>
        </w:rPr>
      </w:pPr>
      <w:r>
        <w:rPr>
          <w:rFonts w:hint="eastAsia" w:ascii="宋体" w:hAnsi="宋体" w:eastAsia="宋体" w:cs="宋体"/>
          <w:b w:val="0"/>
          <w:bCs/>
          <w:lang w:val="en-US" w:eastAsia="zh-CN"/>
        </w:rPr>
        <w:t>（2）分项报价表</w:t>
      </w:r>
    </w:p>
    <w:p>
      <w:pPr>
        <w:jc w:val="center"/>
        <w:rPr>
          <w:rFonts w:ascii="宋体" w:hAnsi="宋体" w:cs="宋体"/>
          <w:b/>
          <w:bCs/>
          <w:sz w:val="36"/>
          <w:szCs w:val="21"/>
        </w:rPr>
      </w:pPr>
      <w:r>
        <w:rPr>
          <w:rFonts w:hint="eastAsia" w:ascii="宋体" w:hAnsi="宋体" w:eastAsia="宋体" w:cs="宋体"/>
          <w:b/>
          <w:color w:val="000000" w:themeColor="text1"/>
          <w:sz w:val="24"/>
          <w:szCs w:val="24"/>
          <w:highlight w:val="none"/>
          <w14:textFill>
            <w14:solidFill>
              <w14:schemeClr w14:val="tx1"/>
            </w14:solidFill>
          </w14:textFill>
        </w:rPr>
        <w:br w:type="page"/>
      </w:r>
      <w:r>
        <w:rPr>
          <w:rFonts w:hint="eastAsia" w:ascii="宋体" w:hAnsi="宋体" w:cs="宋体"/>
          <w:b/>
          <w:bCs/>
          <w:sz w:val="36"/>
          <w:szCs w:val="21"/>
        </w:rPr>
        <w:t>一、投标一览表</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招标编号∶   品目号：  货币单位：元</w:t>
      </w:r>
    </w:p>
    <w:p>
      <w:pPr>
        <w:spacing w:line="360" w:lineRule="auto"/>
        <w:rPr>
          <w:rFonts w:ascii="宋体" w:hAnsi="宋体"/>
          <w:sz w:val="24"/>
        </w:rPr>
      </w:pPr>
      <w:r>
        <w:rPr>
          <w:rFonts w:hint="eastAsia" w:ascii="宋体" w:hAnsi="宋体"/>
          <w:sz w:val="24"/>
        </w:rPr>
        <w:t xml:space="preserve"> </w:t>
      </w:r>
    </w:p>
    <w:tbl>
      <w:tblPr>
        <w:tblStyle w:val="21"/>
        <w:tblW w:w="8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8081" w:type="dxa"/>
          </w:tcPr>
          <w:p>
            <w:pPr>
              <w:spacing w:line="360" w:lineRule="auto"/>
              <w:ind w:firstLine="480" w:firstLineChars="200"/>
              <w:rPr>
                <w:rFonts w:ascii="宋体" w:hAnsi="宋体"/>
                <w:b/>
                <w:sz w:val="24"/>
              </w:rPr>
            </w:pPr>
            <w:r>
              <w:rPr>
                <w:rFonts w:hint="eastAsia" w:ascii="宋体" w:hAnsi="宋体"/>
                <w:b/>
                <w:sz w:val="24"/>
              </w:rPr>
              <w:t>投报总价</w:t>
            </w:r>
          </w:p>
          <w:p>
            <w:pPr>
              <w:spacing w:line="360" w:lineRule="auto"/>
              <w:ind w:firstLine="480" w:firstLineChars="200"/>
              <w:rPr>
                <w:rFonts w:ascii="宋体" w:hAnsi="宋体"/>
                <w:b/>
                <w:sz w:val="24"/>
              </w:rPr>
            </w:pPr>
          </w:p>
          <w:p>
            <w:pPr>
              <w:spacing w:line="360" w:lineRule="auto"/>
              <w:ind w:firstLine="480" w:firstLineChars="200"/>
              <w:rPr>
                <w:rFonts w:ascii="宋体" w:hAnsi="宋体"/>
                <w:b/>
                <w:sz w:val="24"/>
              </w:rPr>
            </w:pPr>
          </w:p>
          <w:p>
            <w:pPr>
              <w:spacing w:line="360" w:lineRule="auto"/>
              <w:rPr>
                <w:rFonts w:ascii="宋体" w:hAnsi="宋体"/>
                <w:sz w:val="24"/>
              </w:rPr>
            </w:pPr>
            <w:r>
              <w:rPr>
                <w:rFonts w:hint="eastAsia" w:ascii="宋体" w:hAnsi="宋体"/>
                <w:sz w:val="24"/>
              </w:rPr>
              <w:t>大写：</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小写：</w:t>
            </w:r>
            <w:r>
              <w:rPr>
                <w:rFonts w:hint="eastAsia" w:ascii="宋体" w:hAnsi="宋体"/>
                <w:sz w:val="24"/>
                <w:u w:val="single"/>
              </w:rPr>
              <w:t xml:space="preserve">                                          </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widowControl/>
        <w:spacing w:before="100" w:beforeAutospacing="1" w:after="100" w:afterAutospacing="1"/>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投标人：（全称并加盖单位公章）</w:t>
      </w:r>
    </w:p>
    <w:p>
      <w:pPr>
        <w:widowControl/>
        <w:spacing w:before="100" w:beforeAutospacing="1" w:after="100" w:afterAutospacing="1"/>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投标人代表签字：</w:t>
      </w:r>
    </w:p>
    <w:p>
      <w:pPr>
        <w:widowControl/>
        <w:spacing w:before="100" w:beforeAutospacing="1" w:after="100" w:afterAutospacing="1"/>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日期：年月日</w:t>
      </w:r>
    </w:p>
    <w:p>
      <w:pPr>
        <w:pStyle w:val="8"/>
        <w:spacing w:line="360" w:lineRule="auto"/>
        <w:sectPr>
          <w:endnotePr>
            <w:numFmt w:val="decimal"/>
          </w:endnotePr>
          <w:pgSz w:w="11907" w:h="16840"/>
          <w:pgMar w:top="1134" w:right="1134" w:bottom="1134" w:left="1701" w:header="851" w:footer="992" w:gutter="0"/>
          <w:pgNumType w:fmt="decimal"/>
          <w:cols w:space="720" w:num="1"/>
          <w:docGrid w:type="linesAndChars" w:linePitch="323" w:charSpace="0"/>
        </w:sectPr>
      </w:pPr>
    </w:p>
    <w:p>
      <w:pPr>
        <w:spacing w:line="360" w:lineRule="auto"/>
        <w:jc w:val="center"/>
        <w:outlineLvl w:val="0"/>
        <w:rPr>
          <w:rFonts w:ascii="宋体" w:hAnsi="宋体"/>
          <w:sz w:val="36"/>
        </w:rPr>
      </w:pPr>
      <w:r>
        <w:rPr>
          <w:rFonts w:hint="eastAsia" w:ascii="宋体" w:hAnsi="宋体"/>
          <w:b/>
          <w:sz w:val="36"/>
        </w:rPr>
        <w:t>二、分项报价表</w:t>
      </w:r>
    </w:p>
    <w:p>
      <w:pPr>
        <w:spacing w:line="360" w:lineRule="auto"/>
        <w:ind w:firstLine="420" w:firstLineChars="200"/>
        <w:rPr>
          <w:rFonts w:ascii="宋体" w:hAnsi="宋体"/>
        </w:rPr>
      </w:pPr>
    </w:p>
    <w:p>
      <w:pPr>
        <w:widowControl/>
        <w:shd w:val="clear" w:color="auto" w:fill="FFFFFF"/>
        <w:spacing w:before="75" w:after="75" w:line="360" w:lineRule="auto"/>
        <w:jc w:val="left"/>
        <w:rPr>
          <w:rFonts w:asciiTheme="minorEastAsia" w:hAnsiTheme="minorEastAsia" w:eastAsiaTheme="minorEastAsia" w:cstheme="minorEastAsia"/>
          <w:color w:val="393939"/>
          <w:kern w:val="0"/>
          <w:sz w:val="20"/>
          <w:szCs w:val="20"/>
        </w:rPr>
      </w:pPr>
      <w:r>
        <w:rPr>
          <w:rFonts w:hint="eastAsia" w:asciiTheme="minorEastAsia" w:hAnsiTheme="minorEastAsia" w:eastAsiaTheme="minorEastAsia" w:cstheme="minorEastAsia"/>
          <w:color w:val="393939"/>
          <w:kern w:val="0"/>
          <w:sz w:val="24"/>
          <w:szCs w:val="22"/>
        </w:rPr>
        <w:t>项目编号：</w:t>
      </w:r>
      <w:r>
        <w:rPr>
          <w:rFonts w:hint="eastAsia" w:asciiTheme="minorEastAsia" w:hAnsiTheme="minorEastAsia" w:eastAsiaTheme="minorEastAsia" w:cstheme="minorEastAsia"/>
          <w:color w:val="393939"/>
          <w:kern w:val="0"/>
          <w:sz w:val="24"/>
          <w:szCs w:val="22"/>
          <w:lang w:val="en-US" w:eastAsia="zh-CN"/>
        </w:rPr>
        <w:t xml:space="preserve">                 </w:t>
      </w:r>
      <w:r>
        <w:rPr>
          <w:rFonts w:hint="eastAsia" w:asciiTheme="minorEastAsia" w:hAnsiTheme="minorEastAsia" w:eastAsiaTheme="minorEastAsia" w:cstheme="minorEastAsia"/>
          <w:color w:val="393939"/>
          <w:kern w:val="0"/>
          <w:sz w:val="24"/>
          <w:szCs w:val="22"/>
        </w:rPr>
        <w:t>合同包</w:t>
      </w:r>
      <w:r>
        <w:rPr>
          <w:rFonts w:hint="eastAsia" w:asciiTheme="minorEastAsia" w:hAnsiTheme="minorEastAsia" w:eastAsiaTheme="minorEastAsia" w:cstheme="minorEastAsia"/>
          <w:color w:val="393939"/>
          <w:kern w:val="0"/>
          <w:sz w:val="24"/>
          <w:szCs w:val="22"/>
          <w:lang w:eastAsia="zh-CN"/>
        </w:rPr>
        <w:t>号：</w:t>
      </w:r>
      <w:r>
        <w:rPr>
          <w:rFonts w:hint="eastAsia" w:asciiTheme="minorEastAsia" w:hAnsiTheme="minorEastAsia" w:eastAsiaTheme="minorEastAsia" w:cstheme="minorEastAsia"/>
          <w:color w:val="393939"/>
          <w:kern w:val="0"/>
          <w:sz w:val="24"/>
          <w:szCs w:val="22"/>
          <w:lang w:val="en-US" w:eastAsia="zh-CN"/>
        </w:rPr>
        <w:t xml:space="preserve">                  </w:t>
      </w:r>
      <w:r>
        <w:rPr>
          <w:rFonts w:hint="eastAsia" w:asciiTheme="minorEastAsia" w:hAnsiTheme="minorEastAsia" w:eastAsiaTheme="minorEastAsia" w:cstheme="minorEastAsia"/>
          <w:color w:val="393939"/>
          <w:kern w:val="0"/>
          <w:sz w:val="24"/>
          <w:szCs w:val="22"/>
        </w:rPr>
        <w:t>货币单位：人民币元</w:t>
      </w:r>
    </w:p>
    <w:tbl>
      <w:tblPr>
        <w:tblStyle w:val="21"/>
        <w:tblW w:w="0" w:type="auto"/>
        <w:tblInd w:w="1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64"/>
        <w:gridCol w:w="1330"/>
        <w:gridCol w:w="1234"/>
        <w:gridCol w:w="912"/>
        <w:gridCol w:w="1367"/>
        <w:gridCol w:w="912"/>
        <w:gridCol w:w="1367"/>
        <w:gridCol w:w="9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975" w:hRule="atLeast"/>
        </w:trPr>
        <w:tc>
          <w:tcPr>
            <w:tcW w:w="1064" w:type="dxa"/>
            <w:tcBorders>
              <w:top w:val="outset" w:color="auto" w:sz="6"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vAlign w:val="center"/>
          </w:tcPr>
          <w:p>
            <w:pPr>
              <w:widowControl/>
              <w:spacing w:after="150" w:line="360" w:lineRule="auto"/>
              <w:jc w:val="center"/>
              <w:rPr>
                <w:rFonts w:hint="eastAsia" w:asciiTheme="minorEastAsia" w:hAnsiTheme="minorEastAsia" w:eastAsiaTheme="minorEastAsia" w:cstheme="minorEastAsia"/>
                <w:color w:val="393939"/>
                <w:kern w:val="0"/>
                <w:sz w:val="20"/>
                <w:szCs w:val="20"/>
                <w:lang w:eastAsia="zh-CN"/>
              </w:rPr>
            </w:pPr>
            <w:r>
              <w:rPr>
                <w:rFonts w:hint="eastAsia" w:asciiTheme="minorEastAsia" w:hAnsiTheme="minorEastAsia" w:eastAsiaTheme="minorEastAsia" w:cstheme="minorEastAsia"/>
                <w:color w:val="393939"/>
                <w:kern w:val="0"/>
                <w:sz w:val="24"/>
                <w:szCs w:val="22"/>
                <w:lang w:eastAsia="zh-CN"/>
              </w:rPr>
              <w:t>序号</w:t>
            </w:r>
          </w:p>
        </w:tc>
        <w:tc>
          <w:tcPr>
            <w:tcW w:w="1330" w:type="dxa"/>
            <w:tcBorders>
              <w:top w:val="outset" w:color="auto" w:sz="6"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vAlign w:val="center"/>
          </w:tcPr>
          <w:p>
            <w:pPr>
              <w:widowControl/>
              <w:spacing w:after="150" w:line="360" w:lineRule="auto"/>
              <w:jc w:val="center"/>
              <w:rPr>
                <w:rFonts w:asciiTheme="minorEastAsia" w:hAnsiTheme="minorEastAsia" w:eastAsiaTheme="minorEastAsia" w:cstheme="minorEastAsia"/>
                <w:color w:val="393939"/>
                <w:kern w:val="0"/>
                <w:sz w:val="20"/>
                <w:szCs w:val="20"/>
              </w:rPr>
            </w:pPr>
            <w:r>
              <w:rPr>
                <w:rFonts w:hint="eastAsia" w:asciiTheme="minorEastAsia" w:hAnsiTheme="minorEastAsia" w:eastAsiaTheme="minorEastAsia" w:cstheme="minorEastAsia"/>
                <w:color w:val="393939"/>
                <w:kern w:val="0"/>
                <w:sz w:val="24"/>
                <w:szCs w:val="22"/>
              </w:rPr>
              <w:t>名称</w:t>
            </w:r>
          </w:p>
        </w:tc>
        <w:tc>
          <w:tcPr>
            <w:tcW w:w="1234" w:type="dxa"/>
            <w:tcBorders>
              <w:top w:val="outset" w:color="auto" w:sz="6"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vAlign w:val="center"/>
          </w:tcPr>
          <w:p>
            <w:pPr>
              <w:widowControl/>
              <w:spacing w:after="150" w:line="360" w:lineRule="auto"/>
              <w:jc w:val="center"/>
              <w:rPr>
                <w:rFonts w:asciiTheme="minorEastAsia" w:hAnsiTheme="minorEastAsia" w:eastAsiaTheme="minorEastAsia" w:cstheme="minorEastAsia"/>
                <w:color w:val="393939"/>
                <w:kern w:val="0"/>
                <w:sz w:val="20"/>
                <w:szCs w:val="20"/>
              </w:rPr>
            </w:pPr>
            <w:r>
              <w:rPr>
                <w:rFonts w:hint="eastAsia" w:asciiTheme="minorEastAsia" w:hAnsiTheme="minorEastAsia" w:eastAsiaTheme="minorEastAsia" w:cstheme="minorEastAsia"/>
                <w:color w:val="393939"/>
                <w:kern w:val="0"/>
                <w:sz w:val="24"/>
                <w:szCs w:val="22"/>
              </w:rPr>
              <w:t>品牌</w:t>
            </w:r>
          </w:p>
        </w:tc>
        <w:tc>
          <w:tcPr>
            <w:tcW w:w="912" w:type="dxa"/>
            <w:tcBorders>
              <w:top w:val="outset" w:color="auto" w:sz="6"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vAlign w:val="center"/>
          </w:tcPr>
          <w:p>
            <w:pPr>
              <w:widowControl/>
              <w:spacing w:after="150" w:line="360" w:lineRule="auto"/>
              <w:jc w:val="center"/>
              <w:rPr>
                <w:rFonts w:asciiTheme="minorEastAsia" w:hAnsiTheme="minorEastAsia" w:eastAsiaTheme="minorEastAsia" w:cstheme="minorEastAsia"/>
                <w:color w:val="393939"/>
                <w:kern w:val="0"/>
                <w:sz w:val="20"/>
                <w:szCs w:val="20"/>
              </w:rPr>
            </w:pPr>
            <w:r>
              <w:rPr>
                <w:rFonts w:hint="eastAsia" w:asciiTheme="minorEastAsia" w:hAnsiTheme="minorEastAsia" w:eastAsiaTheme="minorEastAsia" w:cstheme="minorEastAsia"/>
                <w:color w:val="393939"/>
                <w:kern w:val="0"/>
                <w:sz w:val="24"/>
                <w:szCs w:val="22"/>
              </w:rPr>
              <w:t>生产</w:t>
            </w:r>
          </w:p>
          <w:p>
            <w:pPr>
              <w:widowControl/>
              <w:spacing w:after="150" w:line="360" w:lineRule="auto"/>
              <w:jc w:val="center"/>
              <w:rPr>
                <w:rFonts w:asciiTheme="minorEastAsia" w:hAnsiTheme="minorEastAsia" w:eastAsiaTheme="minorEastAsia" w:cstheme="minorEastAsia"/>
                <w:color w:val="393939"/>
                <w:kern w:val="0"/>
                <w:sz w:val="20"/>
                <w:szCs w:val="20"/>
              </w:rPr>
            </w:pPr>
            <w:r>
              <w:rPr>
                <w:rFonts w:hint="eastAsia" w:asciiTheme="minorEastAsia" w:hAnsiTheme="minorEastAsia" w:eastAsiaTheme="minorEastAsia" w:cstheme="minorEastAsia"/>
                <w:color w:val="393939"/>
                <w:kern w:val="0"/>
                <w:sz w:val="24"/>
                <w:szCs w:val="22"/>
              </w:rPr>
              <w:t>产地</w:t>
            </w:r>
          </w:p>
        </w:tc>
        <w:tc>
          <w:tcPr>
            <w:tcW w:w="1367" w:type="dxa"/>
            <w:tcBorders>
              <w:top w:val="outset" w:color="auto" w:sz="6"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vAlign w:val="center"/>
          </w:tcPr>
          <w:p>
            <w:pPr>
              <w:widowControl/>
              <w:spacing w:after="150" w:line="360" w:lineRule="auto"/>
              <w:jc w:val="center"/>
              <w:rPr>
                <w:rFonts w:asciiTheme="minorEastAsia" w:hAnsiTheme="minorEastAsia" w:eastAsiaTheme="minorEastAsia" w:cstheme="minorEastAsia"/>
                <w:color w:val="393939"/>
                <w:kern w:val="0"/>
                <w:sz w:val="24"/>
                <w:szCs w:val="22"/>
              </w:rPr>
            </w:pPr>
          </w:p>
          <w:p>
            <w:pPr>
              <w:widowControl/>
              <w:spacing w:after="150" w:line="360" w:lineRule="auto"/>
              <w:jc w:val="center"/>
              <w:rPr>
                <w:rFonts w:asciiTheme="minorEastAsia" w:hAnsiTheme="minorEastAsia" w:eastAsiaTheme="minorEastAsia" w:cstheme="minorEastAsia"/>
                <w:color w:val="393939"/>
                <w:kern w:val="0"/>
                <w:sz w:val="20"/>
                <w:szCs w:val="20"/>
              </w:rPr>
            </w:pPr>
            <w:r>
              <w:rPr>
                <w:rFonts w:hint="eastAsia" w:asciiTheme="minorEastAsia" w:hAnsiTheme="minorEastAsia" w:eastAsiaTheme="minorEastAsia" w:cstheme="minorEastAsia"/>
                <w:color w:val="393939"/>
                <w:kern w:val="0"/>
                <w:sz w:val="24"/>
                <w:szCs w:val="22"/>
              </w:rPr>
              <w:t>单价</w:t>
            </w:r>
          </w:p>
          <w:p>
            <w:pPr>
              <w:widowControl/>
              <w:spacing w:after="150" w:line="360" w:lineRule="auto"/>
              <w:jc w:val="center"/>
              <w:rPr>
                <w:rFonts w:asciiTheme="minorEastAsia" w:hAnsiTheme="minorEastAsia" w:eastAsiaTheme="minorEastAsia" w:cstheme="minorEastAsia"/>
                <w:color w:val="393939"/>
                <w:kern w:val="0"/>
                <w:sz w:val="20"/>
                <w:szCs w:val="20"/>
              </w:rPr>
            </w:pPr>
          </w:p>
        </w:tc>
        <w:tc>
          <w:tcPr>
            <w:tcW w:w="912" w:type="dxa"/>
            <w:tcBorders>
              <w:top w:val="outset" w:color="auto" w:sz="6"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vAlign w:val="center"/>
          </w:tcPr>
          <w:p>
            <w:pPr>
              <w:widowControl/>
              <w:spacing w:after="150" w:line="360" w:lineRule="auto"/>
              <w:jc w:val="center"/>
              <w:rPr>
                <w:rFonts w:asciiTheme="minorEastAsia" w:hAnsiTheme="minorEastAsia" w:eastAsiaTheme="minorEastAsia" w:cstheme="minorEastAsia"/>
                <w:color w:val="393939"/>
                <w:kern w:val="0"/>
                <w:sz w:val="20"/>
                <w:szCs w:val="20"/>
              </w:rPr>
            </w:pPr>
            <w:r>
              <w:rPr>
                <w:rFonts w:hint="eastAsia" w:asciiTheme="minorEastAsia" w:hAnsiTheme="minorEastAsia" w:eastAsiaTheme="minorEastAsia" w:cstheme="minorEastAsia"/>
                <w:color w:val="393939"/>
                <w:kern w:val="0"/>
                <w:sz w:val="24"/>
                <w:szCs w:val="22"/>
              </w:rPr>
              <w:t>数量</w:t>
            </w:r>
          </w:p>
        </w:tc>
        <w:tc>
          <w:tcPr>
            <w:tcW w:w="1367" w:type="dxa"/>
            <w:tcBorders>
              <w:top w:val="outset" w:color="auto" w:sz="6"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vAlign w:val="center"/>
          </w:tcPr>
          <w:p>
            <w:pPr>
              <w:widowControl/>
              <w:spacing w:after="150" w:line="360" w:lineRule="auto"/>
              <w:jc w:val="center"/>
              <w:rPr>
                <w:rFonts w:asciiTheme="minorEastAsia" w:hAnsiTheme="minorEastAsia" w:eastAsiaTheme="minorEastAsia" w:cstheme="minorEastAsia"/>
                <w:color w:val="393939"/>
                <w:kern w:val="0"/>
                <w:sz w:val="24"/>
                <w:szCs w:val="22"/>
              </w:rPr>
            </w:pPr>
          </w:p>
          <w:p>
            <w:pPr>
              <w:widowControl/>
              <w:spacing w:after="150" w:line="360" w:lineRule="auto"/>
              <w:jc w:val="center"/>
              <w:rPr>
                <w:rFonts w:asciiTheme="minorEastAsia" w:hAnsiTheme="minorEastAsia" w:eastAsiaTheme="minorEastAsia" w:cstheme="minorEastAsia"/>
                <w:color w:val="393939"/>
                <w:kern w:val="0"/>
                <w:sz w:val="20"/>
                <w:szCs w:val="20"/>
              </w:rPr>
            </w:pPr>
            <w:r>
              <w:rPr>
                <w:rFonts w:hint="eastAsia" w:asciiTheme="minorEastAsia" w:hAnsiTheme="minorEastAsia" w:eastAsiaTheme="minorEastAsia" w:cstheme="minorEastAsia"/>
                <w:color w:val="393939"/>
                <w:kern w:val="0"/>
                <w:sz w:val="24"/>
                <w:szCs w:val="22"/>
              </w:rPr>
              <w:t>总价</w:t>
            </w:r>
          </w:p>
          <w:p>
            <w:pPr>
              <w:widowControl/>
              <w:spacing w:after="150" w:line="360" w:lineRule="auto"/>
              <w:jc w:val="center"/>
              <w:rPr>
                <w:rFonts w:asciiTheme="minorEastAsia" w:hAnsiTheme="minorEastAsia" w:eastAsiaTheme="minorEastAsia" w:cstheme="minorEastAsia"/>
                <w:color w:val="393939"/>
                <w:kern w:val="0"/>
                <w:sz w:val="20"/>
                <w:szCs w:val="20"/>
              </w:rPr>
            </w:pPr>
          </w:p>
        </w:tc>
        <w:tc>
          <w:tcPr>
            <w:tcW w:w="931" w:type="dxa"/>
            <w:tcBorders>
              <w:top w:val="outset" w:color="auto" w:sz="6"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vAlign w:val="center"/>
          </w:tcPr>
          <w:p>
            <w:pPr>
              <w:widowControl/>
              <w:spacing w:after="150" w:line="360" w:lineRule="auto"/>
              <w:jc w:val="center"/>
              <w:rPr>
                <w:rFonts w:asciiTheme="minorEastAsia" w:hAnsiTheme="minorEastAsia" w:eastAsiaTheme="minorEastAsia" w:cstheme="minorEastAsia"/>
                <w:color w:val="393939"/>
                <w:kern w:val="0"/>
                <w:sz w:val="20"/>
                <w:szCs w:val="20"/>
              </w:rPr>
            </w:pPr>
            <w:r>
              <w:rPr>
                <w:rFonts w:hint="eastAsia" w:asciiTheme="minorEastAsia" w:hAnsiTheme="minorEastAsia" w:eastAsiaTheme="minorEastAsia" w:cstheme="minorEastAsia"/>
                <w:color w:val="393939"/>
                <w:kern w:val="0"/>
                <w:sz w:val="24"/>
                <w:szCs w:val="22"/>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4" w:hRule="atLeast"/>
        </w:trPr>
        <w:tc>
          <w:tcPr>
            <w:tcW w:w="1064"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vAlign w:val="center"/>
          </w:tcPr>
          <w:p>
            <w:pPr>
              <w:widowControl/>
              <w:spacing w:after="150" w:line="360" w:lineRule="auto"/>
              <w:jc w:val="left"/>
              <w:rPr>
                <w:rFonts w:asciiTheme="minorEastAsia" w:hAnsiTheme="minorEastAsia" w:eastAsiaTheme="minorEastAsia" w:cstheme="minorEastAsia"/>
                <w:color w:val="393939"/>
                <w:kern w:val="0"/>
                <w:sz w:val="20"/>
                <w:szCs w:val="20"/>
              </w:rPr>
            </w:pPr>
          </w:p>
        </w:tc>
        <w:tc>
          <w:tcPr>
            <w:tcW w:w="1330"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Theme="minorEastAsia" w:hAnsiTheme="minorEastAsia" w:eastAsiaTheme="minorEastAsia" w:cstheme="minorEastAsia"/>
                <w:color w:val="393939"/>
                <w:kern w:val="0"/>
                <w:sz w:val="20"/>
                <w:szCs w:val="20"/>
              </w:rPr>
            </w:pPr>
          </w:p>
        </w:tc>
        <w:tc>
          <w:tcPr>
            <w:tcW w:w="1234"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vAlign w:val="center"/>
          </w:tcPr>
          <w:p>
            <w:pPr>
              <w:widowControl/>
              <w:spacing w:line="360" w:lineRule="auto"/>
              <w:jc w:val="left"/>
              <w:rPr>
                <w:rFonts w:asciiTheme="minorEastAsia" w:hAnsiTheme="minorEastAsia" w:eastAsiaTheme="minorEastAsia" w:cstheme="minorEastAsia"/>
                <w:color w:val="393939"/>
                <w:kern w:val="0"/>
                <w:sz w:val="20"/>
                <w:szCs w:val="20"/>
              </w:rPr>
            </w:pPr>
          </w:p>
        </w:tc>
        <w:tc>
          <w:tcPr>
            <w:tcW w:w="912"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Theme="minorEastAsia" w:hAnsiTheme="minorEastAsia" w:eastAsiaTheme="minorEastAsia" w:cstheme="minorEastAsia"/>
                <w:color w:val="393939"/>
                <w:kern w:val="0"/>
                <w:sz w:val="20"/>
                <w:szCs w:val="20"/>
              </w:rPr>
            </w:pPr>
          </w:p>
        </w:tc>
        <w:tc>
          <w:tcPr>
            <w:tcW w:w="1367"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Theme="minorEastAsia" w:hAnsiTheme="minorEastAsia" w:eastAsiaTheme="minorEastAsia" w:cstheme="minorEastAsia"/>
                <w:color w:val="393939"/>
                <w:kern w:val="0"/>
                <w:sz w:val="20"/>
                <w:szCs w:val="20"/>
              </w:rPr>
            </w:pPr>
          </w:p>
        </w:tc>
        <w:tc>
          <w:tcPr>
            <w:tcW w:w="912"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Theme="minorEastAsia" w:hAnsiTheme="minorEastAsia" w:eastAsiaTheme="minorEastAsia" w:cstheme="minorEastAsia"/>
                <w:color w:val="393939"/>
                <w:kern w:val="0"/>
                <w:sz w:val="20"/>
                <w:szCs w:val="20"/>
              </w:rPr>
            </w:pPr>
          </w:p>
        </w:tc>
        <w:tc>
          <w:tcPr>
            <w:tcW w:w="1367"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Theme="minorEastAsia" w:hAnsiTheme="minorEastAsia" w:eastAsiaTheme="minorEastAsia" w:cstheme="minorEastAsia"/>
                <w:color w:val="393939"/>
                <w:kern w:val="0"/>
                <w:sz w:val="20"/>
                <w:szCs w:val="20"/>
              </w:rPr>
            </w:pPr>
          </w:p>
        </w:tc>
        <w:tc>
          <w:tcPr>
            <w:tcW w:w="931"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Theme="minorEastAsia" w:hAnsiTheme="minorEastAsia" w:eastAsiaTheme="minorEastAsia" w:cstheme="minorEastAsia"/>
                <w:color w:val="393939"/>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0" w:hRule="atLeast"/>
        </w:trPr>
        <w:tc>
          <w:tcPr>
            <w:tcW w:w="1064"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vAlign w:val="center"/>
          </w:tcPr>
          <w:p>
            <w:pPr>
              <w:widowControl/>
              <w:spacing w:line="360" w:lineRule="auto"/>
              <w:jc w:val="left"/>
              <w:rPr>
                <w:rFonts w:asciiTheme="minorEastAsia" w:hAnsiTheme="minorEastAsia" w:eastAsiaTheme="minorEastAsia" w:cstheme="minorEastAsia"/>
                <w:color w:val="393939"/>
                <w:kern w:val="0"/>
                <w:sz w:val="20"/>
                <w:szCs w:val="20"/>
              </w:rPr>
            </w:pPr>
          </w:p>
        </w:tc>
        <w:tc>
          <w:tcPr>
            <w:tcW w:w="1330"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Theme="minorEastAsia" w:hAnsiTheme="minorEastAsia" w:eastAsiaTheme="minorEastAsia" w:cstheme="minorEastAsia"/>
                <w:color w:val="393939"/>
                <w:kern w:val="0"/>
                <w:sz w:val="20"/>
                <w:szCs w:val="20"/>
              </w:rPr>
            </w:pPr>
          </w:p>
        </w:tc>
        <w:tc>
          <w:tcPr>
            <w:tcW w:w="1234"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vAlign w:val="center"/>
          </w:tcPr>
          <w:p>
            <w:pPr>
              <w:widowControl/>
              <w:spacing w:line="360" w:lineRule="auto"/>
              <w:jc w:val="left"/>
              <w:rPr>
                <w:rFonts w:asciiTheme="minorEastAsia" w:hAnsiTheme="minorEastAsia" w:eastAsiaTheme="minorEastAsia" w:cstheme="minorEastAsia"/>
                <w:color w:val="393939"/>
                <w:kern w:val="0"/>
                <w:sz w:val="20"/>
                <w:szCs w:val="20"/>
              </w:rPr>
            </w:pPr>
          </w:p>
        </w:tc>
        <w:tc>
          <w:tcPr>
            <w:tcW w:w="912"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Theme="minorEastAsia" w:hAnsiTheme="minorEastAsia" w:eastAsiaTheme="minorEastAsia" w:cstheme="minorEastAsia"/>
                <w:color w:val="393939"/>
                <w:kern w:val="0"/>
                <w:sz w:val="20"/>
                <w:szCs w:val="20"/>
              </w:rPr>
            </w:pPr>
          </w:p>
        </w:tc>
        <w:tc>
          <w:tcPr>
            <w:tcW w:w="1367"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Theme="minorEastAsia" w:hAnsiTheme="minorEastAsia" w:eastAsiaTheme="minorEastAsia" w:cstheme="minorEastAsia"/>
                <w:color w:val="393939"/>
                <w:kern w:val="0"/>
                <w:sz w:val="20"/>
                <w:szCs w:val="20"/>
              </w:rPr>
            </w:pPr>
          </w:p>
        </w:tc>
        <w:tc>
          <w:tcPr>
            <w:tcW w:w="912"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Theme="minorEastAsia" w:hAnsiTheme="minorEastAsia" w:eastAsiaTheme="minorEastAsia" w:cstheme="minorEastAsia"/>
                <w:color w:val="393939"/>
                <w:kern w:val="0"/>
                <w:sz w:val="20"/>
                <w:szCs w:val="20"/>
              </w:rPr>
            </w:pPr>
          </w:p>
        </w:tc>
        <w:tc>
          <w:tcPr>
            <w:tcW w:w="1367"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Theme="minorEastAsia" w:hAnsiTheme="minorEastAsia" w:eastAsiaTheme="minorEastAsia" w:cstheme="minorEastAsia"/>
                <w:color w:val="393939"/>
                <w:kern w:val="0"/>
                <w:sz w:val="20"/>
                <w:szCs w:val="20"/>
              </w:rPr>
            </w:pPr>
          </w:p>
        </w:tc>
        <w:tc>
          <w:tcPr>
            <w:tcW w:w="931"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Theme="minorEastAsia" w:hAnsiTheme="minorEastAsia" w:eastAsiaTheme="minorEastAsia" w:cstheme="minorEastAsia"/>
                <w:color w:val="393939"/>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3" w:hRule="atLeast"/>
        </w:trPr>
        <w:tc>
          <w:tcPr>
            <w:tcW w:w="1064"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vAlign w:val="center"/>
          </w:tcPr>
          <w:p>
            <w:pPr>
              <w:widowControl/>
              <w:spacing w:line="360" w:lineRule="auto"/>
              <w:jc w:val="left"/>
              <w:rPr>
                <w:rFonts w:ascii="微软雅黑" w:hAnsi="微软雅黑" w:eastAsia="微软雅黑" w:cs="宋体"/>
                <w:color w:val="393939"/>
                <w:kern w:val="0"/>
                <w:sz w:val="20"/>
                <w:szCs w:val="20"/>
              </w:rPr>
            </w:pPr>
          </w:p>
        </w:tc>
        <w:tc>
          <w:tcPr>
            <w:tcW w:w="1330"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微软雅黑" w:hAnsi="微软雅黑" w:eastAsia="微软雅黑" w:cs="宋体"/>
                <w:color w:val="393939"/>
                <w:kern w:val="0"/>
                <w:sz w:val="20"/>
                <w:szCs w:val="20"/>
              </w:rPr>
            </w:pPr>
          </w:p>
        </w:tc>
        <w:tc>
          <w:tcPr>
            <w:tcW w:w="1234"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vAlign w:val="center"/>
          </w:tcPr>
          <w:p>
            <w:pPr>
              <w:widowControl/>
              <w:spacing w:line="360" w:lineRule="auto"/>
              <w:jc w:val="left"/>
              <w:rPr>
                <w:rFonts w:ascii="微软雅黑" w:hAnsi="微软雅黑" w:eastAsia="微软雅黑" w:cs="宋体"/>
                <w:color w:val="393939"/>
                <w:kern w:val="0"/>
                <w:sz w:val="20"/>
                <w:szCs w:val="20"/>
              </w:rPr>
            </w:pPr>
          </w:p>
        </w:tc>
        <w:tc>
          <w:tcPr>
            <w:tcW w:w="912"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微软雅黑" w:hAnsi="微软雅黑" w:eastAsia="微软雅黑" w:cs="宋体"/>
                <w:color w:val="393939"/>
                <w:kern w:val="0"/>
                <w:sz w:val="20"/>
                <w:szCs w:val="20"/>
              </w:rPr>
            </w:pPr>
          </w:p>
        </w:tc>
        <w:tc>
          <w:tcPr>
            <w:tcW w:w="1367"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微软雅黑" w:hAnsi="微软雅黑" w:eastAsia="微软雅黑" w:cs="宋体"/>
                <w:color w:val="393939"/>
                <w:kern w:val="0"/>
                <w:sz w:val="20"/>
                <w:szCs w:val="20"/>
              </w:rPr>
            </w:pPr>
          </w:p>
        </w:tc>
        <w:tc>
          <w:tcPr>
            <w:tcW w:w="912"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微软雅黑" w:hAnsi="微软雅黑" w:eastAsia="微软雅黑" w:cs="宋体"/>
                <w:color w:val="393939"/>
                <w:kern w:val="0"/>
                <w:sz w:val="20"/>
                <w:szCs w:val="20"/>
              </w:rPr>
            </w:pPr>
          </w:p>
        </w:tc>
        <w:tc>
          <w:tcPr>
            <w:tcW w:w="1367"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微软雅黑" w:hAnsi="微软雅黑" w:eastAsia="微软雅黑" w:cs="宋体"/>
                <w:color w:val="393939"/>
                <w:kern w:val="0"/>
                <w:sz w:val="20"/>
                <w:szCs w:val="20"/>
              </w:rPr>
            </w:pPr>
          </w:p>
        </w:tc>
        <w:tc>
          <w:tcPr>
            <w:tcW w:w="931" w:type="dxa"/>
            <w:tcBorders>
              <w:top w:val="single" w:color="auto" w:sz="0" w:space="0"/>
              <w:left w:val="single" w:color="auto" w:sz="0" w:space="0"/>
              <w:bottom w:val="outset" w:color="auto" w:sz="6" w:space="0"/>
              <w:right w:val="outset" w:color="auto" w:sz="6" w:space="0"/>
            </w:tcBorders>
            <w:shd w:val="clear" w:color="auto" w:fill="FFFFFF"/>
            <w:noWrap/>
            <w:tcMar>
              <w:top w:w="0" w:type="dxa"/>
              <w:left w:w="105" w:type="dxa"/>
              <w:bottom w:w="0" w:type="dxa"/>
              <w:right w:w="105" w:type="dxa"/>
            </w:tcMar>
          </w:tcPr>
          <w:p>
            <w:pPr>
              <w:widowControl/>
              <w:spacing w:line="360" w:lineRule="auto"/>
              <w:jc w:val="left"/>
              <w:rPr>
                <w:rFonts w:ascii="微软雅黑" w:hAnsi="微软雅黑" w:eastAsia="微软雅黑" w:cs="宋体"/>
                <w:color w:val="393939"/>
                <w:kern w:val="0"/>
                <w:sz w:val="20"/>
                <w:szCs w:val="20"/>
              </w:rPr>
            </w:pPr>
          </w:p>
        </w:tc>
      </w:tr>
    </w:tbl>
    <w:p>
      <w:pPr>
        <w:spacing w:line="360" w:lineRule="auto"/>
        <w:ind w:firstLine="480" w:firstLineChars="200"/>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1、分项报价表中的投标价汇总应与</w:t>
      </w:r>
      <w:r>
        <w:rPr>
          <w:rFonts w:hint="eastAsia" w:ascii="宋体" w:hAnsi="宋体"/>
          <w:sz w:val="24"/>
          <w:lang w:val="en-US" w:eastAsia="zh-CN"/>
        </w:rPr>
        <w:t>投标</w:t>
      </w:r>
      <w:r>
        <w:rPr>
          <w:rFonts w:hint="eastAsia" w:ascii="宋体" w:hAnsi="宋体"/>
          <w:sz w:val="24"/>
        </w:rPr>
        <w:t>一览表中的一致。</w:t>
      </w:r>
    </w:p>
    <w:p>
      <w:pPr>
        <w:spacing w:line="360" w:lineRule="auto"/>
        <w:ind w:firstLine="480" w:firstLineChars="200"/>
        <w:rPr>
          <w:rFonts w:ascii="宋体" w:hAnsi="宋体"/>
          <w:sz w:val="24"/>
        </w:rPr>
      </w:pPr>
      <w:r>
        <w:rPr>
          <w:rFonts w:hint="eastAsia" w:ascii="宋体" w:hAnsi="宋体"/>
          <w:sz w:val="24"/>
        </w:rPr>
        <w:t>2、产品名称</w:t>
      </w:r>
      <w:r>
        <w:rPr>
          <w:rFonts w:ascii="宋体" w:hAnsi="宋体"/>
          <w:sz w:val="24"/>
        </w:rPr>
        <w:t>按照</w:t>
      </w:r>
      <w:r>
        <w:rPr>
          <w:rFonts w:hint="eastAsia" w:ascii="宋体" w:hAnsi="宋体"/>
          <w:sz w:val="24"/>
        </w:rPr>
        <w:t>招标文件</w:t>
      </w:r>
      <w:r>
        <w:rPr>
          <w:rFonts w:ascii="宋体" w:hAnsi="宋体"/>
          <w:sz w:val="24"/>
        </w:rPr>
        <w:t>第三章</w:t>
      </w:r>
      <w:r>
        <w:rPr>
          <w:rFonts w:hint="eastAsia" w:ascii="宋体" w:hAnsi="宋体"/>
          <w:sz w:val="24"/>
        </w:rPr>
        <w:t xml:space="preserve"> “</w:t>
      </w:r>
      <w:r>
        <w:rPr>
          <w:rFonts w:hint="eastAsia" w:ascii="宋体" w:hAnsi="宋体"/>
          <w:sz w:val="24"/>
          <w:lang w:eastAsia="zh-CN"/>
        </w:rPr>
        <w:t>一、</w:t>
      </w:r>
      <w:r>
        <w:rPr>
          <w:rFonts w:hint="eastAsia" w:ascii="宋体" w:hAnsi="宋体"/>
          <w:sz w:val="24"/>
        </w:rPr>
        <w:t>采购清单明细表”内要求</w:t>
      </w:r>
      <w:r>
        <w:rPr>
          <w:rFonts w:ascii="宋体" w:hAnsi="宋体"/>
          <w:sz w:val="24"/>
        </w:rPr>
        <w:t>的</w:t>
      </w:r>
      <w:r>
        <w:rPr>
          <w:rFonts w:hint="eastAsia" w:ascii="宋体" w:hAnsi="宋体"/>
          <w:sz w:val="24"/>
        </w:rPr>
        <w:t>产品一一</w:t>
      </w:r>
      <w:r>
        <w:rPr>
          <w:rFonts w:ascii="宋体" w:hAnsi="宋体"/>
          <w:sz w:val="24"/>
        </w:rPr>
        <w:t>进行列明。</w:t>
      </w:r>
    </w:p>
    <w:p>
      <w:pPr>
        <w:spacing w:line="360" w:lineRule="auto"/>
        <w:ind w:firstLine="480" w:firstLineChars="200"/>
        <w:rPr>
          <w:rFonts w:ascii="宋体" w:hAnsi="宋体"/>
          <w:sz w:val="24"/>
        </w:rPr>
      </w:pPr>
      <w:r>
        <w:rPr>
          <w:rFonts w:hint="eastAsia" w:ascii="宋体" w:hAnsi="宋体"/>
          <w:sz w:val="24"/>
        </w:rPr>
        <w:t>3、《分项报价表》须</w:t>
      </w:r>
      <w:r>
        <w:rPr>
          <w:rFonts w:ascii="宋体" w:hAnsi="宋体"/>
          <w:sz w:val="24"/>
        </w:rPr>
        <w:t>上传至系统客户端中</w:t>
      </w:r>
      <w:r>
        <w:rPr>
          <w:rFonts w:hint="eastAsia" w:ascii="宋体" w:hAnsi="宋体"/>
          <w:sz w:val="24"/>
        </w:rPr>
        <w:t>并</w:t>
      </w:r>
      <w:r>
        <w:rPr>
          <w:rFonts w:ascii="宋体" w:hAnsi="宋体"/>
          <w:sz w:val="24"/>
        </w:rPr>
        <w:t>编制进纸质响应文件中</w:t>
      </w:r>
      <w:r>
        <w:rPr>
          <w:rFonts w:hint="eastAsia" w:ascii="宋体" w:hAnsi="宋体"/>
          <w:sz w:val="24"/>
        </w:rPr>
        <w:t>。</w:t>
      </w:r>
    </w:p>
    <w:p>
      <w:pPr>
        <w:spacing w:line="360" w:lineRule="auto"/>
        <w:ind w:firstLine="480" w:firstLineChars="200"/>
        <w:rPr>
          <w:rFonts w:ascii="宋体" w:hAnsi="宋体"/>
          <w:bCs/>
          <w:sz w:val="24"/>
        </w:rPr>
      </w:pPr>
    </w:p>
    <w:p>
      <w:pPr>
        <w:widowControl/>
        <w:spacing w:before="100" w:beforeAutospacing="1" w:after="100" w:afterAutospacing="1"/>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投标人：（全称并加盖单位公章）</w:t>
      </w:r>
    </w:p>
    <w:p>
      <w:pPr>
        <w:widowControl/>
        <w:spacing w:before="100" w:beforeAutospacing="1" w:after="100" w:afterAutospacing="1"/>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投标人代表签字：</w:t>
      </w:r>
    </w:p>
    <w:p>
      <w:pPr>
        <w:widowControl/>
        <w:spacing w:before="100" w:beforeAutospacing="1" w:after="100" w:afterAutospacing="1"/>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日期：年月日</w:t>
      </w:r>
    </w:p>
    <w:p>
      <w:pPr>
        <w:pStyle w:val="8"/>
        <w:pageBreakBefore w:val="0"/>
        <w:kinsoku/>
        <w:wordWrap/>
        <w:overflowPunct/>
        <w:topLinePunct w:val="0"/>
        <w:bidi w:val="0"/>
        <w:spacing w:line="360" w:lineRule="auto"/>
        <w:textAlignment w:val="auto"/>
        <w:rPr>
          <w:rFonts w:hint="eastAsia" w:ascii="宋体" w:hAnsi="宋体" w:eastAsia="宋体" w:cs="宋体"/>
          <w:b/>
          <w:color w:val="000000" w:themeColor="text1"/>
          <w:sz w:val="52"/>
          <w:szCs w:val="52"/>
          <w:highlight w:val="none"/>
          <w14:textFill>
            <w14:solidFill>
              <w14:schemeClr w14:val="tx1"/>
            </w14:solidFill>
          </w14:textFill>
        </w:rPr>
        <w:sectPr>
          <w:footerReference r:id="rId6" w:type="default"/>
          <w:pgSz w:w="11907" w:h="16840"/>
          <w:pgMar w:top="1134" w:right="1134" w:bottom="1134" w:left="1701" w:header="851" w:footer="992" w:gutter="0"/>
          <w:pgNumType w:fmt="decimal"/>
          <w:cols w:space="720" w:num="1"/>
          <w:docGrid w:linePitch="323" w:charSpace="-2"/>
        </w:sectPr>
      </w:pPr>
    </w:p>
    <w:p>
      <w:pPr>
        <w:rPr>
          <w:rFonts w:hint="eastAsia"/>
        </w:rPr>
      </w:pPr>
    </w:p>
    <w:p>
      <w:pPr>
        <w:pStyle w:val="8"/>
        <w:pageBreakBefore w:val="0"/>
        <w:kinsoku/>
        <w:wordWrap/>
        <w:overflowPunct/>
        <w:topLinePunct w:val="0"/>
        <w:bidi w:val="0"/>
        <w:spacing w:line="360" w:lineRule="auto"/>
        <w:textAlignment w:val="auto"/>
        <w:rPr>
          <w:rFonts w:hint="eastAsia" w:ascii="宋体" w:hAnsi="宋体" w:eastAsia="宋体" w:cs="宋体"/>
          <w:b/>
          <w:color w:val="000000" w:themeColor="text1"/>
          <w:sz w:val="52"/>
          <w:szCs w:val="52"/>
          <w:highlight w:val="none"/>
          <w14:textFill>
            <w14:solidFill>
              <w14:schemeClr w14:val="tx1"/>
            </w14:solidFill>
          </w14:textFill>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投  标  文  件</w:t>
      </w:r>
    </w:p>
    <w:p>
      <w:pPr>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1190" w:firstLineChars="494"/>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资格及资信证明部分</w:t>
      </w:r>
    </w:p>
    <w:p>
      <w:pPr>
        <w:pageBreakBefore w:val="0"/>
        <w:kinsoku/>
        <w:wordWrap/>
        <w:overflowPunct/>
        <w:topLinePunct w:val="0"/>
        <w:bidi w:val="0"/>
        <w:spacing w:line="360" w:lineRule="auto"/>
        <w:ind w:firstLine="643" w:firstLineChars="200"/>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firstLine="1606" w:firstLineChars="500"/>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 目 名 称：</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p>
    <w:p>
      <w:pPr>
        <w:pageBreakBefore w:val="0"/>
        <w:kinsoku/>
        <w:wordWrap/>
        <w:overflowPunct/>
        <w:topLinePunct w:val="0"/>
        <w:bidi w:val="0"/>
        <w:spacing w:line="360" w:lineRule="auto"/>
        <w:ind w:firstLine="1606" w:firstLineChars="500"/>
        <w:textAlignment w:val="auto"/>
        <w:rPr>
          <w:rFonts w:hint="eastAsia" w:ascii="宋体" w:hAnsi="宋体" w:eastAsia="宋体" w:cs="宋体"/>
          <w:b/>
          <w:color w:val="000000" w:themeColor="text1"/>
          <w:sz w:val="32"/>
          <w:szCs w:val="32"/>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招 标 编 号：</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p>
    <w:p>
      <w:pPr>
        <w:pageBreakBefore w:val="0"/>
        <w:kinsoku/>
        <w:wordWrap/>
        <w:overflowPunct/>
        <w:topLinePunct w:val="0"/>
        <w:bidi w:val="0"/>
        <w:spacing w:line="360" w:lineRule="auto"/>
        <w:ind w:firstLine="643" w:firstLineChars="200"/>
        <w:textAlignment w:val="auto"/>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firstLine="643" w:firstLineChars="200"/>
        <w:textAlignment w:val="auto"/>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firstLine="643" w:firstLineChars="200"/>
        <w:textAlignment w:val="auto"/>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firstLine="643" w:firstLineChars="200"/>
        <w:textAlignment w:val="auto"/>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firstLine="643" w:firstLineChars="200"/>
        <w:textAlignment w:val="auto"/>
        <w:rPr>
          <w:rFonts w:hint="eastAsia" w:ascii="宋体" w:hAnsi="宋体" w:eastAsia="宋体" w:cs="宋体"/>
          <w:b/>
          <w:color w:val="000000" w:themeColor="text1"/>
          <w:sz w:val="32"/>
          <w:szCs w:val="32"/>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投标人名称 ：</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p>
    <w:p>
      <w:pPr>
        <w:pageBreakBefore w:val="0"/>
        <w:kinsoku/>
        <w:wordWrap/>
        <w:overflowPunct/>
        <w:topLinePunct w:val="0"/>
        <w:bidi w:val="0"/>
        <w:spacing w:line="360" w:lineRule="auto"/>
        <w:ind w:firstLine="643" w:firstLineChars="200"/>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日      期 ：</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p>
    <w:p>
      <w:pPr>
        <w:pageBreakBefore w:val="0"/>
        <w:kinsoku/>
        <w:wordWrap/>
        <w:overflowPunct/>
        <w:topLinePunct w:val="0"/>
        <w:bidi w:val="0"/>
        <w:spacing w:line="360" w:lineRule="auto"/>
        <w:ind w:firstLine="480" w:firstLine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14:textFill>
            <w14:solidFill>
              <w14:schemeClr w14:val="tx1"/>
            </w14:solidFill>
          </w14:textFill>
        </w:rPr>
        <w:t>索引</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一、投标函</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二、投标人的资格及资信证明文件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2" w:firstLineChars="200"/>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（注：投标人须根据提供的材料编制详细的索引）</w:t>
      </w:r>
    </w:p>
    <w:p>
      <w:pPr>
        <w:pageBreakBefore w:val="0"/>
        <w:kinsoku/>
        <w:wordWrap/>
        <w:overflowPunct/>
        <w:topLinePunct w:val="0"/>
        <w:bidi w:val="0"/>
        <w:spacing w:line="360" w:lineRule="auto"/>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pPr>
        <w:pageBreakBefore w:val="0"/>
        <w:widowControl/>
        <w:kinsoku/>
        <w:wordWrap/>
        <w:overflowPunct/>
        <w:topLinePunct w:val="0"/>
        <w:bidi w:val="0"/>
        <w:spacing w:before="100" w:beforeAutospacing="1" w:after="100" w:afterAutospacing="1"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一、投标函</w:t>
      </w:r>
    </w:p>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兹收到贵单位关于（填写“项目名称”）项目（招标编号：     ）的投标邀请，本投标人代表（填写“全名”）已获得我方正式授权并代表投标人（填写“全称”）参加投标，并提交招标文件规定份数的投标文件正本和副本。我方提交的全部投标文件均由下述部分组成：</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（1）资格及资信证明部分</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①投标函</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②投标人的资格及资信证明文件</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（2）报价部分</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①开标一览表</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（3）技术商务部分</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①技术和服务要求响应表</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②商务条件响应表</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③投标人提交的其他资料（若有）</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根据本函，本投标人代表宣布我方保证遵守招标文件的全部规定，同时：</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确认：</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1.1所投合同包的投标报价详见“开标一览表”及“投标分项报价表”。</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1.2我方已详细审查全部招标文件[包括但不限于：有关附件（若有）、澄清或修改（若有）等]，并自行承担因对全部招标文件理解不正确或误解而产生的相应后果和责任。</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承诺及声明：</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2.1我方具备招标文件载明的“投标人的资格要求”，否则</w:t>
      </w:r>
      <w:r>
        <w:rPr>
          <w:rFonts w:hint="eastAsia" w:ascii="宋体" w:hAnsi="宋体" w:eastAsia="宋体" w:cs="宋体"/>
          <w:b/>
          <w:bCs/>
          <w:color w:val="000000" w:themeColor="text1"/>
          <w:sz w:val="24"/>
          <w:szCs w:val="24"/>
          <w:highlight w:val="none"/>
          <w14:textFill>
            <w14:solidFill>
              <w14:schemeClr w14:val="tx1"/>
            </w14:solidFill>
          </w14:textFill>
        </w:rPr>
        <w:t>投标无效。</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2.2我方提交的投标文件各组成部分的全部内容及资料是不可割离且真实、有效、准确、完整和不具有任何误导性的，否则产生不利后果由我方承担责任。</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2.3我方提供的标的价格不高于同期市场价格，否则产生不利后果由我方承担责任。</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2.4投标有效期：在招标文件载明的期限内保持有效。</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若中标，将按照招标文件、我方投标文件及采购合同履行责任和义务。</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若贵单位要求，我方同意提供与本项目投标有关的一切资料、数据或文件，并完全理解贵单位不一定要接受最低的投标报价或收到的任何投标。</w:t>
      </w:r>
    </w:p>
    <w:p>
      <w:pPr>
        <w:pageBreakBefore w:val="0"/>
        <w:kinsoku/>
        <w:wordWrap/>
        <w:overflowPunct/>
        <w:topLinePunct w:val="0"/>
        <w:bidi w:val="0"/>
        <w:spacing w:line="360" w:lineRule="auto"/>
        <w:ind w:firstLine="597" w:firstLineChars="24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除招标文件另有规定外，对于贵单位按照下述联络方式发出的任何信息或通知，均视为我方已收悉前述信息或通知的全部内容：</w:t>
      </w: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通讯地址：</w:t>
      </w:r>
    </w:p>
    <w:p>
      <w:pPr>
        <w:pageBreakBefore w:val="0"/>
        <w:kinsoku/>
        <w:wordWrap/>
        <w:overflowPunct/>
        <w:topLinePunct w:val="0"/>
        <w:bidi w:val="0"/>
        <w:spacing w:line="360" w:lineRule="auto"/>
        <w:ind w:firstLine="600" w:firstLineChars="25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邮编：</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联系方法：（包括但不限于：联系人、联系电话、手机、传真、电子邮箱等）</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投标人：（全称并加盖单位公章）</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投标人代表签字：                   </w:t>
      </w:r>
    </w:p>
    <w:p>
      <w:pPr>
        <w:pageBreakBefore w:val="0"/>
        <w:kinsoku/>
        <w:wordWrap/>
        <w:overflowPunct/>
        <w:topLinePunct w:val="0"/>
        <w:bidi w:val="0"/>
        <w:spacing w:line="360" w:lineRule="auto"/>
        <w:ind w:firstLine="597" w:firstLineChars="2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sectPr>
          <w:pgSz w:w="11907" w:h="16840"/>
          <w:pgMar w:top="1134" w:right="1134" w:bottom="1134" w:left="1701" w:header="851" w:footer="992" w:gutter="0"/>
          <w:pgNumType w:fmt="decimal"/>
          <w:cols w:space="720" w:num="1"/>
          <w:docGrid w:linePitch="323" w:charSpace="-2"/>
        </w:sectPr>
      </w:pPr>
    </w:p>
    <w:p>
      <w:pPr>
        <w:pageBreakBefore w:val="0"/>
        <w:kinsoku/>
        <w:wordWrap/>
        <w:overflowPunct/>
        <w:topLinePunct w:val="0"/>
        <w:bidi w:val="0"/>
        <w:spacing w:line="360" w:lineRule="auto"/>
        <w:ind w:firstLine="482" w:firstLine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二、投标人的资格及资信证明文件</w:t>
      </w:r>
    </w:p>
    <w:p>
      <w:pPr>
        <w:pageBreakBefore w:val="0"/>
        <w:widowControl/>
        <w:kinsoku/>
        <w:wordWrap/>
        <w:overflowPunct/>
        <w:topLinePunct w:val="0"/>
        <w:bidi w:val="0"/>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2-1单位负责人授权书（若有）</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致：</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p>
    <w:p>
      <w:pPr>
        <w:pageBreakBefore w:val="0"/>
        <w:widowControl/>
        <w:kinsoku/>
        <w:wordWrap/>
        <w:overflowPunct/>
        <w:topLinePunct w:val="0"/>
        <w:bidi w:val="0"/>
        <w:spacing w:before="100" w:beforeAutospacing="1" w:after="100" w:afterAutospacing="1" w:line="360" w:lineRule="auto"/>
        <w:ind w:firstLine="42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我方的单位负责人</w:t>
      </w:r>
      <w:r>
        <w:rPr>
          <w:rFonts w:hint="eastAsia" w:ascii="宋体" w:hAnsi="宋体" w:eastAsia="宋体" w:cs="宋体"/>
          <w:color w:val="000000" w:themeColor="text1"/>
          <w:kern w:val="0"/>
          <w:sz w:val="24"/>
          <w:szCs w:val="24"/>
          <w:highlight w:val="none"/>
          <w:u w:val="single"/>
          <w14:textFill>
            <w14:solidFill>
              <w14:schemeClr w14:val="tx1"/>
            </w14:solidFill>
          </w14:textFill>
        </w:rPr>
        <w:t>（填写“单位负责人全名”）</w:t>
      </w:r>
      <w:r>
        <w:rPr>
          <w:rFonts w:hint="eastAsia" w:ascii="宋体" w:hAnsi="宋体" w:eastAsia="宋体" w:cs="宋体"/>
          <w:color w:val="000000" w:themeColor="text1"/>
          <w:kern w:val="0"/>
          <w:sz w:val="24"/>
          <w:szCs w:val="24"/>
          <w:highlight w:val="none"/>
          <w14:textFill>
            <w14:solidFill>
              <w14:schemeClr w14:val="tx1"/>
            </w14:solidFill>
          </w14:textFill>
        </w:rPr>
        <w:t>授权</w:t>
      </w:r>
      <w:r>
        <w:rPr>
          <w:rFonts w:hint="eastAsia" w:ascii="宋体" w:hAnsi="宋体" w:eastAsia="宋体" w:cs="宋体"/>
          <w:color w:val="000000" w:themeColor="text1"/>
          <w:kern w:val="0"/>
          <w:sz w:val="24"/>
          <w:szCs w:val="24"/>
          <w:highlight w:val="none"/>
          <w:u w:val="single"/>
          <w14:textFill>
            <w14:solidFill>
              <w14:schemeClr w14:val="tx1"/>
            </w14:solidFill>
          </w14:textFill>
        </w:rPr>
        <w:t>（填写“投标人代表全名”）</w:t>
      </w:r>
      <w:r>
        <w:rPr>
          <w:rFonts w:hint="eastAsia" w:ascii="宋体" w:hAnsi="宋体" w:eastAsia="宋体" w:cs="宋体"/>
          <w:color w:val="000000" w:themeColor="text1"/>
          <w:kern w:val="0"/>
          <w:sz w:val="24"/>
          <w:szCs w:val="24"/>
          <w:highlight w:val="none"/>
          <w14:textFill>
            <w14:solidFill>
              <w14:schemeClr w14:val="tx1"/>
            </w14:solidFill>
          </w14:textFill>
        </w:rPr>
        <w:t>为投标人代表，代表我方参加</w:t>
      </w:r>
      <w:r>
        <w:rPr>
          <w:rFonts w:hint="eastAsia" w:ascii="宋体" w:hAnsi="宋体" w:eastAsia="宋体" w:cs="宋体"/>
          <w:color w:val="000000" w:themeColor="text1"/>
          <w:kern w:val="0"/>
          <w:sz w:val="24"/>
          <w:szCs w:val="24"/>
          <w:highlight w:val="none"/>
          <w:u w:val="single"/>
          <w14:textFill>
            <w14:solidFill>
              <w14:schemeClr w14:val="tx1"/>
            </w14:solidFill>
          </w14:textFill>
        </w:rPr>
        <w:t>（填写“项目名称”）</w:t>
      </w:r>
      <w:r>
        <w:rPr>
          <w:rFonts w:hint="eastAsia" w:ascii="宋体" w:hAnsi="宋体" w:eastAsia="宋体" w:cs="宋体"/>
          <w:color w:val="000000" w:themeColor="text1"/>
          <w:kern w:val="0"/>
          <w:sz w:val="24"/>
          <w:szCs w:val="24"/>
          <w:highlight w:val="none"/>
          <w14:textFill>
            <w14:solidFill>
              <w14:schemeClr w14:val="tx1"/>
            </w14:solidFill>
          </w14:textFill>
        </w:rPr>
        <w:t>项目（招标编号：</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的投标，全权代表我方处理投标过程的一切事宜，包括但不限于：投标、参加开标、谈判、澄清、签约等。投标人代表在投标过程中所签署的一切文件和处理与之有关的一切事务，我方均予以认可并对此承担责任。</w:t>
      </w:r>
    </w:p>
    <w:p>
      <w:pPr>
        <w:pageBreakBefore w:val="0"/>
        <w:widowControl/>
        <w:kinsoku/>
        <w:wordWrap/>
        <w:overflowPunct/>
        <w:topLinePunct w:val="0"/>
        <w:bidi w:val="0"/>
        <w:spacing w:before="100" w:beforeAutospacing="1" w:after="100" w:afterAutospacing="1" w:line="360" w:lineRule="auto"/>
        <w:ind w:firstLine="42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投标人代表无转委权。特此授权。</w:t>
      </w:r>
    </w:p>
    <w:p>
      <w:pPr>
        <w:pageBreakBefore w:val="0"/>
        <w:widowControl/>
        <w:kinsoku/>
        <w:wordWrap/>
        <w:overflowPunct/>
        <w:topLinePunct w:val="0"/>
        <w:bidi w:val="0"/>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（以下无正文）</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单位负责人：</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身份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证号：</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手</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机</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投标人代表：</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身份证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号：</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手机：</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授权方</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w:t>
      </w:r>
      <w:r>
        <w:rPr>
          <w:rFonts w:hint="eastAsia" w:ascii="宋体" w:hAnsi="宋体" w:eastAsia="宋体" w:cs="宋体"/>
          <w:color w:val="000000" w:themeColor="text1"/>
          <w:kern w:val="0"/>
          <w:sz w:val="24"/>
          <w:szCs w:val="24"/>
          <w:highlight w:val="none"/>
          <w:u w:val="single"/>
          <w14:textFill>
            <w14:solidFill>
              <w14:schemeClr w14:val="tx1"/>
            </w14:solidFill>
          </w14:textFill>
        </w:rPr>
        <w:t>（全称并加盖单位公章）</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单位负责人签字或盖章：</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接受授权方</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投标人代表签字：</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p>
    <w:p>
      <w:pPr>
        <w:pageBreakBefore w:val="0"/>
        <w:widowControl/>
        <w:kinsoku/>
        <w:wordWrap/>
        <w:overflowPunct/>
        <w:topLinePunct w:val="0"/>
        <w:bidi w:val="0"/>
        <w:spacing w:before="100" w:beforeAutospacing="1" w:after="100" w:afterAutospacing="1" w:line="360" w:lineRule="auto"/>
        <w:jc w:val="righ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签署日期：</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年</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月</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日</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p>
      <w:pPr>
        <w:spacing w:line="360" w:lineRule="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附：有效身份证复印件</w:t>
      </w:r>
      <w:r>
        <w:rPr>
          <w:rFonts w:hint="eastAsia" w:ascii="宋体" w:hAnsi="宋体"/>
          <w:color w:val="000000" w:themeColor="text1"/>
          <w:sz w:val="24"/>
          <w14:textFill>
            <w14:solidFill>
              <w14:schemeClr w14:val="tx1"/>
            </w14:solidFill>
          </w14:textFill>
        </w:rPr>
        <w:t>（正反面）</w:t>
      </w:r>
      <w:r>
        <w:rPr>
          <w:rFonts w:hint="eastAsia" w:ascii="宋体" w:hAnsi="宋体"/>
          <w:b/>
          <w:bCs/>
          <w:color w:val="000000" w:themeColor="text1"/>
          <w:sz w:val="24"/>
          <w14:textFill>
            <w14:solidFill>
              <w14:schemeClr w14:val="tx1"/>
            </w14:solidFill>
          </w14:textFill>
        </w:rPr>
        <w:t>（详见注1）</w:t>
      </w:r>
    </w:p>
    <w:p>
      <w:pPr>
        <w:pStyle w:val="17"/>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要求：真实、有效、清晰</w:t>
      </w:r>
    </w:p>
    <w:p>
      <w:pPr>
        <w:pStyle w:val="17"/>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p>
    <w:p>
      <w:pPr>
        <w:pStyle w:val="17"/>
        <w:numPr>
          <w:ilvl w:val="0"/>
          <w:numId w:val="0"/>
        </w:numPr>
        <w:spacing w:line="360" w:lineRule="auto"/>
        <w:ind w:leftChars="0"/>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1、投标人代表非单位负责人时须提供《单位负责人授权书》，及单位负责人有效身份证正反面复印件和投标人代表有效身份证正反面复印件；投标人代表为单位负责人时，只须提供单位负责人有效身份证正反面复印件。</w:t>
      </w:r>
    </w:p>
    <w:p>
      <w:pPr>
        <w:pStyle w:val="17"/>
        <w:numPr>
          <w:ilvl w:val="0"/>
          <w:numId w:val="0"/>
        </w:numPr>
        <w:spacing w:line="360" w:lineRule="auto"/>
        <w:ind w:leftChars="0"/>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2、提供《单位负责人授权书》的应为原件，须编制在投标文件资格材料正本中。</w:t>
      </w:r>
    </w:p>
    <w:p>
      <w:pPr>
        <w:widowControl/>
        <w:spacing w:before="75" w:after="75" w:line="435" w:lineRule="atLeast"/>
        <w:jc w:val="left"/>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3、企业（银行、保险、石油石化、电力、电信等行业除外）、事业单位和社会团体法人的“单位负责人”指法定代表人，即与实际提交的“营业执照等证明文件”载明的一致。</w:t>
      </w:r>
    </w:p>
    <w:p>
      <w:pPr>
        <w:widowControl/>
        <w:spacing w:before="75" w:after="75" w:line="435" w:lineRule="atLeast"/>
        <w:jc w:val="left"/>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4、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、对于接受联合体形式的投标且供应商是联合体的，则只需要联合体的牵头方提交本授权书。</w:t>
      </w:r>
    </w:p>
    <w:p>
      <w:pPr>
        <w:pageBreakBefore w:val="0"/>
        <w:kinsoku/>
        <w:wordWrap/>
        <w:overflowPunct/>
        <w:topLinePunct w:val="0"/>
        <w:bidi w:val="0"/>
        <w:spacing w:line="360" w:lineRule="auto"/>
        <w:ind w:firstLine="482" w:firstLine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14:textFill>
            <w14:solidFill>
              <w14:schemeClr w14:val="tx1"/>
            </w14:solidFill>
          </w14:textFill>
        </w:rPr>
        <w:t>2-2营业执照等证明文件</w:t>
      </w:r>
    </w:p>
    <w:p>
      <w:pPr>
        <w:pageBreakBefore w:val="0"/>
        <w:kinsoku/>
        <w:wordWrap/>
        <w:overflowPunct/>
        <w:topLinePunct w:val="0"/>
        <w:bidi w:val="0"/>
        <w:spacing w:line="360" w:lineRule="auto"/>
        <w:ind w:firstLine="482" w:firstLine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ageBreakBefore w:val="0"/>
        <w:widowControl/>
        <w:kinsoku/>
        <w:wordWrap/>
        <w:overflowPunct/>
        <w:topLinePunct w:val="0"/>
        <w:bidi w:val="0"/>
        <w:spacing w:before="100" w:beforeAutospacing="1" w:after="100" w:afterAutospacing="1" w:line="360" w:lineRule="auto"/>
        <w:jc w:val="center"/>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14:textFill>
            <w14:solidFill>
              <w14:schemeClr w14:val="tx1"/>
            </w14:solidFill>
          </w14:textFill>
        </w:rPr>
        <w:t>2-3</w:t>
      </w:r>
      <w:r>
        <w:rPr>
          <w:rFonts w:hint="eastAsia" w:ascii="宋体" w:hAnsi="宋体" w:eastAsia="宋体" w:cs="宋体"/>
          <w:b/>
          <w:color w:val="000000" w:themeColor="text1"/>
          <w:sz w:val="24"/>
          <w:szCs w:val="24"/>
          <w:highlight w:val="none"/>
          <w:lang w:eastAsia="zh-CN"/>
          <w14:textFill>
            <w14:solidFill>
              <w14:schemeClr w14:val="tx1"/>
            </w14:solidFill>
          </w14:textFill>
        </w:rPr>
        <w:t>信用中国查询</w:t>
      </w:r>
    </w:p>
    <w:p>
      <w:pPr>
        <w:pageBreakBefore w:val="0"/>
        <w:kinsoku/>
        <w:wordWrap/>
        <w:overflowPunct/>
        <w:topLinePunct w:val="0"/>
        <w:bidi w:val="0"/>
        <w:spacing w:line="360" w:lineRule="auto"/>
        <w:ind w:firstLine="3720" w:firstLineChars="155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1680" w:firstLineChars="700"/>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883" w:firstLineChars="200"/>
        <w:jc w:val="center"/>
        <w:textAlignment w:val="auto"/>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投  标  文  件</w:t>
      </w:r>
    </w:p>
    <w:p>
      <w:pPr>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1190" w:firstLineChars="494"/>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1426" w:firstLineChars="592"/>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技术商务部分</w:t>
      </w:r>
    </w:p>
    <w:p>
      <w:pPr>
        <w:pageBreakBefore w:val="0"/>
        <w:kinsoku/>
        <w:wordWrap/>
        <w:overflowPunct/>
        <w:topLinePunct w:val="0"/>
        <w:bidi w:val="0"/>
        <w:spacing w:line="360" w:lineRule="auto"/>
        <w:ind w:firstLine="482" w:firstLine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2" w:firstLine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1205" w:firstLineChars="5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 目 名 称：</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firstLine="1205" w:firstLineChars="500"/>
        <w:textAlignment w:val="auto"/>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招 标 编 号：</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投标人名称 ：</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日      期 ：</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pPr>
        <w:pageBreakBefore w:val="0"/>
        <w:widowControl/>
        <w:kinsoku/>
        <w:wordWrap/>
        <w:overflowPunct/>
        <w:topLinePunct w:val="0"/>
        <w:bidi w:val="0"/>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pageBreakBefore w:val="0"/>
        <w:widowControl/>
        <w:kinsoku/>
        <w:wordWrap/>
        <w:overflowPunct/>
        <w:topLinePunct w:val="0"/>
        <w:bidi w:val="0"/>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pageBreakBefore w:val="0"/>
        <w:widowControl/>
        <w:kinsoku/>
        <w:wordWrap/>
        <w:overflowPunct/>
        <w:topLinePunct w:val="0"/>
        <w:bidi w:val="0"/>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pStyle w:val="4"/>
        <w:rPr>
          <w:rFonts w:hint="eastAsia" w:ascii="宋体" w:hAnsi="宋体" w:eastAsia="宋体" w:cs="宋体"/>
          <w:color w:val="000000" w:themeColor="text1"/>
          <w:kern w:val="0"/>
          <w:sz w:val="24"/>
          <w:szCs w:val="24"/>
          <w:highlight w:val="none"/>
          <w14:textFill>
            <w14:solidFill>
              <w14:schemeClr w14:val="tx1"/>
            </w14:solidFill>
          </w14:textFill>
        </w:rPr>
      </w:pPr>
    </w:p>
    <w:p>
      <w:pPr>
        <w:rPr>
          <w:rFonts w:hint="eastAsia" w:ascii="宋体" w:hAnsi="宋体" w:eastAsia="宋体" w:cs="宋体"/>
          <w:color w:val="000000" w:themeColor="text1"/>
          <w:kern w:val="0"/>
          <w:sz w:val="24"/>
          <w:szCs w:val="24"/>
          <w:highlight w:val="none"/>
          <w14:textFill>
            <w14:solidFill>
              <w14:schemeClr w14:val="tx1"/>
            </w14:solidFill>
          </w14:textFill>
        </w:rPr>
      </w:pPr>
    </w:p>
    <w:p>
      <w:pPr>
        <w:pStyle w:val="4"/>
        <w:rPr>
          <w:rFonts w:hint="eastAsia" w:ascii="宋体" w:hAnsi="宋体" w:eastAsia="宋体" w:cs="宋体"/>
          <w:color w:val="000000" w:themeColor="text1"/>
          <w:kern w:val="0"/>
          <w:sz w:val="24"/>
          <w:szCs w:val="24"/>
          <w:highlight w:val="none"/>
          <w14:textFill>
            <w14:solidFill>
              <w14:schemeClr w14:val="tx1"/>
            </w14:solidFill>
          </w14:textFill>
        </w:rPr>
      </w:pPr>
    </w:p>
    <w:p>
      <w:pPr>
        <w:rPr>
          <w:rFonts w:hint="eastAsia" w:ascii="宋体" w:hAnsi="宋体" w:eastAsia="宋体" w:cs="宋体"/>
          <w:color w:val="000000" w:themeColor="text1"/>
          <w:kern w:val="0"/>
          <w:sz w:val="24"/>
          <w:szCs w:val="24"/>
          <w:highlight w:val="none"/>
          <w14:textFill>
            <w14:solidFill>
              <w14:schemeClr w14:val="tx1"/>
            </w14:solidFill>
          </w14:textFill>
        </w:rPr>
      </w:pPr>
    </w:p>
    <w:p>
      <w:pPr>
        <w:pStyle w:val="4"/>
        <w:rPr>
          <w:rFonts w:hint="eastAsia" w:ascii="宋体" w:hAnsi="宋体" w:eastAsia="宋体" w:cs="宋体"/>
          <w:color w:val="000000" w:themeColor="text1"/>
          <w:kern w:val="0"/>
          <w:sz w:val="24"/>
          <w:szCs w:val="24"/>
          <w:highlight w:val="none"/>
          <w14:textFill>
            <w14:solidFill>
              <w14:schemeClr w14:val="tx1"/>
            </w14:solidFill>
          </w14:textFill>
        </w:rPr>
      </w:pPr>
    </w:p>
    <w:p>
      <w:pPr>
        <w:rPr>
          <w:rFonts w:hint="eastAsia" w:ascii="宋体" w:hAnsi="宋体" w:eastAsia="宋体" w:cs="宋体"/>
        </w:rPr>
      </w:pPr>
    </w:p>
    <w:p>
      <w:pPr>
        <w:pageBreakBefore w:val="0"/>
        <w:widowControl/>
        <w:kinsoku/>
        <w:wordWrap/>
        <w:overflowPunct/>
        <w:topLinePunct w:val="0"/>
        <w:bidi w:val="0"/>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索引</w:t>
      </w:r>
    </w:p>
    <w:p>
      <w:pPr>
        <w:pageBreakBefore w:val="0"/>
        <w:widowControl/>
        <w:numPr>
          <w:ilvl w:val="0"/>
          <w:numId w:val="0"/>
        </w:numPr>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承诺函</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kern w:val="0"/>
          <w:sz w:val="24"/>
          <w:szCs w:val="24"/>
          <w:highlight w:val="none"/>
          <w14:textFill>
            <w14:solidFill>
              <w14:schemeClr w14:val="tx1"/>
            </w14:solidFill>
          </w14:textFill>
        </w:rPr>
        <w:t>、商务条件响应表</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kern w:val="0"/>
          <w:sz w:val="24"/>
          <w:szCs w:val="24"/>
          <w:highlight w:val="none"/>
          <w14:textFill>
            <w14:solidFill>
              <w14:schemeClr w14:val="tx1"/>
            </w14:solidFill>
          </w14:textFill>
        </w:rPr>
        <w:t>、投标人提交的其他资料（若有）</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pageBreakBefore w:val="0"/>
        <w:kinsoku/>
        <w:wordWrap/>
        <w:overflowPunct/>
        <w:topLinePunct w:val="0"/>
        <w:bidi w:val="0"/>
        <w:spacing w:line="360" w:lineRule="auto"/>
        <w:ind w:firstLine="482" w:firstLineChars="200"/>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（注：投标人须根据提供的材料编制详细的索引）</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pageBreakBefore w:val="0"/>
        <w:widowControl/>
        <w:kinsoku/>
        <w:wordWrap/>
        <w:overflowPunct/>
        <w:topLinePunct w:val="0"/>
        <w:bidi w:val="0"/>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pageBreakBefore w:val="0"/>
        <w:widowControl/>
        <w:kinsoku/>
        <w:wordWrap/>
        <w:overflowPunct/>
        <w:topLinePunct w:val="0"/>
        <w:bidi w:val="0"/>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pageBreakBefore w:val="0"/>
        <w:widowControl/>
        <w:kinsoku/>
        <w:wordWrap/>
        <w:overflowPunct/>
        <w:topLinePunct w:val="0"/>
        <w:bidi w:val="0"/>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val="0"/>
        <w:spacing w:before="0" w:beforeAutospacing="0" w:after="0" w:afterAutospacing="0" w:line="360" w:lineRule="auto"/>
        <w:ind w:left="0" w:right="0" w:firstLine="482"/>
        <w:jc w:val="center"/>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14:textFill>
            <w14:solidFill>
              <w14:schemeClr w14:val="tx1"/>
            </w14:solidFill>
          </w14:textFill>
        </w:rPr>
        <w:t>一、</w:t>
      </w:r>
      <w:r>
        <w:rPr>
          <w:rFonts w:hint="eastAsia" w:ascii="宋体" w:hAnsi="宋体" w:eastAsia="宋体" w:cs="宋体"/>
          <w:b/>
          <w:bCs/>
          <w:i w:val="0"/>
          <w:iCs w:val="0"/>
          <w:caps w:val="0"/>
          <w:color w:val="000000" w:themeColor="text1"/>
          <w:spacing w:val="0"/>
          <w:kern w:val="0"/>
          <w:sz w:val="24"/>
          <w:szCs w:val="24"/>
          <w:highlight w:val="none"/>
          <w:shd w:val="clear" w:color="auto" w:fill="FFFFFF"/>
          <w:lang w:val="en-US" w:eastAsia="zh-CN"/>
          <w14:textFill>
            <w14:solidFill>
              <w14:schemeClr w14:val="tx1"/>
            </w14:solidFill>
          </w14:textFill>
        </w:rPr>
        <w:t>承诺函</w:t>
      </w:r>
    </w:p>
    <w:p>
      <w:pPr>
        <w:pageBreakBefore w:val="0"/>
        <w:widowControl/>
        <w:kinsoku/>
        <w:wordWrap/>
        <w:overflowPunct/>
        <w:topLinePunct w:val="0"/>
        <w:bidi w:val="0"/>
        <w:spacing w:before="100" w:beforeAutospacing="1" w:after="100" w:afterAutospacing="1"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************项目（项目编号：*****），我公司</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（全称）     </w:t>
      </w:r>
      <w:r>
        <w:rPr>
          <w:rFonts w:hint="eastAsia" w:ascii="宋体" w:hAnsi="宋体" w:eastAsia="宋体" w:cs="宋体"/>
          <w:color w:val="000000" w:themeColor="text1"/>
          <w:sz w:val="24"/>
          <w:szCs w:val="24"/>
          <w:highlight w:val="none"/>
          <w:lang w:val="en-US" w:eastAsia="zh-CN"/>
          <w14:textFill>
            <w14:solidFill>
              <w14:schemeClr w14:val="tx1"/>
            </w14:solidFill>
          </w14:textFill>
        </w:rPr>
        <w:t>完全实质性满足招标文件的的要求。若我公司成交，将完全按“第三章  招标内容及要求”的所有要求进行实施，否则视同违约，愿意承担本采购文件的违约责任。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投标人：（全称并加盖单位公章）</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投标人代表签字：</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日期：年月日</w:t>
      </w:r>
    </w:p>
    <w:p>
      <w:pPr>
        <w:pageBreakBefore w:val="0"/>
        <w:widowControl/>
        <w:kinsoku/>
        <w:wordWrap/>
        <w:overflowPunct/>
        <w:topLinePunct w:val="0"/>
        <w:bidi w:val="0"/>
        <w:spacing w:before="100" w:beforeAutospacing="1" w:after="100" w:afterAutospacing="1"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widowControl/>
        <w:kinsoku/>
        <w:wordWrap/>
        <w:overflowPunct/>
        <w:topLinePunct w:val="0"/>
        <w:bidi w:val="0"/>
        <w:spacing w:before="100" w:beforeAutospacing="1" w:after="100" w:afterAutospacing="1" w:line="360"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ageBreakBefore w:val="0"/>
        <w:widowControl/>
        <w:kinsoku/>
        <w:wordWrap/>
        <w:overflowPunct/>
        <w:topLinePunct w:val="0"/>
        <w:bidi w:val="0"/>
        <w:spacing w:before="100" w:beforeAutospacing="1" w:after="100" w:afterAutospacing="1" w:line="360"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ageBreakBefore w:val="0"/>
        <w:widowControl/>
        <w:kinsoku/>
        <w:wordWrap/>
        <w:overflowPunct/>
        <w:topLinePunct w:val="0"/>
        <w:bidi w:val="0"/>
        <w:spacing w:before="100" w:beforeAutospacing="1" w:after="100" w:afterAutospacing="1" w:line="360"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商务条件响应表</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招标编号：</w:t>
      </w:r>
    </w:p>
    <w:tbl>
      <w:tblPr>
        <w:tblStyle w:val="21"/>
        <w:tblW w:w="0" w:type="auto"/>
        <w:tblCellSpacing w:w="15" w:type="dxa"/>
        <w:tblInd w:w="143" w:type="dxa"/>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108" w:type="dxa"/>
          <w:bottom w:w="0" w:type="dxa"/>
          <w:right w:w="108" w:type="dxa"/>
        </w:tblCellMar>
      </w:tblPr>
      <w:tblGrid>
        <w:gridCol w:w="1080"/>
        <w:gridCol w:w="3644"/>
        <w:gridCol w:w="2279"/>
        <w:gridCol w:w="2349"/>
      </w:tblGrid>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0" w:type="dxa"/>
            <w:left w:w="108" w:type="dxa"/>
            <w:bottom w:w="0" w:type="dxa"/>
            <w:right w:w="108" w:type="dxa"/>
          </w:tblCellMar>
        </w:tblPrEx>
        <w:trPr>
          <w:tblCellSpacing w:w="15" w:type="dxa"/>
        </w:trPr>
        <w:tc>
          <w:tcPr>
            <w:tcW w:w="1035" w:type="dxa"/>
            <w:tcBorders>
              <w:top w:val="outset" w:color="000000" w:sz="2" w:space="0"/>
              <w:left w:val="outset" w:color="000000" w:sz="2" w:space="0"/>
              <w:bottom w:val="outset" w:color="000000" w:sz="2" w:space="0"/>
              <w:right w:val="outset" w:color="000000" w:sz="2" w:space="0"/>
            </w:tcBorders>
            <w:tcMar>
              <w:top w:w="0" w:type="dxa"/>
              <w:left w:w="105" w:type="dxa"/>
              <w:bottom w:w="0" w:type="dxa"/>
              <w:right w:w="105" w:type="dxa"/>
            </w:tcMar>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品目号</w:t>
            </w:r>
          </w:p>
        </w:tc>
        <w:tc>
          <w:tcPr>
            <w:tcW w:w="3614" w:type="dxa"/>
            <w:tcBorders>
              <w:top w:val="outset" w:color="000000" w:sz="2" w:space="0"/>
              <w:left w:val="outset" w:color="000000" w:sz="2" w:space="0"/>
              <w:bottom w:val="outset" w:color="000000" w:sz="2" w:space="0"/>
              <w:right w:val="outset" w:color="000000" w:sz="2" w:space="0"/>
            </w:tcBorders>
            <w:tcMar>
              <w:top w:w="0" w:type="dxa"/>
              <w:left w:w="105" w:type="dxa"/>
              <w:bottom w:w="0" w:type="dxa"/>
              <w:right w:w="105" w:type="dxa"/>
            </w:tcMar>
            <w:vAlign w:val="cente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商务条件</w:t>
            </w:r>
          </w:p>
        </w:tc>
        <w:tc>
          <w:tcPr>
            <w:tcW w:w="2249" w:type="dxa"/>
            <w:tcBorders>
              <w:top w:val="outset" w:color="000000" w:sz="2" w:space="0"/>
              <w:left w:val="outset" w:color="000000" w:sz="2" w:space="0"/>
              <w:bottom w:val="outset" w:color="000000" w:sz="2" w:space="0"/>
              <w:right w:val="outset" w:color="000000" w:sz="2" w:space="0"/>
            </w:tcBorders>
            <w:tcMar>
              <w:top w:w="0" w:type="dxa"/>
              <w:left w:w="105" w:type="dxa"/>
              <w:bottom w:w="0" w:type="dxa"/>
              <w:right w:w="105" w:type="dxa"/>
            </w:tcMar>
            <w:vAlign w:val="cente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投标响应</w:t>
            </w:r>
          </w:p>
        </w:tc>
        <w:tc>
          <w:tcPr>
            <w:tcW w:w="2304" w:type="dxa"/>
            <w:tcBorders>
              <w:top w:val="outset" w:color="000000" w:sz="2" w:space="0"/>
              <w:left w:val="outset" w:color="000000" w:sz="2" w:space="0"/>
              <w:bottom w:val="outset" w:color="000000" w:sz="2" w:space="0"/>
              <w:right w:val="outset" w:color="000000" w:sz="2" w:space="0"/>
            </w:tcBorders>
            <w:tcMar>
              <w:top w:w="0" w:type="dxa"/>
              <w:left w:w="105" w:type="dxa"/>
              <w:bottom w:w="0" w:type="dxa"/>
              <w:right w:w="105" w:type="dxa"/>
            </w:tcMar>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是否偏离及说明</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0" w:type="dxa"/>
            <w:left w:w="108" w:type="dxa"/>
            <w:bottom w:w="0" w:type="dxa"/>
            <w:right w:w="108" w:type="dxa"/>
          </w:tblCellMar>
        </w:tblPrEx>
        <w:trPr>
          <w:tblCellSpacing w:w="15" w:type="dxa"/>
        </w:trPr>
        <w:tc>
          <w:tcPr>
            <w:tcW w:w="1035" w:type="dxa"/>
            <w:tcBorders>
              <w:top w:val="outset" w:color="000000" w:sz="2" w:space="0"/>
              <w:left w:val="outset" w:color="000000" w:sz="2" w:space="0"/>
              <w:bottom w:val="outset" w:color="000000" w:sz="2" w:space="0"/>
              <w:right w:val="outset" w:color="000000" w:sz="2" w:space="0"/>
            </w:tcBorders>
            <w:tcMar>
              <w:top w:w="0" w:type="dxa"/>
              <w:left w:w="105" w:type="dxa"/>
              <w:bottom w:w="0" w:type="dxa"/>
              <w:right w:w="105" w:type="dxa"/>
            </w:tcMar>
            <w:vAlign w:val="center"/>
          </w:tcPr>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614" w:type="dxa"/>
            <w:tcBorders>
              <w:top w:val="outset" w:color="000000" w:sz="2" w:space="0"/>
              <w:left w:val="outset" w:color="000000" w:sz="2" w:space="0"/>
              <w:bottom w:val="outset" w:color="000000" w:sz="2" w:space="0"/>
              <w:right w:val="outset" w:color="000000" w:sz="2" w:space="0"/>
            </w:tcBorders>
            <w:tcMar>
              <w:top w:w="0" w:type="dxa"/>
              <w:left w:w="105" w:type="dxa"/>
              <w:bottom w:w="0" w:type="dxa"/>
              <w:right w:w="105" w:type="dxa"/>
            </w:tcMa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49" w:type="dxa"/>
            <w:tcBorders>
              <w:top w:val="outset" w:color="000000" w:sz="2" w:space="0"/>
              <w:left w:val="outset" w:color="000000" w:sz="2" w:space="0"/>
              <w:bottom w:val="outset" w:color="000000" w:sz="2" w:space="0"/>
              <w:right w:val="outset" w:color="000000" w:sz="2" w:space="0"/>
            </w:tcBorders>
            <w:tcMar>
              <w:top w:w="0" w:type="dxa"/>
              <w:left w:w="105" w:type="dxa"/>
              <w:bottom w:w="0" w:type="dxa"/>
              <w:right w:w="105" w:type="dxa"/>
            </w:tcMa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304" w:type="dxa"/>
            <w:tcBorders>
              <w:top w:val="outset" w:color="000000" w:sz="2" w:space="0"/>
              <w:left w:val="outset" w:color="000000" w:sz="2" w:space="0"/>
              <w:bottom w:val="outset" w:color="000000" w:sz="2" w:space="0"/>
              <w:right w:val="outset" w:color="000000" w:sz="2" w:space="0"/>
            </w:tcBorders>
            <w:tcMar>
              <w:top w:w="0" w:type="dxa"/>
              <w:left w:w="105" w:type="dxa"/>
              <w:bottom w:w="0" w:type="dxa"/>
              <w:right w:w="105" w:type="dxa"/>
            </w:tcMa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0" w:type="dxa"/>
            <w:left w:w="108" w:type="dxa"/>
            <w:bottom w:w="0" w:type="dxa"/>
            <w:right w:w="108" w:type="dxa"/>
          </w:tblCellMar>
        </w:tblPrEx>
        <w:trPr>
          <w:tblCellSpacing w:w="15" w:type="dxa"/>
        </w:trPr>
        <w:tc>
          <w:tcPr>
            <w:tcW w:w="1035" w:type="dxa"/>
            <w:tcBorders>
              <w:top w:val="outset" w:color="000000" w:sz="2" w:space="0"/>
              <w:left w:val="outset" w:color="000000" w:sz="2" w:space="0"/>
              <w:bottom w:val="outset" w:color="000000" w:sz="2" w:space="0"/>
              <w:right w:val="outset" w:color="000000" w:sz="2" w:space="0"/>
            </w:tcBorders>
            <w:tcMar>
              <w:top w:w="0" w:type="dxa"/>
              <w:left w:w="105" w:type="dxa"/>
              <w:bottom w:w="0" w:type="dxa"/>
              <w:right w:w="105" w:type="dxa"/>
            </w:tcMar>
            <w:vAlign w:val="cente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3614" w:type="dxa"/>
            <w:tcBorders>
              <w:top w:val="outset" w:color="000000" w:sz="2" w:space="0"/>
              <w:left w:val="outset" w:color="000000" w:sz="2" w:space="0"/>
              <w:bottom w:val="outset" w:color="000000" w:sz="2" w:space="0"/>
              <w:right w:val="outset" w:color="000000" w:sz="2" w:space="0"/>
            </w:tcBorders>
            <w:tcMar>
              <w:top w:w="0" w:type="dxa"/>
              <w:left w:w="105" w:type="dxa"/>
              <w:bottom w:w="0" w:type="dxa"/>
              <w:right w:w="105" w:type="dxa"/>
            </w:tcMa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49" w:type="dxa"/>
            <w:tcBorders>
              <w:top w:val="outset" w:color="000000" w:sz="2" w:space="0"/>
              <w:left w:val="outset" w:color="000000" w:sz="2" w:space="0"/>
              <w:bottom w:val="outset" w:color="000000" w:sz="2" w:space="0"/>
              <w:right w:val="outset" w:color="000000" w:sz="2" w:space="0"/>
            </w:tcBorders>
            <w:tcMar>
              <w:top w:w="0" w:type="dxa"/>
              <w:left w:w="105" w:type="dxa"/>
              <w:bottom w:w="0" w:type="dxa"/>
              <w:right w:w="105" w:type="dxa"/>
            </w:tcMa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304" w:type="dxa"/>
            <w:tcBorders>
              <w:top w:val="outset" w:color="000000" w:sz="2" w:space="0"/>
              <w:left w:val="outset" w:color="000000" w:sz="2" w:space="0"/>
              <w:bottom w:val="outset" w:color="000000" w:sz="2" w:space="0"/>
              <w:right w:val="outset" w:color="000000" w:sz="2" w:space="0"/>
            </w:tcBorders>
            <w:tcMar>
              <w:top w:w="0" w:type="dxa"/>
              <w:left w:w="105" w:type="dxa"/>
              <w:bottom w:w="0" w:type="dxa"/>
              <w:right w:w="105" w:type="dxa"/>
            </w:tcMa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0" w:type="dxa"/>
            <w:left w:w="108" w:type="dxa"/>
            <w:bottom w:w="0" w:type="dxa"/>
            <w:right w:w="108" w:type="dxa"/>
          </w:tblCellMar>
        </w:tblPrEx>
        <w:trPr>
          <w:tblCellSpacing w:w="15" w:type="dxa"/>
        </w:trPr>
        <w:tc>
          <w:tcPr>
            <w:tcW w:w="1035" w:type="dxa"/>
            <w:tcBorders>
              <w:top w:val="outset" w:color="000000" w:sz="2" w:space="0"/>
              <w:left w:val="outset" w:color="000000" w:sz="2" w:space="0"/>
              <w:bottom w:val="outset" w:color="000000" w:sz="2" w:space="0"/>
              <w:right w:val="outset" w:color="000000" w:sz="2" w:space="0"/>
            </w:tcBorders>
            <w:tcMar>
              <w:top w:w="0" w:type="dxa"/>
              <w:left w:w="105" w:type="dxa"/>
              <w:bottom w:w="0" w:type="dxa"/>
              <w:right w:w="105" w:type="dxa"/>
            </w:tcMar>
            <w:vAlign w:val="cente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614" w:type="dxa"/>
            <w:tcBorders>
              <w:top w:val="outset" w:color="000000" w:sz="2" w:space="0"/>
              <w:left w:val="outset" w:color="000000" w:sz="2" w:space="0"/>
              <w:bottom w:val="outset" w:color="000000" w:sz="2" w:space="0"/>
              <w:right w:val="outset" w:color="000000" w:sz="2" w:space="0"/>
            </w:tcBorders>
            <w:tcMar>
              <w:top w:w="0" w:type="dxa"/>
              <w:left w:w="105" w:type="dxa"/>
              <w:bottom w:w="0" w:type="dxa"/>
              <w:right w:w="105" w:type="dxa"/>
            </w:tcMar>
            <w:vAlign w:val="cente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49" w:type="dxa"/>
            <w:tcBorders>
              <w:top w:val="outset" w:color="000000" w:sz="2" w:space="0"/>
              <w:left w:val="outset" w:color="000000" w:sz="2" w:space="0"/>
              <w:bottom w:val="outset" w:color="000000" w:sz="2" w:space="0"/>
              <w:right w:val="outset" w:color="000000" w:sz="2" w:space="0"/>
            </w:tcBorders>
            <w:tcMar>
              <w:top w:w="0" w:type="dxa"/>
              <w:left w:w="105" w:type="dxa"/>
              <w:bottom w:w="0" w:type="dxa"/>
              <w:right w:w="105" w:type="dxa"/>
            </w:tcMar>
            <w:vAlign w:val="cente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304" w:type="dxa"/>
            <w:tcBorders>
              <w:top w:val="outset" w:color="000000" w:sz="2" w:space="0"/>
              <w:left w:val="outset" w:color="000000" w:sz="2" w:space="0"/>
              <w:bottom w:val="outset" w:color="000000" w:sz="2" w:space="0"/>
              <w:right w:val="outset" w:color="000000" w:sz="2" w:space="0"/>
            </w:tcBorders>
            <w:tcMar>
              <w:top w:w="0" w:type="dxa"/>
              <w:left w:w="105" w:type="dxa"/>
              <w:bottom w:w="0" w:type="dxa"/>
              <w:right w:w="105" w:type="dxa"/>
            </w:tcMar>
            <w:vAlign w:val="center"/>
          </w:tcPr>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1、本表应按照下列规定填写：</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1.1“商务条件”项下填写的内容应与采购文件第三章“商务条件”的内容保持一致。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1.2“投标响应”项下应填写具体的响应内容并与“商务条件”项下填写的内容逐项对应。</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1.3“是否偏离及说明”项下应按下列规定填写：优于的，填写“正偏离”；符合的，填写“无偏离”；低于的，填写“负偏离”。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投标人：（全称并加盖单位公章）</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投标人代表签字：</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日期：年月日</w:t>
      </w:r>
    </w:p>
    <w:p>
      <w:pPr>
        <w:pageBreakBefore w:val="0"/>
        <w:kinsoku/>
        <w:wordWrap/>
        <w:overflowPunct/>
        <w:topLinePunct w:val="0"/>
        <w:bidi w:val="0"/>
        <w:spacing w:line="360" w:lineRule="auto"/>
        <w:ind w:firstLine="2280" w:firstLineChars="95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widowControl/>
        <w:kinsoku/>
        <w:wordWrap/>
        <w:overflowPunct/>
        <w:topLinePunct w:val="0"/>
        <w:bidi w:val="0"/>
        <w:spacing w:before="100" w:beforeAutospacing="1" w:after="100" w:afterAutospacing="1"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color w:val="000000" w:themeColor="text1"/>
          <w:sz w:val="24"/>
          <w:szCs w:val="24"/>
          <w:highlight w:val="none"/>
          <w14:textFill>
            <w14:solidFill>
              <w14:schemeClr w14:val="tx1"/>
            </w14:solidFill>
          </w14:textFill>
        </w:rPr>
        <w:t>、投标人提交的其他资料（若有）</w:t>
      </w:r>
    </w:p>
    <w:p>
      <w:pPr>
        <w:pageBreakBefore w:val="0"/>
        <w:kinsoku/>
        <w:wordWrap/>
        <w:overflowPunct/>
        <w:topLinePunct w:val="0"/>
        <w:bidi w:val="0"/>
        <w:spacing w:line="360" w:lineRule="auto"/>
        <w:ind w:firstLine="482" w:firstLine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编制说明</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1、招标文件要求提交的除</w:t>
      </w:r>
      <w:r>
        <w:rPr>
          <w:rFonts w:hint="eastAsia" w:ascii="宋体" w:hAnsi="宋体" w:eastAsia="宋体" w:cs="宋体"/>
          <w:b/>
          <w:bCs/>
          <w:color w:val="000000" w:themeColor="text1"/>
          <w:sz w:val="24"/>
          <w:szCs w:val="24"/>
          <w:highlight w:val="none"/>
          <w14:textFill>
            <w14:solidFill>
              <w14:schemeClr w14:val="tx1"/>
            </w14:solidFill>
          </w14:textFill>
        </w:rPr>
        <w:t>“资格及资信证明部分”、“报价部分”</w:t>
      </w:r>
      <w:r>
        <w:rPr>
          <w:rFonts w:hint="eastAsia" w:ascii="宋体" w:hAnsi="宋体" w:eastAsia="宋体" w:cs="宋体"/>
          <w:color w:val="000000" w:themeColor="text1"/>
          <w:sz w:val="24"/>
          <w:szCs w:val="24"/>
          <w:highlight w:val="none"/>
          <w14:textFill>
            <w14:solidFill>
              <w14:schemeClr w14:val="tx1"/>
            </w14:solidFill>
          </w14:textFill>
        </w:rPr>
        <w:t>外的其他证明材料或资料加盖投标人的单位公章后应在此项下提交。</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2、招标文件要求投标人提供方案（包括但不限于：组织、实施、技术、服务方案等）的，投标人应在此项下提交。</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3、除招标文件另有规定外，投标人认为需要提交的其他证明材料或资料加盖投标人的单位公章后应在此项下提交。</w:t>
      </w: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2" w:firstLine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14:textFill>
            <w14:solidFill>
              <w14:schemeClr w14:val="tx1"/>
            </w14:solidFill>
          </w14:textFill>
        </w:rPr>
        <w:t>招标服务费承诺书</w:t>
      </w:r>
    </w:p>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lang w:eastAsia="zh-CN"/>
          <w14:textFill>
            <w14:solidFill>
              <w14:schemeClr w14:val="tx1"/>
            </w14:solidFill>
          </w14:textFill>
        </w:rPr>
        <w:t>连城县国有资产产权交易服务有限公司</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我们在贵公司组织的项目招标中投标（招标编号：），如获中标，我们保证按招标文件的规定，以电汇、转账或经贵公司认可的其他付款方式，向贵公司缴交招标服务费。</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我方如违反上述承诺，</w:t>
      </w:r>
      <w:r>
        <w:rPr>
          <w:rFonts w:hint="eastAsia" w:ascii="宋体" w:hAnsi="宋体" w:eastAsia="宋体" w:cs="宋体"/>
          <w:color w:val="000000" w:themeColor="text1"/>
          <w:sz w:val="24"/>
          <w:szCs w:val="24"/>
          <w:highlight w:val="none"/>
          <w:lang w:eastAsia="zh-CN"/>
          <w14:textFill>
            <w14:solidFill>
              <w14:schemeClr w14:val="tx1"/>
            </w14:solidFill>
          </w14:textFill>
        </w:rPr>
        <w:t>将接受贵公司的处罚</w:t>
      </w:r>
      <w:r>
        <w:rPr>
          <w:rFonts w:hint="eastAsia" w:ascii="宋体" w:hAnsi="宋体" w:eastAsia="宋体" w:cs="宋体"/>
          <w:color w:val="000000" w:themeColor="text1"/>
          <w:sz w:val="24"/>
          <w:szCs w:val="24"/>
          <w:highlight w:val="none"/>
          <w14:textFill>
            <w14:solidFill>
              <w14:schemeClr w14:val="tx1"/>
            </w14:solidFill>
          </w14:textFill>
        </w:rPr>
        <w:t>，我方对此无异议。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投标人名称:（全称并加盖公章）</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投标人代表签字或盖章：</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ind w:firstLine="3720" w:firstLineChars="155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sectPr>
      <w:headerReference r:id="rId7" w:type="default"/>
      <w:footerReference r:id="rId8" w:type="default"/>
      <w:pgSz w:w="11907" w:h="16840"/>
      <w:pgMar w:top="1134" w:right="1418" w:bottom="1134" w:left="1418" w:header="851" w:footer="992" w:gutter="0"/>
      <w:pgNumType w:fmt="decimal"/>
      <w:cols w:space="720" w:num="1"/>
      <w:docGrid w:linePitch="323" w:charSpac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004020304"/>
    <w:charset w:val="00"/>
    <w:family w:val="roman"/>
    <w:pitch w:val="default"/>
    <w:sig w:usb0="00000000"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14</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shd w:val="pct5" w:color="auto" w:fill="auto"/>
      <w:jc w:val="both"/>
      <w:rPr>
        <w:rFonts w:hint="eastAsia"/>
      </w:rPr>
    </w:pPr>
    <w:r>
      <w:rPr>
        <w:rFonts w:hint="eastAsia" w:eastAsia="仿宋_GB2312"/>
      </w:rPr>
      <w:t xml:space="preserve">采购招标文件          </w:t>
    </w:r>
    <w:r>
      <w:rPr>
        <w:rFonts w:hint="eastAsia" w:ascii="仿宋_GB2312" w:eastAsia="仿宋_GB2312"/>
      </w:rPr>
      <w:t xml:space="preserve">        </w:t>
    </w:r>
    <w:r>
      <w:rPr>
        <w:rFonts w:hint="eastAsia" w:ascii="仿宋_GB2312" w:eastAsia="仿宋_GB2312"/>
        <w:color w:val="FF0000"/>
      </w:rPr>
      <w:t xml:space="preserve">                 </w:t>
    </w:r>
    <w:r>
      <w:rPr>
        <w:rFonts w:hint="eastAsia" w:ascii="仿宋_GB2312"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hd w:val="pct5" w:color="auto" w:fill="auto"/>
      <w:jc w:val="both"/>
    </w:pPr>
    <w:r>
      <w:rPr>
        <w:rFonts w:hint="eastAsia"/>
      </w:rPr>
      <w:t xml:space="preserve">采购询价通知书     </w:t>
    </w:r>
    <w:r>
      <w:rPr>
        <w:rFonts w:hint="eastAsia" w:ascii="仿宋_GB2312"/>
      </w:rPr>
      <w:t xml:space="preserve">                                     </w:t>
    </w:r>
    <w:r>
      <w:rPr>
        <w:rFonts w:hint="eastAsia" w:ascii="仿宋_GB2312"/>
        <w:color w:val="FF0000"/>
      </w:rPr>
      <w:t xml:space="preserve">     </w:t>
    </w:r>
    <w:r>
      <w:rPr>
        <w:rFonts w:hint="eastAsia" w:ascii="仿宋_GB23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hd w:val="pct5" w:color="auto" w:fill="auto"/>
      <w:jc w:val="left"/>
      <w:rPr>
        <w:rFonts w:hint="eastAsia"/>
      </w:rPr>
    </w:pPr>
    <w:r>
      <w:rPr>
        <w:rFonts w:hint="eastAsia" w:eastAsia="仿宋_GB2312"/>
      </w:rPr>
      <w:t xml:space="preserve">采购招标文件    </w:t>
    </w:r>
    <w:r>
      <w:rPr>
        <w:rFonts w:hint="eastAsia" w:ascii="仿宋_GB2312" w:eastAsia="仿宋_GB2312"/>
      </w:rPr>
      <w:t xml:space="preserve">                  </w:t>
    </w:r>
    <w:r>
      <w:rPr>
        <w:rFonts w:hint="eastAsia" w:ascii="仿宋_GB2312" w:eastAsia="仿宋_GB2312"/>
        <w:color w:val="FF0000"/>
      </w:rPr>
      <w:t xml:space="preserve">              </w:t>
    </w:r>
    <w:r>
      <w:rPr>
        <w:rFonts w:hint="eastAsia" w:ascii="仿宋_GB2312"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81F4C"/>
    <w:multiLevelType w:val="singleLevel"/>
    <w:tmpl w:val="C7181F4C"/>
    <w:lvl w:ilvl="0" w:tentative="0">
      <w:start w:val="1"/>
      <w:numFmt w:val="lowerLetter"/>
      <w:lvlText w:val="%1."/>
      <w:lvlJc w:val="left"/>
      <w:pPr>
        <w:tabs>
          <w:tab w:val="left" w:pos="312"/>
        </w:tabs>
      </w:pPr>
    </w:lvl>
  </w:abstractNum>
  <w:abstractNum w:abstractNumId="1">
    <w:nsid w:val="00000004"/>
    <w:multiLevelType w:val="multilevel"/>
    <w:tmpl w:val="00000004"/>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5"/>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52043A1F"/>
    <w:multiLevelType w:val="singleLevel"/>
    <w:tmpl w:val="52043A1F"/>
    <w:lvl w:ilvl="0" w:tentative="0">
      <w:start w:val="1"/>
      <w:numFmt w:val="decimal"/>
      <w:suff w:val="nothing"/>
      <w:lvlText w:val="（%1）"/>
      <w:lvlJc w:val="left"/>
    </w:lvl>
  </w:abstractNum>
  <w:abstractNum w:abstractNumId="4">
    <w:nsid w:val="5EC6BB90"/>
    <w:multiLevelType w:val="singleLevel"/>
    <w:tmpl w:val="5EC6BB90"/>
    <w:lvl w:ilvl="0" w:tentative="0">
      <w:start w:val="10"/>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zkIKnD8x5M7xGJBwSIbB/nhCB+o=" w:salt="fP112K44f9KyTMso7lGRb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s>
  <w:rsids>
    <w:rsidRoot w:val="00000000"/>
    <w:rsid w:val="03817CB8"/>
    <w:rsid w:val="040B413A"/>
    <w:rsid w:val="04766971"/>
    <w:rsid w:val="04AD67C6"/>
    <w:rsid w:val="05BD639F"/>
    <w:rsid w:val="06947973"/>
    <w:rsid w:val="06A43013"/>
    <w:rsid w:val="077C02A3"/>
    <w:rsid w:val="07CB7488"/>
    <w:rsid w:val="08240FAD"/>
    <w:rsid w:val="08336C45"/>
    <w:rsid w:val="0BBC5BA6"/>
    <w:rsid w:val="0F8948AF"/>
    <w:rsid w:val="10943D35"/>
    <w:rsid w:val="117E613F"/>
    <w:rsid w:val="13327206"/>
    <w:rsid w:val="134B0295"/>
    <w:rsid w:val="13822062"/>
    <w:rsid w:val="13FD6CBB"/>
    <w:rsid w:val="143F1D12"/>
    <w:rsid w:val="15A24B3A"/>
    <w:rsid w:val="16BF6452"/>
    <w:rsid w:val="175C138A"/>
    <w:rsid w:val="183D5E0D"/>
    <w:rsid w:val="1A311026"/>
    <w:rsid w:val="1A8C65CF"/>
    <w:rsid w:val="1AF85BF9"/>
    <w:rsid w:val="1D366B78"/>
    <w:rsid w:val="1E3E73CA"/>
    <w:rsid w:val="1EAB269B"/>
    <w:rsid w:val="1EB30C24"/>
    <w:rsid w:val="1EFE6F4C"/>
    <w:rsid w:val="1F843C9C"/>
    <w:rsid w:val="21B57599"/>
    <w:rsid w:val="236802FF"/>
    <w:rsid w:val="23EB72AC"/>
    <w:rsid w:val="247C6E9E"/>
    <w:rsid w:val="254447BB"/>
    <w:rsid w:val="264D73F2"/>
    <w:rsid w:val="26DB74CD"/>
    <w:rsid w:val="27984360"/>
    <w:rsid w:val="289504FC"/>
    <w:rsid w:val="289E6F5B"/>
    <w:rsid w:val="28DB1B23"/>
    <w:rsid w:val="28DE4E77"/>
    <w:rsid w:val="28F86C08"/>
    <w:rsid w:val="297B7032"/>
    <w:rsid w:val="2AF10254"/>
    <w:rsid w:val="2B6F19B7"/>
    <w:rsid w:val="2B7F0161"/>
    <w:rsid w:val="2C293467"/>
    <w:rsid w:val="2C5425CB"/>
    <w:rsid w:val="2E3D5F6A"/>
    <w:rsid w:val="2F053F70"/>
    <w:rsid w:val="301913B4"/>
    <w:rsid w:val="30782813"/>
    <w:rsid w:val="31D44805"/>
    <w:rsid w:val="31DC495A"/>
    <w:rsid w:val="33D77CA8"/>
    <w:rsid w:val="35A94CA0"/>
    <w:rsid w:val="36085719"/>
    <w:rsid w:val="36841F62"/>
    <w:rsid w:val="37E67A5B"/>
    <w:rsid w:val="382826FE"/>
    <w:rsid w:val="38F854CC"/>
    <w:rsid w:val="3B5366FC"/>
    <w:rsid w:val="3B5572D4"/>
    <w:rsid w:val="3B83709F"/>
    <w:rsid w:val="3BE73734"/>
    <w:rsid w:val="3DD606FA"/>
    <w:rsid w:val="3EBF674C"/>
    <w:rsid w:val="3EC81E12"/>
    <w:rsid w:val="3F03372A"/>
    <w:rsid w:val="3F386AD0"/>
    <w:rsid w:val="404A783C"/>
    <w:rsid w:val="40CD5E97"/>
    <w:rsid w:val="40E61B23"/>
    <w:rsid w:val="421767B3"/>
    <w:rsid w:val="44CE29A6"/>
    <w:rsid w:val="46602C21"/>
    <w:rsid w:val="467334A7"/>
    <w:rsid w:val="46B362B5"/>
    <w:rsid w:val="47EF48BA"/>
    <w:rsid w:val="482C0947"/>
    <w:rsid w:val="4A3239A7"/>
    <w:rsid w:val="4B191EB7"/>
    <w:rsid w:val="4DE87BD0"/>
    <w:rsid w:val="4F277882"/>
    <w:rsid w:val="517C47AD"/>
    <w:rsid w:val="52AC3524"/>
    <w:rsid w:val="52DD6400"/>
    <w:rsid w:val="53140A5C"/>
    <w:rsid w:val="537E7D08"/>
    <w:rsid w:val="539D181E"/>
    <w:rsid w:val="54FC6A93"/>
    <w:rsid w:val="553D1650"/>
    <w:rsid w:val="57967C95"/>
    <w:rsid w:val="5A0D6079"/>
    <w:rsid w:val="5CBE2869"/>
    <w:rsid w:val="5CED5C00"/>
    <w:rsid w:val="5E10719C"/>
    <w:rsid w:val="5E5947C9"/>
    <w:rsid w:val="5EDC6404"/>
    <w:rsid w:val="5F1520DC"/>
    <w:rsid w:val="5F4E4129"/>
    <w:rsid w:val="61FD21A0"/>
    <w:rsid w:val="62227F38"/>
    <w:rsid w:val="627E17B5"/>
    <w:rsid w:val="62C179A5"/>
    <w:rsid w:val="63BC5522"/>
    <w:rsid w:val="64410F8F"/>
    <w:rsid w:val="647A5C47"/>
    <w:rsid w:val="64D0169A"/>
    <w:rsid w:val="65801654"/>
    <w:rsid w:val="6583121B"/>
    <w:rsid w:val="65AB4911"/>
    <w:rsid w:val="677107DD"/>
    <w:rsid w:val="67840CA7"/>
    <w:rsid w:val="67F70699"/>
    <w:rsid w:val="68373C9B"/>
    <w:rsid w:val="6A9D7BF8"/>
    <w:rsid w:val="6CD86BAF"/>
    <w:rsid w:val="6D047C4A"/>
    <w:rsid w:val="6DD040E5"/>
    <w:rsid w:val="6DDD2268"/>
    <w:rsid w:val="6E004E79"/>
    <w:rsid w:val="6E223A48"/>
    <w:rsid w:val="6EC71785"/>
    <w:rsid w:val="71542AA7"/>
    <w:rsid w:val="719942E5"/>
    <w:rsid w:val="71BC3A02"/>
    <w:rsid w:val="72F36F5A"/>
    <w:rsid w:val="7318760A"/>
    <w:rsid w:val="73BA5622"/>
    <w:rsid w:val="75510906"/>
    <w:rsid w:val="76204959"/>
    <w:rsid w:val="775E4B2C"/>
    <w:rsid w:val="788A066E"/>
    <w:rsid w:val="78CE3494"/>
    <w:rsid w:val="796638F9"/>
    <w:rsid w:val="796B7926"/>
    <w:rsid w:val="79857D5C"/>
    <w:rsid w:val="79A84626"/>
    <w:rsid w:val="79CC49FF"/>
    <w:rsid w:val="7A1451F6"/>
    <w:rsid w:val="7A4B2130"/>
    <w:rsid w:val="7AD67D78"/>
    <w:rsid w:val="7DB70C76"/>
    <w:rsid w:val="7E53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jc w:val="left"/>
    </w:pPr>
  </w:style>
  <w:style w:type="paragraph" w:styleId="4">
    <w:name w:val="heading 2"/>
    <w:basedOn w:val="1"/>
    <w:next w:val="1"/>
    <w:qFormat/>
    <w:uiPriority w:val="9"/>
    <w:pPr>
      <w:keepNext/>
      <w:keepLines/>
      <w:spacing w:before="260" w:after="260" w:line="415" w:lineRule="auto"/>
      <w:jc w:val="left"/>
      <w:outlineLvl w:val="1"/>
    </w:pPr>
    <w:rPr>
      <w:rFonts w:ascii="CG Times" w:hAnsi="CG Times"/>
      <w:b/>
      <w:sz w:val="24"/>
      <w:szCs w:val="20"/>
    </w:rPr>
  </w:style>
  <w:style w:type="paragraph" w:styleId="5">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23">
    <w:name w:val="Default Paragraph Font"/>
    <w:qFormat/>
    <w:uiPriority w:val="0"/>
  </w:style>
  <w:style w:type="table" w:default="1" w:styleId="21">
    <w:name w:val="Normal Table"/>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Document Map"/>
    <w:basedOn w:val="1"/>
    <w:next w:val="1"/>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next w:val="1"/>
    <w:qFormat/>
    <w:uiPriority w:val="0"/>
    <w:pPr>
      <w:spacing w:line="380" w:lineRule="exact"/>
    </w:pPr>
    <w:rPr>
      <w:sz w:val="24"/>
    </w:rPr>
  </w:style>
  <w:style w:type="paragraph" w:styleId="9">
    <w:name w:val="Body Text Indent"/>
    <w:basedOn w:val="1"/>
    <w:next w:val="1"/>
    <w:qFormat/>
    <w:uiPriority w:val="0"/>
    <w:pPr>
      <w:spacing w:after="120"/>
      <w:ind w:left="420" w:leftChars="200"/>
    </w:pPr>
  </w:style>
  <w:style w:type="paragraph" w:styleId="10">
    <w:name w:val="Plain Text"/>
    <w:basedOn w:val="1"/>
    <w:next w:val="1"/>
    <w:qFormat/>
    <w:uiPriority w:val="0"/>
    <w:rPr>
      <w:rFonts w:ascii="宋体" w:hAnsi="Courier New"/>
      <w:szCs w:val="20"/>
    </w:rPr>
  </w:style>
  <w:style w:type="paragraph" w:styleId="11">
    <w:name w:val="Body Text Indent 2"/>
    <w:basedOn w:val="1"/>
    <w:qFormat/>
    <w:uiPriority w:val="0"/>
    <w:pPr>
      <w:spacing w:line="20" w:lineRule="atLeast"/>
      <w:ind w:firstLine="199" w:firstLineChars="199"/>
      <w:jc w:val="left"/>
    </w:pPr>
    <w:rPr>
      <w:rFonts w:ascii="宋体"/>
      <w:sz w:val="24"/>
    </w:r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39"/>
    <w:pPr>
      <w:spacing w:before="120" w:after="120"/>
      <w:jc w:val="left"/>
    </w:pPr>
    <w:rPr>
      <w:rFonts w:ascii="Calibri" w:hAnsi="Calibri"/>
      <w:b/>
      <w:bCs/>
      <w:caps/>
      <w:sz w:val="20"/>
    </w:rPr>
  </w:style>
  <w:style w:type="paragraph" w:styleId="15">
    <w:name w:val="Body Text Indent 3"/>
    <w:basedOn w:val="1"/>
    <w:unhideWhenUsed/>
    <w:qFormat/>
    <w:uiPriority w:val="99"/>
    <w:pPr>
      <w:spacing w:after="120"/>
      <w:ind w:left="420" w:leftChars="200"/>
    </w:pPr>
    <w:rPr>
      <w:kern w:val="2"/>
      <w:sz w:val="16"/>
      <w:szCs w:val="16"/>
    </w:rPr>
  </w:style>
  <w:style w:type="paragraph" w:styleId="16">
    <w:name w:val="toc 2"/>
    <w:basedOn w:val="1"/>
    <w:next w:val="1"/>
    <w:qFormat/>
    <w:uiPriority w:val="39"/>
    <w:pPr>
      <w:ind w:left="210"/>
      <w:jc w:val="left"/>
    </w:pPr>
    <w:rPr>
      <w:rFonts w:ascii="Calibri" w:hAnsi="Calibri"/>
      <w:smallCaps/>
      <w:sz w:val="20"/>
    </w:rPr>
  </w:style>
  <w:style w:type="paragraph" w:styleId="17">
    <w:name w:val="Normal (Web)"/>
    <w:basedOn w:val="1"/>
    <w:next w:val="18"/>
    <w:qFormat/>
    <w:uiPriority w:val="99"/>
    <w:pPr>
      <w:widowControl/>
      <w:spacing w:before="100" w:beforeAutospacing="1" w:after="100" w:afterAutospacing="1"/>
      <w:jc w:val="left"/>
    </w:pPr>
    <w:rPr>
      <w:rFonts w:ascii="宋体" w:cs="宋体"/>
      <w:kern w:val="0"/>
      <w:sz w:val="24"/>
    </w:rPr>
  </w:style>
  <w:style w:type="paragraph" w:customStyle="1" w:styleId="1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styleId="19">
    <w:name w:val="Title"/>
    <w:basedOn w:val="1"/>
    <w:next w:val="1"/>
    <w:qFormat/>
    <w:uiPriority w:val="0"/>
    <w:pPr>
      <w:spacing w:before="240" w:after="60"/>
      <w:jc w:val="center"/>
      <w:outlineLvl w:val="0"/>
    </w:pPr>
    <w:rPr>
      <w:rFonts w:ascii="Calibri Light" w:hAnsi="Calibri Light"/>
      <w:b/>
      <w:bCs/>
      <w:sz w:val="32"/>
      <w:szCs w:val="32"/>
    </w:rPr>
  </w:style>
  <w:style w:type="paragraph" w:styleId="20">
    <w:name w:val="Body Text First Indent 2"/>
    <w:basedOn w:val="9"/>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Emphasis"/>
    <w:basedOn w:val="23"/>
    <w:qFormat/>
    <w:uiPriority w:val="0"/>
    <w:rPr>
      <w:b/>
      <w:bCs/>
    </w:rPr>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rPr>
      <w:bdr w:val="single" w:color="BDBEC1" w:sz="2" w:space="0"/>
      <w:shd w:val="clear" w:fill="FFFFFF"/>
    </w:rPr>
  </w:style>
  <w:style w:type="character" w:styleId="31">
    <w:name w:val="HTML Variable"/>
    <w:basedOn w:val="23"/>
    <w:qFormat/>
    <w:uiPriority w:val="0"/>
  </w:style>
  <w:style w:type="character" w:styleId="32">
    <w:name w:val="Hyperlink"/>
    <w:basedOn w:val="23"/>
    <w:qFormat/>
    <w:uiPriority w:val="99"/>
    <w:rPr>
      <w:color w:val="333333"/>
      <w:u w:val="none"/>
    </w:rPr>
  </w:style>
  <w:style w:type="character" w:styleId="33">
    <w:name w:val="HTML Code"/>
    <w:basedOn w:val="23"/>
    <w:qFormat/>
    <w:uiPriority w:val="0"/>
    <w:rPr>
      <w:rFonts w:hint="default" w:ascii="monospace" w:hAnsi="monospace" w:eastAsia="monospace" w:cs="monospace"/>
      <w:sz w:val="20"/>
    </w:rPr>
  </w:style>
  <w:style w:type="character" w:styleId="34">
    <w:name w:val="HTML Cite"/>
    <w:basedOn w:val="23"/>
    <w:qFormat/>
    <w:uiPriority w:val="0"/>
  </w:style>
  <w:style w:type="character" w:styleId="35">
    <w:name w:val="HTML Keyboard"/>
    <w:basedOn w:val="23"/>
    <w:qFormat/>
    <w:uiPriority w:val="0"/>
    <w:rPr>
      <w:rFonts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paragraph" w:customStyle="1" w:styleId="37">
    <w:name w:val="样式 表格正文 + 两端对齐"/>
    <w:basedOn w:val="1"/>
    <w:next w:val="38"/>
    <w:qFormat/>
    <w:uiPriority w:val="0"/>
    <w:pPr>
      <w:spacing w:line="300" w:lineRule="auto"/>
    </w:pPr>
  </w:style>
  <w:style w:type="paragraph" w:customStyle="1" w:styleId="38">
    <w:name w:val="正文1"/>
    <w:basedOn w:val="1"/>
    <w:qFormat/>
    <w:uiPriority w:val="0"/>
    <w:pPr>
      <w:spacing w:line="360" w:lineRule="atLeast"/>
      <w:jc w:val="left"/>
      <w:textAlignment w:val="baseline"/>
    </w:pPr>
    <w:rPr>
      <w:rFonts w:ascii="宋体"/>
    </w:rPr>
  </w:style>
  <w:style w:type="paragraph" w:customStyle="1" w:styleId="39">
    <w:name w:val="Body text|1"/>
    <w:basedOn w:val="1"/>
    <w:qFormat/>
    <w:uiPriority w:val="0"/>
    <w:pPr>
      <w:widowControl w:val="0"/>
      <w:shd w:val="clear" w:color="auto" w:fill="auto"/>
      <w:spacing w:after="40" w:line="293" w:lineRule="auto"/>
    </w:pPr>
    <w:rPr>
      <w:rFonts w:ascii="宋体" w:hAnsi="宋体" w:eastAsia="宋体" w:cs="宋体"/>
      <w:sz w:val="22"/>
      <w:szCs w:val="22"/>
      <w:u w:val="none"/>
      <w:shd w:val="clear" w:color="auto" w:fill="auto"/>
      <w:lang w:val="zh-TW" w:eastAsia="zh-TW" w:bidi="zh-TW"/>
    </w:rPr>
  </w:style>
  <w:style w:type="paragraph" w:customStyle="1" w:styleId="40">
    <w:name w:val="Other|1"/>
    <w:basedOn w:val="1"/>
    <w:qFormat/>
    <w:uiPriority w:val="0"/>
    <w:pPr>
      <w:widowControl w:val="0"/>
      <w:shd w:val="clear" w:color="auto" w:fill="auto"/>
      <w:spacing w:after="40" w:line="293" w:lineRule="auto"/>
    </w:pPr>
    <w:rPr>
      <w:rFonts w:ascii="宋体" w:hAnsi="宋体" w:eastAsia="宋体" w:cs="宋体"/>
      <w:sz w:val="22"/>
      <w:szCs w:val="22"/>
      <w:u w:val="none"/>
      <w:shd w:val="clear" w:color="auto" w:fill="auto"/>
      <w:lang w:val="zh-TW" w:eastAsia="zh-TW" w:bidi="zh-TW"/>
    </w:rPr>
  </w:style>
  <w:style w:type="character" w:customStyle="1" w:styleId="41">
    <w:name w:val="NormalCharacter"/>
    <w:qFormat/>
    <w:uiPriority w:val="0"/>
  </w:style>
  <w:style w:type="paragraph" w:customStyle="1" w:styleId="42">
    <w:name w:val="样式3"/>
    <w:basedOn w:val="10"/>
    <w:qFormat/>
    <w:uiPriority w:val="0"/>
    <w:pPr>
      <w:spacing w:line="0" w:lineRule="atLeast"/>
      <w:outlineLvl w:val="0"/>
    </w:pPr>
    <w:rPr>
      <w:sz w:val="28"/>
    </w:rPr>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4">
    <w:name w:val="font31"/>
    <w:basedOn w:val="23"/>
    <w:qFormat/>
    <w:uiPriority w:val="0"/>
    <w:rPr>
      <w:rFonts w:hint="eastAsia" w:ascii="宋体" w:hAnsi="宋体" w:eastAsia="宋体" w:cs="宋体"/>
      <w:color w:val="000000"/>
      <w:sz w:val="21"/>
      <w:szCs w:val="21"/>
      <w:u w:val="none"/>
    </w:rPr>
  </w:style>
  <w:style w:type="character" w:customStyle="1" w:styleId="45">
    <w:name w:val="font11"/>
    <w:basedOn w:val="23"/>
    <w:qFormat/>
    <w:uiPriority w:val="0"/>
    <w:rPr>
      <w:rFonts w:hint="eastAsia" w:ascii="宋体" w:hAnsi="宋体" w:eastAsia="宋体" w:cs="宋体"/>
      <w:color w:val="000000"/>
      <w:sz w:val="24"/>
      <w:szCs w:val="24"/>
      <w:u w:val="none"/>
    </w:rPr>
  </w:style>
  <w:style w:type="character" w:customStyle="1" w:styleId="46">
    <w:name w:val="hover1"/>
    <w:basedOn w:val="23"/>
    <w:qFormat/>
    <w:uiPriority w:val="0"/>
  </w:style>
  <w:style w:type="character" w:customStyle="1" w:styleId="47">
    <w:name w:val="hover2"/>
    <w:basedOn w:val="23"/>
    <w:qFormat/>
    <w:uiPriority w:val="0"/>
    <w:rPr>
      <w:color w:val="2590EB"/>
    </w:rPr>
  </w:style>
  <w:style w:type="character" w:customStyle="1" w:styleId="48">
    <w:name w:val="hover3"/>
    <w:basedOn w:val="23"/>
    <w:qFormat/>
    <w:uiPriority w:val="0"/>
    <w:rPr>
      <w:color w:val="2590EB"/>
    </w:rPr>
  </w:style>
  <w:style w:type="character" w:customStyle="1" w:styleId="49">
    <w:name w:val="hover"/>
    <w:basedOn w:val="23"/>
    <w:qFormat/>
    <w:uiPriority w:val="0"/>
    <w:rPr>
      <w:color w:val="2590EB"/>
    </w:rPr>
  </w:style>
  <w:style w:type="paragraph" w:customStyle="1" w:styleId="50">
    <w:name w:val="彩色列表 - 强调文字颜色 11"/>
    <w:basedOn w:val="1"/>
    <w:qFormat/>
    <w:uiPriority w:val="34"/>
    <w:pPr>
      <w:ind w:firstLine="420" w:firstLineChars="200"/>
    </w:pPr>
    <w:rPr>
      <w:rFonts w:cs="Times New Roman"/>
      <w:szCs w:val="20"/>
      <w:lang w:bidi="ar-SA"/>
    </w:rPr>
  </w:style>
  <w:style w:type="character" w:customStyle="1" w:styleId="51">
    <w:name w:val="font41"/>
    <w:basedOn w:val="23"/>
    <w:qFormat/>
    <w:uiPriority w:val="0"/>
    <w:rPr>
      <w:rFonts w:hint="eastAsia" w:ascii="宋体" w:hAnsi="宋体" w:eastAsia="宋体" w:cs="宋体"/>
      <w:color w:val="000000"/>
      <w:sz w:val="24"/>
      <w:szCs w:val="24"/>
      <w:u w:val="none"/>
    </w:rPr>
  </w:style>
  <w:style w:type="character" w:customStyle="1" w:styleId="52">
    <w:name w:val="font51"/>
    <w:basedOn w:val="23"/>
    <w:qFormat/>
    <w:uiPriority w:val="0"/>
    <w:rPr>
      <w:rFonts w:hint="eastAsia" w:ascii="宋体" w:hAnsi="宋体" w:eastAsia="宋体" w:cs="宋体"/>
      <w:color w:val="000000"/>
      <w:sz w:val="22"/>
      <w:szCs w:val="22"/>
      <w:u w:val="none"/>
    </w:rPr>
  </w:style>
  <w:style w:type="character" w:customStyle="1" w:styleId="53">
    <w:name w:val="font01"/>
    <w:basedOn w:val="23"/>
    <w:qFormat/>
    <w:uiPriority w:val="0"/>
    <w:rPr>
      <w:rFonts w:hint="default" w:ascii="Times New Roman" w:hAnsi="Times New Roman" w:cs="Times New Roman"/>
      <w:color w:val="000000"/>
      <w:sz w:val="18"/>
      <w:szCs w:val="18"/>
      <w:u w:val="none"/>
    </w:rPr>
  </w:style>
  <w:style w:type="character" w:customStyle="1" w:styleId="54">
    <w:name w:val="font91"/>
    <w:basedOn w:val="23"/>
    <w:qFormat/>
    <w:uiPriority w:val="0"/>
    <w:rPr>
      <w:rFonts w:hint="default" w:ascii="Calibri" w:hAnsi="Calibri" w:cs="Calibri"/>
      <w:color w:val="000000"/>
      <w:sz w:val="18"/>
      <w:szCs w:val="18"/>
      <w:u w:val="none"/>
    </w:rPr>
  </w:style>
  <w:style w:type="paragraph" w:customStyle="1" w:styleId="55">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56">
    <w:name w:val="*正文"/>
    <w:basedOn w:val="2"/>
    <w:qFormat/>
    <w:uiPriority w:val="0"/>
    <w:pPr>
      <w:widowControl w:val="0"/>
      <w:spacing w:line="360" w:lineRule="auto"/>
      <w:ind w:left="0" w:firstLine="480" w:firstLineChars="200"/>
      <w:jc w:val="both"/>
    </w:pPr>
    <w:rPr>
      <w:rFonts w:ascii="宋体" w:hAnsi="宋体"/>
      <w:color w:val="000000"/>
      <w:kern w:val="2"/>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d53ba42-9a01-46da-bd07-fcd4cf84b9f6}">
  <ds:schemaRefs/>
</ds:datastoreItem>
</file>

<file path=customXml/itemProps11.xml><?xml version="1.0" encoding="utf-8"?>
<ds:datastoreItem xmlns:ds="http://schemas.openxmlformats.org/officeDocument/2006/customXml" ds:itemID="{11632d6e-211b-4a2e-8a51-79335d1e7c1d}">
  <ds:schemaRefs/>
</ds:datastoreItem>
</file>

<file path=customXml/itemProps12.xml><?xml version="1.0" encoding="utf-8"?>
<ds:datastoreItem xmlns:ds="http://schemas.openxmlformats.org/officeDocument/2006/customXml" ds:itemID="{60e0c78a-53f0-41b5-8342-be5677c7bf80}">
  <ds:schemaRefs/>
</ds:datastoreItem>
</file>

<file path=customXml/itemProps13.xml><?xml version="1.0" encoding="utf-8"?>
<ds:datastoreItem xmlns:ds="http://schemas.openxmlformats.org/officeDocument/2006/customXml" ds:itemID="{4869de12-2efe-41c3-af29-502615723e16}">
  <ds:schemaRefs/>
</ds:datastoreItem>
</file>

<file path=customXml/itemProps14.xml><?xml version="1.0" encoding="utf-8"?>
<ds:datastoreItem xmlns:ds="http://schemas.openxmlformats.org/officeDocument/2006/customXml" ds:itemID="{4f0a5345-9b08-4e03-8a8c-8819b74ba4fe}">
  <ds:schemaRefs/>
</ds:datastoreItem>
</file>

<file path=customXml/itemProps2.xml><?xml version="1.0" encoding="utf-8"?>
<ds:datastoreItem xmlns:ds="http://schemas.openxmlformats.org/officeDocument/2006/customXml" ds:itemID="{99d7941e-272b-49fc-9c64-2b984da71ef3}">
  <ds:schemaRefs/>
</ds:datastoreItem>
</file>

<file path=customXml/itemProps3.xml><?xml version="1.0" encoding="utf-8"?>
<ds:datastoreItem xmlns:ds="http://schemas.openxmlformats.org/officeDocument/2006/customXml" ds:itemID="{ee8d1298-164c-4ca7-9470-9dbd30f01558}">
  <ds:schemaRefs/>
</ds:datastoreItem>
</file>

<file path=customXml/itemProps4.xml><?xml version="1.0" encoding="utf-8"?>
<ds:datastoreItem xmlns:ds="http://schemas.openxmlformats.org/officeDocument/2006/customXml" ds:itemID="{d30661b2-5713-4313-acce-bc03ec74338b}">
  <ds:schemaRefs/>
</ds:datastoreItem>
</file>

<file path=customXml/itemProps5.xml><?xml version="1.0" encoding="utf-8"?>
<ds:datastoreItem xmlns:ds="http://schemas.openxmlformats.org/officeDocument/2006/customXml" ds:itemID="{738f33ae-6b19-4347-a648-64321b1c6f01}">
  <ds:schemaRefs/>
</ds:datastoreItem>
</file>

<file path=customXml/itemProps6.xml><?xml version="1.0" encoding="utf-8"?>
<ds:datastoreItem xmlns:ds="http://schemas.openxmlformats.org/officeDocument/2006/customXml" ds:itemID="{60bd7690-7d9d-4d91-83a2-6e83132d18e7}">
  <ds:schemaRefs/>
</ds:datastoreItem>
</file>

<file path=customXml/itemProps7.xml><?xml version="1.0" encoding="utf-8"?>
<ds:datastoreItem xmlns:ds="http://schemas.openxmlformats.org/officeDocument/2006/customXml" ds:itemID="{f6e49287-402a-4cb3-ad25-ed2e4e013561}">
  <ds:schemaRefs/>
</ds:datastoreItem>
</file>

<file path=customXml/itemProps8.xml><?xml version="1.0" encoding="utf-8"?>
<ds:datastoreItem xmlns:ds="http://schemas.openxmlformats.org/officeDocument/2006/customXml" ds:itemID="{2f763e26-044c-4ea2-8c06-d77fc947f85d}">
  <ds:schemaRefs/>
</ds:datastoreItem>
</file>

<file path=customXml/itemProps9.xml><?xml version="1.0" encoding="utf-8"?>
<ds:datastoreItem xmlns:ds="http://schemas.openxmlformats.org/officeDocument/2006/customXml" ds:itemID="{15c835c0-92e3-4ca0-baa5-e56bab4fceb2}">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22042</Words>
  <Characters>23257</Characters>
  <Paragraphs>1151</Paragraphs>
  <TotalTime>20</TotalTime>
  <ScaleCrop>false</ScaleCrop>
  <LinksUpToDate>false</LinksUpToDate>
  <CharactersWithSpaces>24227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2021-07-20T08:14:00Z</dcterms:created>
  <dc:creator>Ariesstar</dc:creator>
  <cp:lastModifiedBy>Administrator</cp:lastModifiedBy>
  <cp:lastPrinted>2021-11-29T09:20:00Z</cp:lastPrinted>
  <dcterms:modified xsi:type="dcterms:W3CDTF">2023-10-10T01:42:46Z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EC2679FE7C544434A861D7753B683E14_13</vt:lpwstr>
  </property>
</Properties>
</file>