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bookmarkStart w:id="1" w:name="_GoBack"/>
      <w:bookmarkEnd w:id="1"/>
      <w:r>
        <w:rPr>
          <w:rFonts w:hint="eastAsia" w:ascii="宋体" w:hAnsi="宋体" w:cs="宋体"/>
          <w:b/>
          <w:bCs/>
          <w:color w:val="0000FF"/>
          <w:kern w:val="0"/>
          <w:sz w:val="24"/>
          <w:szCs w:val="24"/>
          <w:shd w:val="clear" w:color="auto" w:fill="FFFFFF"/>
          <w:lang w:eastAsia="zh-CN"/>
        </w:rPr>
        <w:t>GKPG20230908-2</w:t>
      </w:r>
      <w:r>
        <w:rPr>
          <w:rFonts w:hint="eastAsia" w:ascii="宋体" w:hAnsi="宋体" w:eastAsia="宋体" w:cs="宋体"/>
          <w:b/>
          <w:bCs/>
          <w:color w:val="000000"/>
          <w:kern w:val="0"/>
          <w:sz w:val="24"/>
          <w:szCs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9月8日</w:t>
      </w:r>
      <w:r>
        <w:rPr>
          <w:rFonts w:hint="eastAsia" w:ascii="宋体" w:hAnsi="宋体" w:eastAsia="宋体" w:cs="宋体"/>
          <w:color w:val="000000"/>
          <w:sz w:val="24"/>
          <w:szCs w:val="24"/>
          <w:shd w:val="clear" w:color="auto" w:fill="FFFFFF"/>
        </w:rPr>
        <w:t>9:30开始至9:50止（20分钟）。</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日至</w:t>
      </w:r>
      <w:r>
        <w:rPr>
          <w:rFonts w:hint="eastAsia" w:ascii="宋体" w:hAnsi="宋体" w:cs="宋体"/>
          <w:color w:val="0000FF"/>
          <w:sz w:val="24"/>
          <w:szCs w:val="24"/>
          <w:shd w:val="clear" w:color="auto" w:fill="FFFFFF"/>
          <w:lang w:val="en-US" w:eastAsia="zh-CN"/>
        </w:rPr>
        <w:t>2023</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9</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r>
        <w:rPr>
          <w:rFonts w:hint="eastAsia" w:ascii="宋体" w:hAnsi="宋体" w:eastAsia="宋体" w:cs="宋体"/>
          <w:color w:val="000000"/>
          <w:kern w:val="2"/>
          <w:sz w:val="24"/>
          <w:szCs w:val="24"/>
          <w:shd w:val="clear" w:color="auto" w:fill="FFFFFF"/>
          <w:lang w:eastAsia="zh-CN"/>
        </w:rPr>
        <w:t>连城县莲峰镇李彭村彭坊桥路1号4层</w:t>
      </w:r>
      <w:r>
        <w:rPr>
          <w:rFonts w:hint="eastAsia" w:ascii="宋体" w:hAnsi="宋体" w:eastAsia="宋体" w:cs="宋体"/>
          <w:color w:val="000000"/>
          <w:kern w:val="2"/>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w:t>
      </w:r>
      <w:r>
        <w:rPr>
          <w:rFonts w:hint="eastAsia" w:ascii="宋体" w:hAnsi="宋体" w:cs="宋体"/>
          <w:color w:val="000000"/>
          <w:kern w:val="0"/>
          <w:sz w:val="24"/>
          <w:szCs w:val="24"/>
          <w:shd w:val="clear" w:color="auto" w:fill="FFFFFF"/>
          <w:lang w:val="en-US" w:eastAsia="zh-CN" w:bidi="ar-SA"/>
        </w:rPr>
        <w:t>8911670</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1.项目名称：</w:t>
      </w:r>
      <w:r>
        <w:rPr>
          <w:rFonts w:hint="eastAsia" w:ascii="宋体" w:hAnsi="宋体" w:cs="宋体"/>
          <w:color w:val="0000FF"/>
          <w:kern w:val="0"/>
          <w:sz w:val="24"/>
          <w:szCs w:val="24"/>
          <w:shd w:val="clear" w:color="auto" w:fill="FFFFFF"/>
          <w:lang w:val="en-US" w:eastAsia="zh-CN" w:bidi="ar-SA"/>
        </w:rPr>
        <w:t>连城县公安局公开竞价选取资产评估服务机构</w:t>
      </w:r>
      <w:r>
        <w:rPr>
          <w:rFonts w:hint="eastAsia" w:ascii="宋体" w:hAnsi="宋体" w:eastAsia="宋体" w:cs="宋体"/>
          <w:color w:val="0000FF"/>
          <w:kern w:val="0"/>
          <w:sz w:val="24"/>
          <w:szCs w:val="24"/>
          <w:shd w:val="clear" w:color="auto" w:fill="FFFFFF"/>
          <w:lang w:val="en-US" w:eastAsia="zh-CN" w:bidi="ar-SA"/>
        </w:rPr>
        <w:t>。</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宋体" w:hAnsi="宋体" w:eastAsia="宋体" w:cs="宋体"/>
          <w:color w:val="0000FF"/>
          <w:kern w:val="0"/>
          <w:sz w:val="24"/>
          <w:szCs w:val="24"/>
          <w:shd w:val="clear" w:color="auto" w:fill="FFFFFF"/>
          <w:lang w:val="en-US" w:eastAsia="zh-CN" w:bidi="ar-SA"/>
        </w:rPr>
        <w:t>2.评估内容：</w:t>
      </w:r>
      <w:r>
        <w:rPr>
          <w:rFonts w:hint="eastAsia" w:ascii="宋体" w:hAnsi="宋体" w:cs="宋体"/>
          <w:color w:val="0000FF"/>
          <w:kern w:val="0"/>
          <w:sz w:val="24"/>
          <w:szCs w:val="24"/>
          <w:shd w:val="clear" w:color="auto" w:fill="FFFFFF"/>
          <w:lang w:val="en-US" w:eastAsia="zh-CN" w:bidi="ar-SA"/>
        </w:rPr>
        <w:t>为处置扣押且判决生效的车辆确定公开转让底价提供评估服务。其中5部强制报废车辆确定公开转让底价，5部无须报废车辆需单独确认每部车辆的公开转让底价。</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注：评估内容具体以</w:t>
      </w:r>
      <w:r>
        <w:rPr>
          <w:rFonts w:hint="eastAsia" w:ascii="宋体" w:hAnsi="宋体" w:cs="宋体"/>
          <w:color w:val="0000FF"/>
          <w:kern w:val="0"/>
          <w:sz w:val="24"/>
          <w:szCs w:val="24"/>
          <w:shd w:val="clear" w:color="auto" w:fill="FFFFFF"/>
          <w:lang w:val="en-US" w:eastAsia="zh-CN" w:bidi="ar-SA"/>
        </w:rPr>
        <w:t>委托人</w:t>
      </w:r>
      <w:r>
        <w:rPr>
          <w:rFonts w:hint="eastAsia" w:ascii="宋体" w:hAnsi="宋体" w:eastAsia="宋体" w:cs="宋体"/>
          <w:color w:val="0000FF"/>
          <w:kern w:val="0"/>
          <w:sz w:val="24"/>
          <w:szCs w:val="24"/>
          <w:shd w:val="clear" w:color="auto" w:fill="FFFFFF"/>
          <w:lang w:val="en-US" w:eastAsia="zh-CN" w:bidi="ar-SA"/>
        </w:rPr>
        <w:t>提供的评估清单为准。</w:t>
      </w:r>
    </w:p>
    <w:p>
      <w:pPr>
        <w:keepNext w:val="0"/>
        <w:keepLines w:val="0"/>
        <w:pageBreakBefore w:val="0"/>
        <w:widowControl/>
        <w:numPr>
          <w:ilvl w:val="0"/>
          <w:numId w:val="1"/>
        </w:numPr>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评估费用：不超过人民币</w:t>
      </w:r>
      <w:r>
        <w:rPr>
          <w:rFonts w:hint="eastAsia" w:ascii="宋体" w:hAnsi="宋体" w:cs="宋体"/>
          <w:color w:val="0000FF"/>
          <w:kern w:val="0"/>
          <w:sz w:val="24"/>
          <w:szCs w:val="24"/>
          <w:shd w:val="clear" w:color="auto" w:fill="FFFFFF"/>
          <w:lang w:val="en-US" w:eastAsia="zh-CN" w:bidi="ar-SA"/>
        </w:rPr>
        <w:t>玖仟</w:t>
      </w:r>
      <w:r>
        <w:rPr>
          <w:rFonts w:hint="eastAsia" w:ascii="宋体" w:hAnsi="宋体" w:eastAsia="宋体" w:cs="宋体"/>
          <w:color w:val="0000FF"/>
          <w:kern w:val="0"/>
          <w:sz w:val="24"/>
          <w:szCs w:val="24"/>
          <w:shd w:val="clear" w:color="auto" w:fill="FFFFFF"/>
          <w:lang w:val="en-US" w:eastAsia="zh-CN" w:bidi="ar-SA"/>
        </w:rPr>
        <w:t>元整（￥</w:t>
      </w:r>
      <w:r>
        <w:rPr>
          <w:rFonts w:hint="eastAsia" w:ascii="宋体" w:hAnsi="宋体" w:cs="宋体"/>
          <w:color w:val="0000FF"/>
          <w:kern w:val="0"/>
          <w:sz w:val="24"/>
          <w:szCs w:val="24"/>
          <w:shd w:val="clear" w:color="auto" w:fill="FFFFFF"/>
          <w:lang w:val="en-US" w:eastAsia="zh-CN" w:bidi="ar-SA"/>
        </w:rPr>
        <w:t>900</w:t>
      </w:r>
      <w:r>
        <w:rPr>
          <w:rFonts w:hint="eastAsia" w:ascii="宋体" w:hAnsi="宋体" w:eastAsia="宋体" w:cs="宋体"/>
          <w:color w:val="0000FF"/>
          <w:kern w:val="0"/>
          <w:sz w:val="24"/>
          <w:szCs w:val="24"/>
          <w:shd w:val="clear" w:color="auto" w:fill="FFFFFF"/>
          <w:lang w:val="en-US" w:eastAsia="zh-CN" w:bidi="ar-SA"/>
        </w:rPr>
        <w:t>0.00）</w:t>
      </w:r>
      <w:r>
        <w:rPr>
          <w:rFonts w:hint="eastAsia" w:ascii="宋体" w:hAnsi="宋体" w:cs="宋体"/>
          <w:color w:val="0000FF"/>
          <w:kern w:val="0"/>
          <w:sz w:val="24"/>
          <w:szCs w:val="24"/>
          <w:shd w:val="clear" w:color="auto" w:fill="FFFFFF"/>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firstLine="480" w:firstLineChars="200"/>
        <w:jc w:val="both"/>
        <w:textAlignment w:val="auto"/>
        <w:rPr>
          <w:rFonts w:hint="default" w:ascii="宋体" w:hAnsi="宋体" w:eastAsia="宋体" w:cs="宋体"/>
          <w:color w:val="0000FF"/>
          <w:kern w:val="0"/>
          <w:sz w:val="24"/>
          <w:szCs w:val="24"/>
          <w:highlight w:val="none"/>
          <w:lang w:val="en-US" w:eastAsia="zh-CN" w:bidi="ar"/>
        </w:rPr>
      </w:pPr>
      <w:r>
        <w:rPr>
          <w:rFonts w:hint="eastAsia" w:ascii="宋体" w:hAnsi="宋体" w:cs="宋体"/>
          <w:color w:val="0000FF"/>
          <w:kern w:val="0"/>
          <w:sz w:val="24"/>
          <w:szCs w:val="24"/>
          <w:highlight w:val="none"/>
          <w:lang w:val="en-US" w:eastAsia="zh-CN" w:bidi="ar"/>
        </w:rPr>
        <w:t>4.竞价保证金：贰仟元整（</w:t>
      </w: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highlight w:val="none"/>
          <w:lang w:val="en-US" w:eastAsia="zh-CN" w:bidi="ar"/>
        </w:rPr>
        <w:t>2000.00）。</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5.工作要求（具体按委托人要求及合同约定执行）：</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（1）成交人须到委托方评估资产现场进行市场勘察、核实核对，明确评估对象估价时点的状况。</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（2）评估目的</w:t>
      </w:r>
      <w:r>
        <w:rPr>
          <w:rFonts w:hint="eastAsia" w:ascii="宋体" w:hAnsi="宋体" w:eastAsia="宋体" w:cs="宋体"/>
          <w:color w:val="0000FF"/>
          <w:kern w:val="0"/>
          <w:sz w:val="24"/>
          <w:szCs w:val="24"/>
          <w:shd w:val="clear" w:color="auto" w:fill="FFFFFF"/>
          <w:lang w:val="en-US" w:eastAsia="zh-CN" w:bidi="ar-SA"/>
        </w:rPr>
        <w:t>为处置扣押且判决生效车辆确定合理公开转让底价</w:t>
      </w:r>
      <w:r>
        <w:rPr>
          <w:rFonts w:hint="eastAsia" w:ascii="宋体" w:hAnsi="宋体" w:eastAsia="宋体" w:cs="宋体"/>
          <w:color w:val="auto"/>
          <w:kern w:val="0"/>
          <w:sz w:val="24"/>
          <w:szCs w:val="24"/>
          <w:shd w:val="clear" w:color="auto" w:fill="FFFFFF"/>
          <w:lang w:val="en-US" w:eastAsia="zh-CN" w:bidi="ar-SA"/>
        </w:rPr>
        <w:t>，合法、客观、公正地进行评估，出具符合规范的评估报告。</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cs="宋体"/>
          <w:color w:val="auto"/>
          <w:kern w:val="0"/>
          <w:sz w:val="24"/>
          <w:szCs w:val="24"/>
          <w:shd w:val="clear" w:color="auto" w:fill="FFFFFF"/>
          <w:lang w:val="en-US" w:eastAsia="zh-CN" w:bidi="ar-SA"/>
        </w:rPr>
        <w:t>3</w:t>
      </w:r>
      <w:r>
        <w:rPr>
          <w:rFonts w:hint="eastAsia" w:ascii="宋体" w:hAnsi="宋体" w:eastAsia="宋体" w:cs="宋体"/>
          <w:color w:val="auto"/>
          <w:kern w:val="0"/>
          <w:sz w:val="24"/>
          <w:szCs w:val="24"/>
          <w:shd w:val="clear" w:color="auto" w:fill="FFFFFF"/>
          <w:lang w:val="en-US" w:eastAsia="zh-CN" w:bidi="ar-SA"/>
        </w:rPr>
        <w:t>）评估机构及签字的注册评估师对出具的评估报告的客观性、真实性、公正性承担法律责任。</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（4）在收到评估业务通知后，成交人须尽快安排评估师与</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经办人员对接，并于收齐评估相关材料之日起5个工作日内按时完成预评估工作并提交预评估报告，预评估报告由我司审核无误后再出具正式评估报告，无正当理由不得拖延，如因项目复杂可根据具体情况另行商定完成时间。</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（5）对</w:t>
      </w:r>
      <w:r>
        <w:rPr>
          <w:rFonts w:hint="eastAsia" w:ascii="宋体" w:hAnsi="宋体" w:cs="宋体"/>
          <w:color w:val="auto"/>
          <w:kern w:val="0"/>
          <w:sz w:val="24"/>
          <w:szCs w:val="24"/>
          <w:shd w:val="clear" w:color="auto" w:fill="FFFFFF"/>
          <w:lang w:val="en-US" w:eastAsia="zh-CN" w:bidi="ar-SA"/>
        </w:rPr>
        <w:t>委托人</w:t>
      </w:r>
      <w:r>
        <w:rPr>
          <w:rFonts w:hint="eastAsia" w:ascii="宋体" w:hAnsi="宋体" w:eastAsia="宋体" w:cs="宋体"/>
          <w:color w:val="auto"/>
          <w:kern w:val="0"/>
          <w:sz w:val="24"/>
          <w:szCs w:val="24"/>
          <w:shd w:val="clear" w:color="auto" w:fill="FFFFFF"/>
          <w:lang w:val="en-US" w:eastAsia="zh-CN" w:bidi="ar-SA"/>
        </w:rPr>
        <w:t>提供的有关资料和评估结果保密。</w:t>
      </w:r>
    </w:p>
    <w:p>
      <w:pPr>
        <w:keepNext w:val="0"/>
        <w:keepLines w:val="0"/>
        <w:pageBreakBefore w:val="0"/>
        <w:widowControl/>
        <w:kinsoku/>
        <w:wordWrap/>
        <w:overflowPunct/>
        <w:topLinePunct w:val="0"/>
        <w:autoSpaceDE/>
        <w:autoSpaceDN/>
        <w:bidi w:val="0"/>
        <w:adjustRightInd/>
        <w:snapToGrid w:val="0"/>
        <w:spacing w:line="360" w:lineRule="auto"/>
        <w:ind w:left="0" w:firstLine="482" w:firstLineChars="200"/>
        <w:jc w:val="both"/>
        <w:textAlignment w:val="auto"/>
        <w:rPr>
          <w:rFonts w:hint="eastAsia" w:ascii="宋体" w:hAnsi="宋体" w:eastAsia="宋体" w:cs="宋体"/>
          <w:b/>
          <w:bCs/>
          <w:color w:val="auto"/>
          <w:kern w:val="0"/>
          <w:sz w:val="24"/>
          <w:szCs w:val="24"/>
          <w:shd w:val="clear" w:color="auto" w:fill="FFFFFF"/>
          <w:lang w:val="en-US" w:eastAsia="zh-CN" w:bidi="ar-SA"/>
        </w:rPr>
      </w:pPr>
      <w:r>
        <w:rPr>
          <w:rFonts w:hint="eastAsia" w:ascii="宋体" w:hAnsi="宋体" w:eastAsia="宋体" w:cs="宋体"/>
          <w:b/>
          <w:bCs/>
          <w:color w:val="auto"/>
          <w:kern w:val="0"/>
          <w:sz w:val="24"/>
          <w:szCs w:val="24"/>
          <w:shd w:val="clear" w:color="auto" w:fill="FFFFFF"/>
          <w:lang w:val="en-US" w:eastAsia="zh-CN" w:bidi="ar-SA"/>
        </w:rPr>
        <w:t>三、竞价资格</w:t>
      </w:r>
    </w:p>
    <w:p>
      <w:pPr>
        <w:keepNext w:val="0"/>
        <w:keepLines w:val="0"/>
        <w:pageBreakBefore w:val="0"/>
        <w:widowControl/>
        <w:kinsoku/>
        <w:wordWrap/>
        <w:overflowPunct/>
        <w:topLinePunct w:val="0"/>
        <w:autoSpaceDE/>
        <w:autoSpaceDN/>
        <w:bidi w:val="0"/>
        <w:adjustRightInd/>
        <w:snapToGrid w:val="0"/>
        <w:spacing w:line="360" w:lineRule="auto"/>
        <w:ind w:left="0"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1.遵守中华人民共</w:t>
      </w:r>
      <w:r>
        <w:rPr>
          <w:rFonts w:hint="eastAsia" w:ascii="宋体" w:hAnsi="宋体" w:eastAsia="宋体" w:cs="宋体"/>
          <w:color w:val="000000" w:themeColor="text1"/>
          <w:kern w:val="0"/>
          <w:sz w:val="24"/>
          <w:szCs w:val="24"/>
          <w:shd w:val="clear" w:color="auto" w:fill="FFFFFF"/>
          <w:lang w:val="en-US" w:eastAsia="zh-CN" w:bidi="ar-SA"/>
        </w:rPr>
        <w:t>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rPr>
        <w:t>评估资质，独立法人资格的国内企业。同时入选连城县国有资产监督管理委员会设立的《连城县国资委中介机构备选库》</w:t>
      </w:r>
      <w:r>
        <w:rPr>
          <w:rFonts w:hint="eastAsia" w:ascii="宋体" w:hAnsi="宋体" w:eastAsia="宋体" w:cs="宋体"/>
          <w:b/>
          <w:bCs/>
          <w:color w:val="0000FF"/>
          <w:kern w:val="0"/>
          <w:sz w:val="24"/>
          <w:szCs w:val="24"/>
          <w:u w:val="single"/>
          <w:shd w:val="clear" w:color="auto" w:fill="FFFFFF"/>
          <w:lang w:val="en-US" w:eastAsia="zh-CN" w:bidi="ar-SA"/>
        </w:rPr>
        <w:t>评估类</w:t>
      </w:r>
      <w:r>
        <w:rPr>
          <w:rFonts w:hint="eastAsia" w:ascii="宋体" w:hAnsi="宋体" w:eastAsia="宋体" w:cs="宋体"/>
          <w:color w:val="000000" w:themeColor="text1"/>
          <w:kern w:val="0"/>
          <w:sz w:val="24"/>
          <w:szCs w:val="24"/>
          <w:shd w:val="clear" w:color="auto" w:fill="FFFFFF"/>
          <w:lang w:val="en-US" w:eastAsia="zh-CN" w:bidi="ar-SA"/>
        </w:rPr>
        <w:t>名单。</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0"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另行选取中介服务机构</w:t>
      </w:r>
      <w:r>
        <w:rPr>
          <w:rFonts w:hint="eastAsia" w:ascii="宋体" w:hAnsi="宋体" w:eastAsia="宋体" w:cs="宋体"/>
          <w:color w:val="000000"/>
          <w:sz w:val="24"/>
          <w:szCs w:val="24"/>
          <w:shd w:val="clear" w:color="auto" w:fill="FFFFFF"/>
        </w:rPr>
        <w:t>。</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65"/>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2000</w:t>
      </w:r>
      <w:r>
        <w:rPr>
          <w:rFonts w:hint="eastAsia" w:ascii="宋体" w:hAnsi="宋体" w:eastAsia="宋体" w:cs="宋体"/>
          <w:color w:val="000000"/>
          <w:kern w:val="0"/>
          <w:sz w:val="24"/>
          <w:szCs w:val="24"/>
          <w:shd w:val="clear" w:color="auto" w:fill="FFFFFF"/>
        </w:rPr>
        <w:t>元，必须于</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7</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00"/>
          <w:kern w:val="0"/>
          <w:sz w:val="24"/>
          <w:szCs w:val="24"/>
          <w:shd w:val="clear" w:color="auto" w:fill="FFFFFF"/>
        </w:rPr>
        <w:t>2.采用网络反向一次性报价、价低者得的交易方式，以“价格优先，时间优先”（即同等价格时，以报价时间优先）确定本次竞价标的的成交人。</w:t>
      </w:r>
      <w:r>
        <w:rPr>
          <w:rFonts w:hint="eastAsia" w:ascii="宋体" w:hAnsi="宋体" w:cs="宋体"/>
          <w:color w:val="0000FF"/>
          <w:kern w:val="0"/>
          <w:sz w:val="24"/>
          <w:szCs w:val="24"/>
          <w:highlight w:val="none"/>
          <w:u w:val="none"/>
          <w:lang w:val="en-US" w:eastAsia="zh-CN" w:bidi="ar"/>
        </w:rPr>
        <w:t>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3.报价只要不高于最高限价即为有效报价。</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4.特别提示：标的经公开征集到的合格竞价人,应以不高于最高限价进行报价，同时成交人应签署《竞价结果通知书》等相关文件，否则视同为违约。</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5.本公司有权就竞价时间做出调整，如有调整将在本公司网站进行公告。</w:t>
      </w:r>
    </w:p>
    <w:p>
      <w:pPr>
        <w:pStyle w:val="6"/>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left="0" w:firstLine="482"/>
        <w:jc w:val="both"/>
        <w:textAlignment w:val="auto"/>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成交人以成交价参照原龙发改价管[2018]27号文规定的标准向本公司支付交易服务费，成交价在2000元（含2000元）以下免收服务费，上述交易服务费分档累进计算，并开具交易服务费发票。</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tblPrEx>
          <w:shd w:val="clear" w:color="auto" w:fill="FFFFFF"/>
          <w:tblCellMar>
            <w:top w:w="0" w:type="dxa"/>
            <w:left w:w="0" w:type="dxa"/>
            <w:bottom w:w="0" w:type="dxa"/>
            <w:right w:w="0" w:type="dxa"/>
          </w:tblCellMar>
        </w:tblPrEx>
        <w:trPr>
          <w:trHeight w:val="53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jc w:val="lef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评估服务费须将该批评估的资产拍卖成交后，从拍卖成交款中支付。该批评估资产拍卖成交后，由</w:t>
      </w:r>
      <w:r>
        <w:rPr>
          <w:rFonts w:hint="eastAsia" w:ascii="宋体" w:hAnsi="宋体" w:eastAsia="宋体" w:cs="宋体"/>
          <w:color w:val="000000"/>
          <w:kern w:val="0"/>
          <w:sz w:val="24"/>
          <w:szCs w:val="24"/>
          <w:shd w:val="clear" w:color="auto" w:fill="FFFFFF"/>
        </w:rPr>
        <w:t>成交人提供正式评估报告和正规增值税发票给</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审核无误</w:t>
      </w:r>
      <w:r>
        <w:rPr>
          <w:rFonts w:hint="eastAsia" w:ascii="宋体" w:hAnsi="宋体" w:eastAsia="宋体" w:cs="宋体"/>
          <w:color w:val="000000"/>
          <w:kern w:val="0"/>
          <w:sz w:val="24"/>
          <w:szCs w:val="24"/>
          <w:shd w:val="clear" w:color="auto" w:fill="FFFFFF"/>
        </w:rPr>
        <w:t>后，</w:t>
      </w:r>
      <w:r>
        <w:rPr>
          <w:rFonts w:hint="eastAsia" w:ascii="宋体" w:hAnsi="宋体" w:cs="宋体"/>
          <w:color w:val="000000"/>
          <w:kern w:val="0"/>
          <w:sz w:val="24"/>
          <w:szCs w:val="24"/>
          <w:shd w:val="clear" w:color="auto" w:fill="FFFFFF"/>
          <w:lang w:val="en-US" w:eastAsia="zh-CN"/>
        </w:rPr>
        <w:t>委托人</w:t>
      </w:r>
      <w:r>
        <w:rPr>
          <w:rFonts w:hint="eastAsia" w:ascii="宋体" w:hAnsi="宋体" w:eastAsia="宋体" w:cs="宋体"/>
          <w:color w:val="000000"/>
          <w:kern w:val="0"/>
          <w:sz w:val="24"/>
          <w:szCs w:val="24"/>
          <w:shd w:val="clear" w:color="auto" w:fill="FFFFFF"/>
          <w:lang w:val="en-US" w:eastAsia="zh-CN"/>
        </w:rPr>
        <w:t>将在</w:t>
      </w:r>
      <w:r>
        <w:rPr>
          <w:rFonts w:hint="eastAsia" w:ascii="宋体" w:hAnsi="宋体" w:eastAsia="宋体" w:cs="宋体"/>
          <w:color w:val="000000"/>
          <w:kern w:val="0"/>
          <w:sz w:val="24"/>
          <w:szCs w:val="24"/>
          <w:shd w:val="clear" w:color="auto" w:fill="FFFFFF"/>
        </w:rPr>
        <w:t>10个工作日内付清评估费。</w:t>
      </w:r>
      <w:r>
        <w:rPr>
          <w:rFonts w:hint="eastAsia" w:ascii="宋体" w:hAnsi="宋体" w:eastAsia="宋体" w:cs="宋体"/>
          <w:color w:val="000000"/>
          <w:kern w:val="0"/>
          <w:sz w:val="24"/>
          <w:szCs w:val="24"/>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2"/>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80"/>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pPr>
        <w:keepNext w:val="0"/>
        <w:keepLines w:val="0"/>
        <w:pageBreakBefore w:val="0"/>
        <w:kinsoku/>
        <w:wordWrap/>
        <w:overflowPunct/>
        <w:topLinePunct w:val="0"/>
        <w:autoSpaceDE/>
        <w:autoSpaceDN/>
        <w:bidi w:val="0"/>
        <w:adjustRightInd/>
        <w:spacing w:line="360" w:lineRule="auto"/>
        <w:ind w:left="0" w:firstLine="480" w:firstLineChars="200"/>
        <w:textAlignment w:val="auto"/>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2.竞价文件如有更正修改，公告将在</w:t>
            </w:r>
            <w:r>
              <w:rPr>
                <w:rFonts w:hint="eastAsia" w:ascii="宋体" w:hAnsi="宋体" w:eastAsia="宋体" w:cs="宋体"/>
                <w:b/>
                <w:bCs/>
                <w:color w:val="000000"/>
                <w:kern w:val="0"/>
                <w:sz w:val="24"/>
                <w:szCs w:val="24"/>
                <w:shd w:val="clear" w:color="auto" w:fill="FFFFFF"/>
              </w:rPr>
              <w:t>连城产权交易网（网址：http://www.lcxcqjy.com/）、龙岩市公共资源交易中心网（网址：https://ggzy.longyan.gov.cn/lyztb/）</w:t>
            </w:r>
            <w:r>
              <w:rPr>
                <w:rFonts w:hint="eastAsia" w:ascii="宋体" w:hAnsi="宋体" w:eastAsia="宋体" w:cs="宋体"/>
                <w:color w:val="000000"/>
                <w:kern w:val="0"/>
                <w:sz w:val="24"/>
                <w:szCs w:val="24"/>
                <w:shd w:val="clear" w:color="auto" w:fill="FFFFFF"/>
              </w:rPr>
              <w:t>上发布，请潜在竞价人随时密切关注上述网站并下载相关信息，本公司不再另行通知（相同内容如有多次修改，以最后一次修改为准）。潜在竞价人未查看、下载修改内容的，后果自行承担。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7"/>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anchor distT="0" distB="0" distL="114300" distR="114300" simplePos="0" relativeHeight="251659264" behindDoc="0" locked="0" layoutInCell="1" allowOverlap="1">
            <wp:simplePos x="0" y="0"/>
            <wp:positionH relativeFrom="column">
              <wp:posOffset>200660</wp:posOffset>
            </wp:positionH>
            <wp:positionV relativeFrom="paragraph">
              <wp:posOffset>279400</wp:posOffset>
            </wp:positionV>
            <wp:extent cx="1457960" cy="1433195"/>
            <wp:effectExtent l="0" t="0" r="8890" b="14605"/>
            <wp:wrapSquare wrapText="bothSides"/>
            <wp:docPr id="2" name="图片 2" descr="6ce093619278b24738700839250b7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e093619278b24738700839250b78e"/>
                    <pic:cNvPicPr>
                      <a:picLocks noChangeAspect="1"/>
                    </pic:cNvPicPr>
                  </pic:nvPicPr>
                  <pic:blipFill>
                    <a:blip r:embed="rId5"/>
                    <a:stretch>
                      <a:fillRect/>
                    </a:stretch>
                  </pic:blipFill>
                  <pic:spPr>
                    <a:xfrm>
                      <a:off x="0" y="0"/>
                      <a:ext cx="1457960" cy="1433195"/>
                    </a:xfrm>
                    <a:prstGeom prst="rect">
                      <a:avLst/>
                    </a:prstGeom>
                  </pic:spPr>
                </pic:pic>
              </a:graphicData>
            </a:graphic>
          </wp:anchor>
        </w:drawing>
      </w:r>
      <w:r>
        <w:rPr>
          <w:rFonts w:hint="eastAsia" w:ascii="宋体" w:hAnsi="宋体" w:eastAsia="宋体" w:cs="宋体"/>
          <w:color w:val="000000"/>
          <w:kern w:val="0"/>
          <w:sz w:val="24"/>
          <w:szCs w:val="24"/>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p>
    <w:p>
      <w:pPr>
        <w:keepNext w:val="0"/>
        <w:keepLines w:val="0"/>
        <w:pageBreakBefore w:val="0"/>
        <w:kinsoku/>
        <w:wordWrap/>
        <w:overflowPunct/>
        <w:topLinePunct w:val="0"/>
        <w:autoSpaceDE/>
        <w:autoSpaceDN/>
        <w:bidi w:val="0"/>
        <w:adjustRightInd/>
        <w:snapToGrid w:val="0"/>
        <w:spacing w:line="360" w:lineRule="auto"/>
        <w:ind w:left="0" w:firstLine="420"/>
        <w:jc w:val="right"/>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        </w:t>
      </w:r>
      <w:r>
        <w:rPr>
          <w:rFonts w:hint="eastAsia" w:ascii="宋体" w:hAnsi="宋体" w:eastAsia="宋体" w:cs="宋体"/>
          <w:b/>
          <w:bCs/>
          <w:color w:val="000000"/>
          <w:sz w:val="24"/>
          <w:szCs w:val="24"/>
        </w:rPr>
        <w:t>连城县国有资产产权交易服务有限公司</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left="0" w:firstLine="465"/>
        <w:jc w:val="center"/>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cs="宋体"/>
          <w:color w:val="0000FF"/>
          <w:kern w:val="0"/>
          <w:sz w:val="24"/>
          <w:szCs w:val="24"/>
          <w:shd w:val="clear" w:color="auto" w:fill="FFFFFF"/>
          <w:lang w:val="en-US" w:eastAsia="zh-CN"/>
        </w:rPr>
        <w:t>2023</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9</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4</w:t>
      </w:r>
      <w:r>
        <w:rPr>
          <w:rFonts w:hint="eastAsia" w:ascii="宋体" w:hAnsi="宋体" w:eastAsia="宋体" w:cs="宋体"/>
          <w:color w:val="0000FF"/>
          <w:kern w:val="0"/>
          <w:sz w:val="24"/>
          <w:szCs w:val="24"/>
          <w:shd w:val="clear" w:color="auto" w:fill="FFFFFF"/>
        </w:rPr>
        <w:t>日</w:t>
      </w:r>
    </w:p>
    <w:p>
      <w:pPr>
        <w:pStyle w:val="2"/>
        <w:spacing w:line="440" w:lineRule="exact"/>
        <w:rPr>
          <w:rFonts w:hint="eastAsia" w:ascii="宋体" w:hAnsi="宋体" w:eastAsia="宋体" w:cs="宋体"/>
          <w:color w:val="000000"/>
          <w:kern w:val="0"/>
          <w:sz w:val="24"/>
          <w:szCs w:val="24"/>
          <w:shd w:val="clear" w:color="auto" w:fill="FFFFFF"/>
        </w:rPr>
      </w:pPr>
    </w:p>
    <w:p>
      <w:pPr>
        <w:pStyle w:val="2"/>
        <w:spacing w:line="440" w:lineRule="exact"/>
        <w:rPr>
          <w:rFonts w:hint="eastAsia" w:ascii="宋体" w:hAnsi="宋体" w:eastAsia="宋体" w:cs="宋体"/>
          <w:color w:val="000000"/>
          <w:kern w:val="0"/>
          <w:sz w:val="24"/>
          <w:szCs w:val="24"/>
          <w:shd w:val="clear" w:color="auto" w:fill="FFFFFF"/>
        </w:rPr>
      </w:pPr>
    </w:p>
    <w:p>
      <w:pPr>
        <w:spacing w:line="440" w:lineRule="exact"/>
        <w:ind w:firstLine="883"/>
        <w:jc w:val="center"/>
        <w:rPr>
          <w:rFonts w:hint="eastAsia" w:ascii="宋体" w:hAnsi="宋体" w:eastAsia="宋体" w:cs="宋体"/>
          <w:b/>
          <w:color w:val="000000"/>
          <w:sz w:val="24"/>
          <w:szCs w:val="24"/>
        </w:rPr>
      </w:pPr>
      <w:bookmarkStart w:id="0" w:name="OLE_LINK2"/>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pStyle w:val="2"/>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p>
    <w:p>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pPr>
        <w:spacing w:line="440" w:lineRule="exact"/>
        <w:ind w:firstLine="5040" w:firstLineChars="2100"/>
        <w:jc w:val="left"/>
        <w:rPr>
          <w:rFonts w:hint="eastAsia" w:ascii="宋体" w:hAnsi="宋体" w:eastAsia="宋体" w:cs="宋体"/>
          <w:color w:val="000000"/>
          <w:sz w:val="24"/>
          <w:szCs w:val="24"/>
        </w:rPr>
      </w:pPr>
    </w:p>
    <w:p>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none"/>
          <w:lang w:val="en-US" w:eastAsia="zh-CN"/>
        </w:rPr>
        <w:t>2023</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9月8日</w:t>
      </w:r>
      <w:r>
        <w:rPr>
          <w:rFonts w:hint="eastAsia" w:ascii="宋体" w:hAnsi="宋体" w:eastAsia="宋体" w:cs="宋体"/>
          <w:color w:val="000000"/>
          <w:sz w:val="24"/>
          <w:szCs w:val="24"/>
        </w:rPr>
        <w:t>上午</w:t>
      </w:r>
      <w:r>
        <w:rPr>
          <w:rFonts w:hint="eastAsia" w:ascii="宋体" w:hAnsi="宋体" w:cs="宋体"/>
          <w:color w:val="000000"/>
          <w:sz w:val="24"/>
          <w:szCs w:val="24"/>
          <w:lang w:val="en-US" w:eastAsia="zh-CN"/>
        </w:rPr>
        <w:t>9:30</w:t>
      </w:r>
      <w:r>
        <w:rPr>
          <w:rFonts w:hint="eastAsia" w:ascii="宋体" w:hAnsi="宋体" w:eastAsia="宋体" w:cs="宋体"/>
          <w:color w:val="000000"/>
          <w:sz w:val="24"/>
          <w:szCs w:val="24"/>
        </w:rPr>
        <w:t>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FF"/>
          <w:sz w:val="24"/>
          <w:szCs w:val="24"/>
          <w:u w:val="none"/>
          <w:lang w:val="en-US" w:eastAsia="zh-CN"/>
        </w:rPr>
        <w:t>评估</w:t>
      </w:r>
      <w:r>
        <w:rPr>
          <w:rFonts w:hint="eastAsia" w:ascii="宋体" w:hAnsi="宋体" w:eastAsia="宋体" w:cs="宋体"/>
          <w:color w:val="0000FF"/>
          <w:sz w:val="24"/>
          <w:szCs w:val="24"/>
        </w:rPr>
        <w:t>服务</w:t>
      </w:r>
      <w:r>
        <w:rPr>
          <w:rFonts w:hint="eastAsia" w:ascii="宋体" w:hAnsi="宋体" w:eastAsia="宋体" w:cs="宋体"/>
          <w:color w:val="000000"/>
          <w:sz w:val="24"/>
          <w:szCs w:val="24"/>
        </w:rPr>
        <w:t>竞价。收悉项目编号为</w:t>
      </w:r>
      <w:r>
        <w:rPr>
          <w:rFonts w:hint="eastAsia" w:ascii="宋体" w:hAnsi="宋体" w:cs="宋体"/>
          <w:color w:val="0000FF"/>
          <w:sz w:val="24"/>
          <w:szCs w:val="24"/>
          <w:u w:val="single"/>
          <w:lang w:eastAsia="zh-CN"/>
        </w:rPr>
        <w:t>GKPG20230908-2</w:t>
      </w:r>
      <w:r>
        <w:rPr>
          <w:rFonts w:hint="eastAsia" w:ascii="宋体" w:hAnsi="宋体" w:cs="宋体"/>
          <w:color w:val="0000FF"/>
          <w:sz w:val="24"/>
          <w:szCs w:val="24"/>
          <w:u w:val="single"/>
          <w:lang w:val="en-US" w:eastAsia="zh-CN"/>
        </w:rPr>
        <w:t xml:space="preserve"> </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pPr>
        <w:spacing w:line="440" w:lineRule="exact"/>
        <w:rPr>
          <w:rFonts w:hint="eastAsia" w:ascii="宋体" w:hAnsi="宋体" w:eastAsia="宋体" w:cs="宋体"/>
          <w:color w:val="000000"/>
          <w:sz w:val="24"/>
          <w:szCs w:val="24"/>
        </w:rPr>
      </w:pPr>
    </w:p>
    <w:p>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pPr>
        <w:spacing w:line="440" w:lineRule="exact"/>
        <w:rPr>
          <w:rFonts w:hint="eastAsia" w:ascii="宋体" w:hAnsi="宋体" w:eastAsia="宋体" w:cs="宋体"/>
          <w:color w:val="000000"/>
          <w:sz w:val="24"/>
          <w:szCs w:val="24"/>
        </w:rPr>
      </w:pPr>
    </w:p>
    <w:p>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End w:id="0"/>
    </w:p>
    <w:sectPr>
      <w:footerReference r:id="rId3" w:type="default"/>
      <w:pgSz w:w="11906" w:h="16838"/>
      <w:pgMar w:top="1440"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- 3 -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5535F"/>
    <w:multiLevelType w:val="singleLevel"/>
    <w:tmpl w:val="9965535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10B22B0"/>
    <w:rsid w:val="020037C3"/>
    <w:rsid w:val="038742C3"/>
    <w:rsid w:val="039E3DB5"/>
    <w:rsid w:val="06E51C97"/>
    <w:rsid w:val="0804406F"/>
    <w:rsid w:val="081C4C9C"/>
    <w:rsid w:val="0CDA1129"/>
    <w:rsid w:val="0D0C3638"/>
    <w:rsid w:val="0E0C6A9D"/>
    <w:rsid w:val="0E8467A8"/>
    <w:rsid w:val="0F153787"/>
    <w:rsid w:val="10554859"/>
    <w:rsid w:val="10E50428"/>
    <w:rsid w:val="115251AE"/>
    <w:rsid w:val="12687563"/>
    <w:rsid w:val="12850115"/>
    <w:rsid w:val="137205A3"/>
    <w:rsid w:val="13AE1774"/>
    <w:rsid w:val="15886D53"/>
    <w:rsid w:val="16052A7F"/>
    <w:rsid w:val="183B56FD"/>
    <w:rsid w:val="18EF3710"/>
    <w:rsid w:val="1B215742"/>
    <w:rsid w:val="1B4C47B7"/>
    <w:rsid w:val="1C3B7B61"/>
    <w:rsid w:val="1E303C84"/>
    <w:rsid w:val="1E766E25"/>
    <w:rsid w:val="1EF00CA7"/>
    <w:rsid w:val="1F633F72"/>
    <w:rsid w:val="209634ED"/>
    <w:rsid w:val="226244CC"/>
    <w:rsid w:val="226871D5"/>
    <w:rsid w:val="22950329"/>
    <w:rsid w:val="22A30872"/>
    <w:rsid w:val="238775DF"/>
    <w:rsid w:val="246A52EB"/>
    <w:rsid w:val="249C78F6"/>
    <w:rsid w:val="25AD5A5E"/>
    <w:rsid w:val="25F64131"/>
    <w:rsid w:val="264C78A7"/>
    <w:rsid w:val="267A740D"/>
    <w:rsid w:val="26945745"/>
    <w:rsid w:val="26F56760"/>
    <w:rsid w:val="27AD3F77"/>
    <w:rsid w:val="2892098A"/>
    <w:rsid w:val="29775E27"/>
    <w:rsid w:val="297F39EF"/>
    <w:rsid w:val="2A8C2B55"/>
    <w:rsid w:val="2AC415FD"/>
    <w:rsid w:val="2B023949"/>
    <w:rsid w:val="2B9065B4"/>
    <w:rsid w:val="2C2A04A0"/>
    <w:rsid w:val="2C4C065B"/>
    <w:rsid w:val="2D697A29"/>
    <w:rsid w:val="2DA86E1E"/>
    <w:rsid w:val="2E7E609A"/>
    <w:rsid w:val="2F043F88"/>
    <w:rsid w:val="2FF9333B"/>
    <w:rsid w:val="3062140F"/>
    <w:rsid w:val="321E5938"/>
    <w:rsid w:val="334E5ABF"/>
    <w:rsid w:val="33BB5A80"/>
    <w:rsid w:val="350E6FCA"/>
    <w:rsid w:val="35DD70CB"/>
    <w:rsid w:val="371B5B3B"/>
    <w:rsid w:val="3741602B"/>
    <w:rsid w:val="39C752B8"/>
    <w:rsid w:val="3A0C4B4E"/>
    <w:rsid w:val="3A4B4EF0"/>
    <w:rsid w:val="3D3F6CF4"/>
    <w:rsid w:val="3DC87AC0"/>
    <w:rsid w:val="3FA56A13"/>
    <w:rsid w:val="410835EE"/>
    <w:rsid w:val="41872959"/>
    <w:rsid w:val="42E9200F"/>
    <w:rsid w:val="44E55E41"/>
    <w:rsid w:val="45A2046C"/>
    <w:rsid w:val="45F5525B"/>
    <w:rsid w:val="46004DE1"/>
    <w:rsid w:val="46182497"/>
    <w:rsid w:val="46797B93"/>
    <w:rsid w:val="4758626E"/>
    <w:rsid w:val="47ED28F0"/>
    <w:rsid w:val="48556CDA"/>
    <w:rsid w:val="485D0F10"/>
    <w:rsid w:val="4A58410E"/>
    <w:rsid w:val="4A887C72"/>
    <w:rsid w:val="4AE271AB"/>
    <w:rsid w:val="4B42467C"/>
    <w:rsid w:val="4C6355B6"/>
    <w:rsid w:val="4D235499"/>
    <w:rsid w:val="4D2550DF"/>
    <w:rsid w:val="4D515A96"/>
    <w:rsid w:val="4DA2556F"/>
    <w:rsid w:val="4E143612"/>
    <w:rsid w:val="4E5A4A79"/>
    <w:rsid w:val="4E997C57"/>
    <w:rsid w:val="4E9D3635"/>
    <w:rsid w:val="4F4F373F"/>
    <w:rsid w:val="524A20F8"/>
    <w:rsid w:val="524E2EDF"/>
    <w:rsid w:val="53CB6FAB"/>
    <w:rsid w:val="53E833D1"/>
    <w:rsid w:val="542826BF"/>
    <w:rsid w:val="545B5616"/>
    <w:rsid w:val="5495528E"/>
    <w:rsid w:val="55915C48"/>
    <w:rsid w:val="55C85997"/>
    <w:rsid w:val="59E02F96"/>
    <w:rsid w:val="5A244F70"/>
    <w:rsid w:val="5B280C0A"/>
    <w:rsid w:val="5BE54D4D"/>
    <w:rsid w:val="5C2441D3"/>
    <w:rsid w:val="5C9245A9"/>
    <w:rsid w:val="5D434E88"/>
    <w:rsid w:val="5D7874FB"/>
    <w:rsid w:val="5DBB508D"/>
    <w:rsid w:val="5E047FD0"/>
    <w:rsid w:val="5F1519BF"/>
    <w:rsid w:val="602A7EDE"/>
    <w:rsid w:val="6080651B"/>
    <w:rsid w:val="63F56C8F"/>
    <w:rsid w:val="63F81C8C"/>
    <w:rsid w:val="640D0C57"/>
    <w:rsid w:val="64354B59"/>
    <w:rsid w:val="64433D8E"/>
    <w:rsid w:val="64C5571C"/>
    <w:rsid w:val="66A77F27"/>
    <w:rsid w:val="674A5097"/>
    <w:rsid w:val="67B160B6"/>
    <w:rsid w:val="6957102D"/>
    <w:rsid w:val="699317E4"/>
    <w:rsid w:val="69F6362D"/>
    <w:rsid w:val="6B776A6D"/>
    <w:rsid w:val="6D260D22"/>
    <w:rsid w:val="6D7B66F3"/>
    <w:rsid w:val="6D822D61"/>
    <w:rsid w:val="6DB36A59"/>
    <w:rsid w:val="7007345D"/>
    <w:rsid w:val="719876BD"/>
    <w:rsid w:val="729A0B48"/>
    <w:rsid w:val="729B4033"/>
    <w:rsid w:val="742F65BB"/>
    <w:rsid w:val="77CE5972"/>
    <w:rsid w:val="78F75F2F"/>
    <w:rsid w:val="79B76855"/>
    <w:rsid w:val="7A313A73"/>
    <w:rsid w:val="7AD35D80"/>
    <w:rsid w:val="7AD654A8"/>
    <w:rsid w:val="7B676C5D"/>
    <w:rsid w:val="7C435390"/>
    <w:rsid w:val="7F256A9B"/>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customStyle="1" w:styleId="9">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3520</Words>
  <Characters>3739</Characters>
  <Lines>4</Lines>
  <Paragraphs>7</Paragraphs>
  <TotalTime>4</TotalTime>
  <ScaleCrop>false</ScaleCrop>
  <LinksUpToDate>false</LinksUpToDate>
  <CharactersWithSpaces>3798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LCCQ-TY</cp:lastModifiedBy>
  <cp:lastPrinted>2022-03-09T07:40:00Z</cp:lastPrinted>
  <dcterms:modified xsi:type="dcterms:W3CDTF">2023-09-04T07:22:24Z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916B0A382F254096ACFC205746AF6B1B</vt:lpwstr>
  </property>
</Properties>
</file>