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新宋体" w:hAnsi="新宋体" w:eastAsia="新宋体" w:cs="新宋体"/>
          <w:color w:val="auto"/>
          <w:sz w:val="28"/>
          <w:szCs w:val="28"/>
        </w:rPr>
      </w:pPr>
      <w:r>
        <w:rPr>
          <w:rFonts w:hint="eastAsia" w:ascii="新宋体" w:hAnsi="新宋体" w:eastAsia="新宋体" w:cs="新宋体"/>
          <w:b w:val="0"/>
          <w:bCs w:val="0"/>
          <w:color w:val="auto"/>
          <w:kern w:val="2"/>
          <w:sz w:val="28"/>
          <w:szCs w:val="28"/>
          <w:shd w:val="clear"/>
        </w:rPr>
        <w:t>（项目编号:</w:t>
      </w:r>
      <w:r>
        <w:rPr>
          <w:rFonts w:hint="eastAsia" w:ascii="新宋体" w:hAnsi="新宋体" w:eastAsia="新宋体" w:cs="新宋体"/>
          <w:b w:val="0"/>
          <w:bCs w:val="0"/>
          <w:color w:val="0000FF"/>
          <w:kern w:val="2"/>
          <w:sz w:val="28"/>
          <w:szCs w:val="28"/>
          <w:shd w:val="clear"/>
          <w:lang w:eastAsia="zh-CN"/>
        </w:rPr>
        <w:t>GKJC20230</w:t>
      </w:r>
      <w:r>
        <w:rPr>
          <w:rFonts w:hint="eastAsia" w:ascii="新宋体" w:hAnsi="新宋体" w:eastAsia="新宋体" w:cs="新宋体"/>
          <w:b w:val="0"/>
          <w:bCs w:val="0"/>
          <w:color w:val="0000FF"/>
          <w:kern w:val="2"/>
          <w:sz w:val="28"/>
          <w:szCs w:val="28"/>
          <w:shd w:val="clear"/>
          <w:lang w:val="en-US" w:eastAsia="zh-CN"/>
        </w:rPr>
        <w:t>728</w:t>
      </w:r>
      <w:r>
        <w:rPr>
          <w:rFonts w:hint="eastAsia" w:ascii="新宋体" w:hAnsi="新宋体" w:eastAsia="新宋体" w:cs="新宋体"/>
          <w:b w:val="0"/>
          <w:bCs w:val="0"/>
          <w:color w:val="auto"/>
          <w:kern w:val="2"/>
          <w:sz w:val="28"/>
          <w:szCs w:val="28"/>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连城县国有资产产权交易服务有限公司</w:t>
      </w:r>
      <w:r>
        <w:rPr>
          <w:rFonts w:hint="eastAsia" w:ascii="新宋体" w:hAnsi="新宋体" w:eastAsia="新宋体" w:cs="新宋体"/>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竞价时间：</w:t>
      </w:r>
      <w:r>
        <w:rPr>
          <w:rFonts w:hint="eastAsia" w:ascii="新宋体" w:hAnsi="新宋体" w:eastAsia="新宋体" w:cs="新宋体"/>
          <w:color w:val="0000FF"/>
          <w:kern w:val="2"/>
          <w:sz w:val="28"/>
          <w:szCs w:val="28"/>
          <w:shd w:val="clear"/>
          <w:lang w:eastAsia="zh-CN"/>
        </w:rPr>
        <w:t>202</w:t>
      </w:r>
      <w:r>
        <w:rPr>
          <w:rFonts w:hint="eastAsia" w:ascii="新宋体" w:hAnsi="新宋体" w:eastAsia="新宋体" w:cs="新宋体"/>
          <w:color w:val="0000FF"/>
          <w:kern w:val="2"/>
          <w:sz w:val="28"/>
          <w:szCs w:val="28"/>
          <w:shd w:val="clear"/>
          <w:lang w:val="en-US" w:eastAsia="zh-CN"/>
        </w:rPr>
        <w:t>3</w:t>
      </w:r>
      <w:r>
        <w:rPr>
          <w:rFonts w:hint="eastAsia" w:ascii="新宋体" w:hAnsi="新宋体" w:eastAsia="新宋体" w:cs="新宋体"/>
          <w:color w:val="0000FF"/>
          <w:kern w:val="2"/>
          <w:sz w:val="28"/>
          <w:szCs w:val="28"/>
          <w:shd w:val="clear"/>
          <w:lang w:eastAsia="zh-CN"/>
        </w:rPr>
        <w:t>年</w:t>
      </w:r>
      <w:r>
        <w:rPr>
          <w:rFonts w:hint="eastAsia" w:ascii="新宋体" w:hAnsi="新宋体" w:eastAsia="新宋体" w:cs="新宋体"/>
          <w:color w:val="0000FF"/>
          <w:kern w:val="2"/>
          <w:sz w:val="28"/>
          <w:szCs w:val="28"/>
          <w:shd w:val="clear"/>
          <w:lang w:val="en-US" w:eastAsia="zh-CN"/>
        </w:rPr>
        <w:t>7</w:t>
      </w:r>
      <w:r>
        <w:rPr>
          <w:rFonts w:hint="eastAsia" w:ascii="新宋体" w:hAnsi="新宋体" w:eastAsia="新宋体" w:cs="新宋体"/>
          <w:color w:val="0000FF"/>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28</w:t>
      </w:r>
      <w:r>
        <w:rPr>
          <w:rFonts w:hint="eastAsia" w:ascii="新宋体" w:hAnsi="新宋体" w:eastAsia="新宋体" w:cs="新宋体"/>
          <w:color w:val="0000FF"/>
          <w:kern w:val="2"/>
          <w:sz w:val="28"/>
          <w:szCs w:val="28"/>
          <w:shd w:val="clear"/>
          <w:lang w:eastAsia="zh-CN"/>
        </w:rPr>
        <w:t>日</w:t>
      </w:r>
      <w:r>
        <w:rPr>
          <w:rFonts w:hint="eastAsia" w:ascii="新宋体" w:hAnsi="新宋体" w:eastAsia="新宋体" w:cs="新宋体"/>
          <w:color w:val="auto"/>
          <w:kern w:val="2"/>
          <w:sz w:val="28"/>
          <w:szCs w:val="28"/>
          <w:shd w:val="clear"/>
        </w:rPr>
        <w:t>9:30开始至9:50止。</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竞价地点</w:t>
      </w:r>
      <w:r>
        <w:rPr>
          <w:rFonts w:hint="eastAsia" w:ascii="新宋体" w:hAnsi="新宋体" w:eastAsia="新宋体" w:cs="新宋体"/>
          <w:color w:val="auto"/>
          <w:spacing w:val="0"/>
          <w:kern w:val="2"/>
          <w:sz w:val="28"/>
          <w:szCs w:val="28"/>
          <w:shd w:val="clear"/>
        </w:rPr>
        <w:t>：</w:t>
      </w:r>
      <w:r>
        <w:rPr>
          <w:rFonts w:hint="eastAsia" w:ascii="新宋体" w:hAnsi="新宋体" w:eastAsia="新宋体" w:cs="新宋体"/>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报名时间：</w:t>
      </w:r>
      <w:r>
        <w:rPr>
          <w:rFonts w:hint="eastAsia" w:ascii="新宋体" w:hAnsi="新宋体" w:eastAsia="新宋体" w:cs="新宋体"/>
          <w:color w:val="0000FF"/>
          <w:kern w:val="2"/>
          <w:sz w:val="28"/>
          <w:szCs w:val="28"/>
          <w:shd w:val="clear"/>
          <w:lang w:eastAsia="zh-CN"/>
        </w:rPr>
        <w:t>2023年</w:t>
      </w:r>
      <w:r>
        <w:rPr>
          <w:rFonts w:hint="eastAsia" w:ascii="新宋体" w:hAnsi="新宋体" w:eastAsia="新宋体" w:cs="新宋体"/>
          <w:color w:val="0000FF"/>
          <w:kern w:val="2"/>
          <w:sz w:val="28"/>
          <w:szCs w:val="28"/>
          <w:shd w:val="clear"/>
          <w:lang w:val="en-US" w:eastAsia="zh-CN"/>
        </w:rPr>
        <w:t>7</w:t>
      </w:r>
      <w:r>
        <w:rPr>
          <w:rFonts w:hint="eastAsia" w:ascii="新宋体" w:hAnsi="新宋体" w:eastAsia="新宋体" w:cs="新宋体"/>
          <w:color w:val="0000FF"/>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25</w:t>
      </w:r>
      <w:r>
        <w:rPr>
          <w:rFonts w:hint="eastAsia" w:ascii="新宋体" w:hAnsi="新宋体" w:eastAsia="新宋体" w:cs="新宋体"/>
          <w:color w:val="0000FF"/>
          <w:kern w:val="2"/>
          <w:sz w:val="28"/>
          <w:szCs w:val="28"/>
          <w:shd w:val="clear"/>
          <w:lang w:eastAsia="zh-CN"/>
        </w:rPr>
        <w:t>日</w:t>
      </w:r>
      <w:r>
        <w:rPr>
          <w:rFonts w:hint="eastAsia" w:ascii="新宋体" w:hAnsi="新宋体" w:eastAsia="新宋体" w:cs="新宋体"/>
          <w:color w:val="0000FF"/>
          <w:kern w:val="2"/>
          <w:sz w:val="28"/>
          <w:szCs w:val="28"/>
          <w:shd w:val="clear"/>
        </w:rPr>
        <w:t>至</w:t>
      </w:r>
      <w:r>
        <w:rPr>
          <w:rFonts w:hint="eastAsia" w:ascii="新宋体" w:hAnsi="新宋体" w:eastAsia="新宋体" w:cs="新宋体"/>
          <w:color w:val="0000FF"/>
          <w:kern w:val="2"/>
          <w:sz w:val="28"/>
          <w:szCs w:val="28"/>
          <w:shd w:val="clear"/>
          <w:lang w:eastAsia="zh-CN"/>
        </w:rPr>
        <w:t>2023年</w:t>
      </w:r>
      <w:r>
        <w:rPr>
          <w:rFonts w:hint="eastAsia" w:ascii="新宋体" w:hAnsi="新宋体" w:eastAsia="新宋体" w:cs="新宋体"/>
          <w:color w:val="0000FF"/>
          <w:kern w:val="2"/>
          <w:sz w:val="28"/>
          <w:szCs w:val="28"/>
          <w:shd w:val="clear"/>
          <w:lang w:val="en-US" w:eastAsia="zh-CN"/>
        </w:rPr>
        <w:t>7</w:t>
      </w:r>
      <w:r>
        <w:rPr>
          <w:rFonts w:hint="eastAsia" w:ascii="新宋体" w:hAnsi="新宋体" w:eastAsia="新宋体" w:cs="新宋体"/>
          <w:color w:val="0000FF"/>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27</w:t>
      </w:r>
      <w:r>
        <w:rPr>
          <w:rFonts w:hint="eastAsia" w:ascii="新宋体" w:hAnsi="新宋体" w:eastAsia="新宋体" w:cs="新宋体"/>
          <w:color w:val="0000FF"/>
          <w:kern w:val="2"/>
          <w:sz w:val="28"/>
          <w:szCs w:val="28"/>
          <w:shd w:val="clear"/>
          <w:lang w:eastAsia="zh-CN"/>
        </w:rPr>
        <w:t>日</w:t>
      </w:r>
      <w:r>
        <w:rPr>
          <w:rFonts w:hint="eastAsia" w:ascii="新宋体" w:hAnsi="新宋体" w:eastAsia="新宋体" w:cs="新宋体"/>
          <w:color w:val="auto"/>
          <w:kern w:val="2"/>
          <w:sz w:val="28"/>
          <w:szCs w:val="28"/>
          <w:shd w:val="clear"/>
        </w:rPr>
        <w:t>17时(节假日除外)</w:t>
      </w:r>
    </w:p>
    <w:p>
      <w:pPr>
        <w:snapToGrid/>
        <w:spacing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报名地点：连城县国有资产产权交易服务有限公司（</w:t>
      </w:r>
      <w:r>
        <w:rPr>
          <w:rFonts w:hint="eastAsia" w:ascii="新宋体" w:hAnsi="新宋体" w:eastAsia="新宋体" w:cs="新宋体"/>
          <w:color w:val="auto"/>
          <w:sz w:val="28"/>
          <w:szCs w:val="28"/>
          <w:shd w:val="clear"/>
          <w:lang w:eastAsia="zh-CN"/>
        </w:rPr>
        <w:t>连城县莲峰镇李彭村彭坊桥路1号4层</w:t>
      </w:r>
      <w:r>
        <w:rPr>
          <w:rFonts w:hint="eastAsia" w:ascii="新宋体" w:hAnsi="新宋体" w:eastAsia="新宋体" w:cs="新宋体"/>
          <w:color w:val="auto"/>
          <w:sz w:val="28"/>
          <w:szCs w:val="28"/>
          <w:shd w:val="clear"/>
        </w:rPr>
        <w:t>）</w:t>
      </w:r>
    </w:p>
    <w:p>
      <w:pPr>
        <w:snapToGrid/>
        <w:spacing w:line="520" w:lineRule="exact"/>
        <w:ind w:firstLine="560" w:firstLineChars="200"/>
        <w:rPr>
          <w:rFonts w:hint="default" w:ascii="新宋体" w:hAnsi="新宋体" w:eastAsia="新宋体" w:cs="新宋体"/>
          <w:color w:val="auto"/>
          <w:sz w:val="28"/>
          <w:szCs w:val="28"/>
          <w:shd w:val="clear"/>
          <w:lang w:val="en-US" w:eastAsia="zh-CN"/>
        </w:rPr>
      </w:pPr>
      <w:r>
        <w:rPr>
          <w:rFonts w:hint="eastAsia" w:ascii="新宋体" w:hAnsi="新宋体" w:eastAsia="新宋体" w:cs="新宋体"/>
          <w:color w:val="auto"/>
          <w:sz w:val="28"/>
          <w:szCs w:val="28"/>
          <w:shd w:val="clear"/>
        </w:rPr>
        <w:t>联系电话：</w:t>
      </w:r>
      <w:r>
        <w:rPr>
          <w:rFonts w:hint="eastAsia" w:ascii="新宋体" w:hAnsi="新宋体" w:eastAsia="新宋体" w:cs="新宋体"/>
          <w:color w:val="auto"/>
          <w:sz w:val="28"/>
          <w:szCs w:val="28"/>
          <w:shd w:val="clear"/>
          <w:lang w:val="en-US" w:eastAsia="zh-CN"/>
        </w:rPr>
        <w:t>18039848961</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lang w:eastAsia="zh-CN"/>
        </w:rPr>
        <w:t>二</w:t>
      </w:r>
      <w:r>
        <w:rPr>
          <w:rFonts w:hint="eastAsia" w:ascii="新宋体" w:hAnsi="新宋体" w:eastAsia="新宋体" w:cs="新宋体"/>
          <w:b/>
          <w:bCs/>
          <w:color w:val="auto"/>
          <w:sz w:val="28"/>
          <w:szCs w:val="28"/>
        </w:rPr>
        <w:t>、项目</w:t>
      </w:r>
      <w:r>
        <w:rPr>
          <w:rFonts w:hint="eastAsia" w:ascii="新宋体" w:hAnsi="新宋体" w:eastAsia="新宋体" w:cs="新宋体"/>
          <w:b/>
          <w:bCs/>
          <w:color w:val="auto"/>
          <w:sz w:val="28"/>
          <w:szCs w:val="28"/>
          <w:lang w:eastAsia="zh-CN"/>
        </w:rPr>
        <w:t>概况</w:t>
      </w:r>
      <w:r>
        <w:rPr>
          <w:rFonts w:hint="eastAsia" w:ascii="新宋体" w:hAnsi="新宋体" w:eastAsia="新宋体" w:cs="新宋体"/>
          <w:b/>
          <w:bCs/>
          <w:color w:val="auto"/>
          <w:sz w:val="28"/>
          <w:szCs w:val="28"/>
        </w:rPr>
        <w:t>及</w:t>
      </w:r>
      <w:r>
        <w:rPr>
          <w:rFonts w:hint="eastAsia" w:ascii="新宋体" w:hAnsi="新宋体" w:eastAsia="新宋体" w:cs="新宋体"/>
          <w:b/>
          <w:bCs/>
          <w:color w:val="auto"/>
          <w:sz w:val="28"/>
          <w:szCs w:val="28"/>
          <w:lang w:val="en-US" w:eastAsia="zh-CN"/>
        </w:rPr>
        <w:t>合同</w:t>
      </w:r>
      <w:r>
        <w:rPr>
          <w:rFonts w:hint="eastAsia" w:ascii="新宋体" w:hAnsi="新宋体" w:eastAsia="新宋体" w:cs="新宋体"/>
          <w:b/>
          <w:bCs/>
          <w:color w:val="auto"/>
          <w:sz w:val="28"/>
          <w:szCs w:val="28"/>
        </w:rPr>
        <w:t>要求</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0000FF"/>
          <w:sz w:val="28"/>
          <w:szCs w:val="28"/>
        </w:rPr>
      </w:pPr>
      <w:r>
        <w:rPr>
          <w:rFonts w:hint="eastAsia" w:ascii="新宋体" w:hAnsi="新宋体" w:eastAsia="新宋体" w:cs="新宋体"/>
          <w:color w:val="auto"/>
          <w:sz w:val="28"/>
          <w:szCs w:val="28"/>
        </w:rPr>
        <w:t>1.项目名称：</w:t>
      </w:r>
      <w:r>
        <w:rPr>
          <w:rFonts w:hint="eastAsia" w:ascii="仿宋_GB2312" w:hAnsi="仿宋_GB2312" w:eastAsia="仿宋_GB2312" w:cs="仿宋_GB2312"/>
          <w:color w:val="0000FF"/>
          <w:sz w:val="28"/>
          <w:szCs w:val="28"/>
          <w:lang w:eastAsia="zh-CN"/>
        </w:rPr>
        <w:t>连城县工贸发展有限公司公开竞价选取连城县建筑建材专业产业园建设项目一号厂区工程桩基检测服务机构</w:t>
      </w:r>
      <w:r>
        <w:rPr>
          <w:rFonts w:hint="eastAsia" w:ascii="新宋体" w:hAnsi="新宋体" w:eastAsia="新宋体" w:cs="新宋体"/>
          <w:color w:val="0000FF"/>
          <w:sz w:val="28"/>
          <w:szCs w:val="28"/>
        </w:rPr>
        <w:t>。</w:t>
      </w:r>
    </w:p>
    <w:p>
      <w:pPr>
        <w:pStyle w:val="2"/>
        <w:spacing w:line="360" w:lineRule="auto"/>
        <w:ind w:firstLine="560" w:firstLineChars="200"/>
        <w:rPr>
          <w:rFonts w:hint="eastAsia" w:ascii="仿宋_GB2312" w:hAnsi="仿宋_GB2312" w:eastAsia="仿宋_GB2312" w:cs="仿宋_GB2312"/>
          <w:b w:val="0"/>
          <w:bCs w:val="0"/>
          <w:color w:val="0000FF"/>
          <w:sz w:val="28"/>
          <w:szCs w:val="28"/>
          <w:lang w:val="en-US" w:eastAsia="zh-CN"/>
        </w:rPr>
      </w:pPr>
      <w:r>
        <w:rPr>
          <w:rFonts w:hint="eastAsia" w:ascii="新宋体" w:hAnsi="新宋体" w:eastAsia="新宋体" w:cs="新宋体"/>
          <w:color w:val="auto"/>
          <w:sz w:val="28"/>
          <w:szCs w:val="28"/>
        </w:rPr>
        <w:t>2.</w:t>
      </w:r>
      <w:r>
        <w:rPr>
          <w:rFonts w:hint="eastAsia" w:ascii="仿宋_GB2312" w:hAnsi="仿宋_GB2312" w:eastAsia="仿宋_GB2312" w:cs="仿宋_GB2312"/>
          <w:b/>
          <w:bCs/>
          <w:color w:val="auto"/>
          <w:sz w:val="28"/>
          <w:szCs w:val="28"/>
          <w:lang w:val="en-US" w:eastAsia="zh-CN"/>
        </w:rPr>
        <w:t>检测内容</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val="0"/>
          <w:bCs w:val="0"/>
          <w:color w:val="0000FF"/>
          <w:sz w:val="28"/>
          <w:szCs w:val="28"/>
          <w:lang w:val="en-US" w:eastAsia="zh-CN"/>
        </w:rPr>
        <w:t>包含单桩竖向抗压静荷载试验、低应变法检测及高应变法检测等相关业务的检测，检测数量详见下表：</w:t>
      </w:r>
    </w:p>
    <w:tbl>
      <w:tblPr>
        <w:tblStyle w:val="4"/>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711"/>
        <w:gridCol w:w="775"/>
        <w:gridCol w:w="1390"/>
        <w:gridCol w:w="1623"/>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序号</w:t>
            </w:r>
          </w:p>
        </w:tc>
        <w:tc>
          <w:tcPr>
            <w:tcW w:w="1007"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项目</w:t>
            </w:r>
          </w:p>
        </w:tc>
        <w:tc>
          <w:tcPr>
            <w:tcW w:w="456"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单位</w:t>
            </w:r>
          </w:p>
        </w:tc>
        <w:tc>
          <w:tcPr>
            <w:tcW w:w="818"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数量（暂定）</w:t>
            </w:r>
          </w:p>
        </w:tc>
        <w:tc>
          <w:tcPr>
            <w:tcW w:w="955"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单价限价（元）</w:t>
            </w:r>
          </w:p>
        </w:tc>
        <w:tc>
          <w:tcPr>
            <w:tcW w:w="1355"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1</w:t>
            </w:r>
          </w:p>
        </w:tc>
        <w:tc>
          <w:tcPr>
            <w:tcW w:w="1007"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lang w:val="en-US" w:eastAsia="zh-CN"/>
              </w:rPr>
              <w:t>单桩竖向抗压静荷载试验</w:t>
            </w:r>
          </w:p>
        </w:tc>
        <w:tc>
          <w:tcPr>
            <w:tcW w:w="456"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KN</w:t>
            </w:r>
          </w:p>
        </w:tc>
        <w:tc>
          <w:tcPr>
            <w:tcW w:w="818" w:type="pct"/>
            <w:vAlign w:val="center"/>
          </w:tcPr>
          <w:p>
            <w:pPr>
              <w:pStyle w:val="2"/>
              <w:spacing w:line="360" w:lineRule="auto"/>
              <w:jc w:val="center"/>
              <w:rPr>
                <w:rFonts w:hint="default" w:ascii="仿宋_GB2312" w:hAnsi="仿宋_GB2312" w:eastAsia="仿宋_GB2312" w:cs="仿宋_GB2312"/>
                <w:b w:val="0"/>
                <w:bCs w:val="0"/>
                <w:color w:val="0000FF"/>
                <w:sz w:val="24"/>
                <w:szCs w:val="24"/>
                <w:lang w:val="en-US" w:eastAsia="zh-CN"/>
              </w:rPr>
            </w:pPr>
            <w:r>
              <w:rPr>
                <w:rFonts w:hint="eastAsia" w:ascii="仿宋_GB2312" w:hAnsi="仿宋_GB2312" w:eastAsia="仿宋_GB2312" w:cs="仿宋_GB2312"/>
                <w:b w:val="0"/>
                <w:bCs w:val="0"/>
                <w:color w:val="0000FF"/>
                <w:sz w:val="24"/>
                <w:szCs w:val="24"/>
                <w:lang w:val="en-US" w:eastAsia="zh-CN"/>
              </w:rPr>
              <w:t>22400</w:t>
            </w:r>
          </w:p>
        </w:tc>
        <w:tc>
          <w:tcPr>
            <w:tcW w:w="955" w:type="pct"/>
            <w:vAlign w:val="center"/>
          </w:tcPr>
          <w:p>
            <w:pPr>
              <w:pStyle w:val="2"/>
              <w:spacing w:line="360" w:lineRule="auto"/>
              <w:jc w:val="center"/>
              <w:rPr>
                <w:rFonts w:hint="default" w:ascii="仿宋_GB2312" w:hAnsi="仿宋_GB2312" w:eastAsia="仿宋_GB2312" w:cs="仿宋_GB2312"/>
                <w:b w:val="0"/>
                <w:bCs w:val="0"/>
                <w:color w:val="0000FF"/>
                <w:sz w:val="24"/>
                <w:szCs w:val="24"/>
                <w:lang w:val="en-US" w:eastAsia="zh-CN"/>
              </w:rPr>
            </w:pPr>
            <w:r>
              <w:rPr>
                <w:rFonts w:hint="eastAsia" w:ascii="仿宋_GB2312" w:hAnsi="仿宋_GB2312" w:eastAsia="仿宋_GB2312" w:cs="仿宋_GB2312"/>
                <w:b w:val="0"/>
                <w:bCs w:val="0"/>
                <w:color w:val="0000FF"/>
                <w:sz w:val="24"/>
                <w:szCs w:val="24"/>
                <w:lang w:val="en-US" w:eastAsia="zh-CN"/>
              </w:rPr>
              <w:t>3.5</w:t>
            </w:r>
          </w:p>
        </w:tc>
        <w:tc>
          <w:tcPr>
            <w:tcW w:w="1355" w:type="pct"/>
            <w:vAlign w:val="center"/>
          </w:tcPr>
          <w:p>
            <w:pPr>
              <w:pStyle w:val="2"/>
              <w:spacing w:line="360" w:lineRule="auto"/>
              <w:jc w:val="center"/>
              <w:rPr>
                <w:rFonts w:hint="default" w:ascii="仿宋_GB2312" w:hAnsi="仿宋_GB2312" w:eastAsia="仿宋_GB2312" w:cs="仿宋_GB2312"/>
                <w:b w:val="0"/>
                <w:bCs w:val="0"/>
                <w:color w:val="0000FF"/>
                <w:sz w:val="24"/>
                <w:szCs w:val="24"/>
                <w:lang w:val="en-US" w:eastAsia="zh-CN"/>
              </w:rPr>
            </w:pPr>
            <w:r>
              <w:rPr>
                <w:rFonts w:hint="eastAsia" w:ascii="仿宋_GB2312" w:hAnsi="仿宋_GB2312" w:eastAsia="仿宋_GB2312" w:cs="仿宋_GB2312"/>
                <w:b w:val="0"/>
                <w:bCs w:val="0"/>
                <w:color w:val="0000FF"/>
                <w:sz w:val="24"/>
                <w:szCs w:val="24"/>
                <w:lang w:val="en-US" w:eastAsia="zh-CN"/>
              </w:rPr>
              <w:t>1至4号厂房各3根，设备用房2根，按实结算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2</w:t>
            </w:r>
          </w:p>
        </w:tc>
        <w:tc>
          <w:tcPr>
            <w:tcW w:w="1007"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lang w:val="en-US" w:eastAsia="zh-CN"/>
              </w:rPr>
              <w:t>低应变法检测</w:t>
            </w:r>
          </w:p>
        </w:tc>
        <w:tc>
          <w:tcPr>
            <w:tcW w:w="456"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根</w:t>
            </w:r>
          </w:p>
        </w:tc>
        <w:tc>
          <w:tcPr>
            <w:tcW w:w="818" w:type="pct"/>
            <w:vAlign w:val="center"/>
          </w:tcPr>
          <w:p>
            <w:pPr>
              <w:pStyle w:val="2"/>
              <w:spacing w:line="360" w:lineRule="auto"/>
              <w:jc w:val="center"/>
              <w:rPr>
                <w:rFonts w:hint="default" w:ascii="仿宋_GB2312" w:hAnsi="仿宋_GB2312" w:eastAsia="仿宋_GB2312" w:cs="仿宋_GB2312"/>
                <w:b w:val="0"/>
                <w:bCs w:val="0"/>
                <w:color w:val="0000FF"/>
                <w:sz w:val="24"/>
                <w:szCs w:val="24"/>
                <w:lang w:val="en-US" w:eastAsia="zh-CN"/>
              </w:rPr>
            </w:pPr>
            <w:r>
              <w:rPr>
                <w:rFonts w:hint="eastAsia" w:ascii="仿宋_GB2312" w:hAnsi="仿宋_GB2312" w:eastAsia="仿宋_GB2312" w:cs="仿宋_GB2312"/>
                <w:b w:val="0"/>
                <w:bCs w:val="0"/>
                <w:color w:val="0000FF"/>
                <w:sz w:val="24"/>
                <w:szCs w:val="24"/>
                <w:lang w:val="en-US" w:eastAsia="zh-CN"/>
              </w:rPr>
              <w:t>705</w:t>
            </w:r>
          </w:p>
        </w:tc>
        <w:tc>
          <w:tcPr>
            <w:tcW w:w="955" w:type="pct"/>
            <w:vAlign w:val="center"/>
          </w:tcPr>
          <w:p>
            <w:pPr>
              <w:pStyle w:val="2"/>
              <w:spacing w:line="360" w:lineRule="auto"/>
              <w:jc w:val="center"/>
              <w:rPr>
                <w:rFonts w:hint="default" w:ascii="仿宋_GB2312" w:hAnsi="仿宋_GB2312" w:eastAsia="仿宋_GB2312" w:cs="仿宋_GB2312"/>
                <w:b w:val="0"/>
                <w:bCs w:val="0"/>
                <w:color w:val="0000FF"/>
                <w:sz w:val="24"/>
                <w:szCs w:val="24"/>
                <w:lang w:val="en-US" w:eastAsia="zh-CN"/>
              </w:rPr>
            </w:pPr>
            <w:r>
              <w:rPr>
                <w:rFonts w:hint="eastAsia" w:ascii="仿宋_GB2312" w:hAnsi="仿宋_GB2312" w:eastAsia="仿宋_GB2312" w:cs="仿宋_GB2312"/>
                <w:b w:val="0"/>
                <w:bCs w:val="0"/>
                <w:color w:val="0000FF"/>
                <w:sz w:val="24"/>
                <w:szCs w:val="24"/>
                <w:lang w:val="en-US" w:eastAsia="zh-CN"/>
              </w:rPr>
              <w:t>60</w:t>
            </w:r>
          </w:p>
        </w:tc>
        <w:tc>
          <w:tcPr>
            <w:tcW w:w="1355" w:type="pct"/>
            <w:vAlign w:val="center"/>
          </w:tcPr>
          <w:p>
            <w:pPr>
              <w:pStyle w:val="2"/>
              <w:spacing w:line="360" w:lineRule="auto"/>
              <w:jc w:val="center"/>
              <w:rPr>
                <w:rFonts w:hint="eastAsia" w:ascii="仿宋_GB2312" w:hAnsi="仿宋_GB2312" w:eastAsia="仿宋_GB2312" w:cs="仿宋_GB2312"/>
                <w:b w:val="0"/>
                <w:bCs w:val="0"/>
                <w:color w:val="0000FF"/>
                <w:sz w:val="24"/>
                <w:szCs w:val="24"/>
                <w:lang w:val="en-US" w:eastAsia="zh-CN"/>
              </w:rPr>
            </w:pPr>
            <w:r>
              <w:rPr>
                <w:rFonts w:hint="eastAsia" w:ascii="仿宋_GB2312" w:hAnsi="仿宋_GB2312" w:eastAsia="仿宋_GB2312" w:cs="仿宋_GB2312"/>
                <w:b w:val="0"/>
                <w:bCs w:val="0"/>
                <w:color w:val="0000FF"/>
                <w:sz w:val="24"/>
                <w:szCs w:val="24"/>
                <w:lang w:val="en-US" w:eastAsia="zh-CN"/>
              </w:rPr>
              <w:t>1#厂房154根，2#厂房154根，3#厂房189根，4#厂房188根，设备用房20根，按实结算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3</w:t>
            </w:r>
          </w:p>
        </w:tc>
        <w:tc>
          <w:tcPr>
            <w:tcW w:w="1007" w:type="pct"/>
            <w:vAlign w:val="center"/>
          </w:tcPr>
          <w:p>
            <w:pPr>
              <w:pStyle w:val="2"/>
              <w:spacing w:line="360" w:lineRule="auto"/>
              <w:jc w:val="center"/>
              <w:rPr>
                <w:rFonts w:hint="eastAsia" w:ascii="仿宋_GB2312" w:hAnsi="仿宋_GB2312" w:eastAsia="仿宋_GB2312" w:cs="仿宋_GB2312"/>
                <w:b w:val="0"/>
                <w:bCs w:val="0"/>
                <w:color w:val="0000FF"/>
                <w:sz w:val="24"/>
                <w:szCs w:val="24"/>
                <w:lang w:val="en-US" w:eastAsia="zh-CN"/>
              </w:rPr>
            </w:pPr>
            <w:r>
              <w:rPr>
                <w:rFonts w:hint="eastAsia" w:ascii="仿宋_GB2312" w:hAnsi="仿宋_GB2312" w:eastAsia="仿宋_GB2312" w:cs="仿宋_GB2312"/>
                <w:b w:val="0"/>
                <w:bCs w:val="0"/>
                <w:color w:val="0000FF"/>
                <w:sz w:val="24"/>
                <w:szCs w:val="24"/>
                <w:lang w:val="en-US" w:eastAsia="zh-CN"/>
              </w:rPr>
              <w:t>高应变法检测</w:t>
            </w:r>
          </w:p>
        </w:tc>
        <w:tc>
          <w:tcPr>
            <w:tcW w:w="456" w:type="pct"/>
            <w:vAlign w:val="center"/>
          </w:tcPr>
          <w:p>
            <w:pPr>
              <w:pStyle w:val="2"/>
              <w:spacing w:line="360" w:lineRule="auto"/>
              <w:jc w:val="center"/>
              <w:rPr>
                <w:rFonts w:hint="default" w:ascii="仿宋_GB2312" w:hAnsi="仿宋_GB2312" w:eastAsia="仿宋_GB2312" w:cs="仿宋_GB2312"/>
                <w:b w:val="0"/>
                <w:bCs w:val="0"/>
                <w:color w:val="0000FF"/>
                <w:sz w:val="24"/>
                <w:szCs w:val="24"/>
                <w:lang w:val="en-US" w:eastAsia="zh-CN"/>
              </w:rPr>
            </w:pPr>
            <w:r>
              <w:rPr>
                <w:rFonts w:hint="eastAsia" w:ascii="仿宋_GB2312" w:hAnsi="仿宋_GB2312" w:eastAsia="仿宋_GB2312" w:cs="仿宋_GB2312"/>
                <w:b w:val="0"/>
                <w:bCs w:val="0"/>
                <w:color w:val="0000FF"/>
                <w:sz w:val="24"/>
                <w:szCs w:val="24"/>
                <w:lang w:val="en-US" w:eastAsia="zh-CN"/>
              </w:rPr>
              <w:t>根</w:t>
            </w:r>
          </w:p>
        </w:tc>
        <w:tc>
          <w:tcPr>
            <w:tcW w:w="818" w:type="pct"/>
            <w:vAlign w:val="center"/>
          </w:tcPr>
          <w:p>
            <w:pPr>
              <w:pStyle w:val="2"/>
              <w:spacing w:line="360" w:lineRule="auto"/>
              <w:jc w:val="center"/>
              <w:rPr>
                <w:rFonts w:hint="default" w:ascii="仿宋_GB2312" w:hAnsi="仿宋_GB2312" w:eastAsia="仿宋_GB2312" w:cs="仿宋_GB2312"/>
                <w:b w:val="0"/>
                <w:bCs w:val="0"/>
                <w:color w:val="0000FF"/>
                <w:sz w:val="24"/>
                <w:szCs w:val="24"/>
                <w:lang w:val="en-US" w:eastAsia="zh-CN"/>
              </w:rPr>
            </w:pPr>
            <w:r>
              <w:rPr>
                <w:rFonts w:hint="eastAsia" w:ascii="仿宋_GB2312" w:hAnsi="仿宋_GB2312" w:eastAsia="仿宋_GB2312" w:cs="仿宋_GB2312"/>
                <w:b w:val="0"/>
                <w:bCs w:val="0"/>
                <w:color w:val="0000FF"/>
                <w:sz w:val="24"/>
                <w:szCs w:val="24"/>
                <w:lang w:val="en-US" w:eastAsia="zh-CN"/>
              </w:rPr>
              <w:t>20</w:t>
            </w:r>
          </w:p>
        </w:tc>
        <w:tc>
          <w:tcPr>
            <w:tcW w:w="955" w:type="pct"/>
            <w:vAlign w:val="center"/>
          </w:tcPr>
          <w:p>
            <w:pPr>
              <w:pStyle w:val="2"/>
              <w:spacing w:line="360" w:lineRule="auto"/>
              <w:jc w:val="center"/>
              <w:rPr>
                <w:rFonts w:hint="default" w:ascii="仿宋_GB2312" w:hAnsi="仿宋_GB2312" w:eastAsia="仿宋_GB2312" w:cs="仿宋_GB2312"/>
                <w:b w:val="0"/>
                <w:bCs w:val="0"/>
                <w:color w:val="0000FF"/>
                <w:sz w:val="24"/>
                <w:szCs w:val="24"/>
                <w:lang w:val="en-US" w:eastAsia="zh-CN"/>
              </w:rPr>
            </w:pPr>
            <w:r>
              <w:rPr>
                <w:rFonts w:hint="eastAsia" w:ascii="仿宋_GB2312" w:hAnsi="仿宋_GB2312" w:eastAsia="仿宋_GB2312" w:cs="仿宋_GB2312"/>
                <w:b w:val="0"/>
                <w:bCs w:val="0"/>
                <w:color w:val="0000FF"/>
                <w:sz w:val="24"/>
                <w:szCs w:val="24"/>
                <w:lang w:val="en-US" w:eastAsia="zh-CN"/>
              </w:rPr>
              <w:t>3245.2</w:t>
            </w:r>
          </w:p>
        </w:tc>
        <w:tc>
          <w:tcPr>
            <w:tcW w:w="1355" w:type="pct"/>
            <w:vAlign w:val="center"/>
          </w:tcPr>
          <w:p>
            <w:pPr>
              <w:pStyle w:val="2"/>
              <w:spacing w:line="360" w:lineRule="auto"/>
              <w:jc w:val="center"/>
              <w:rPr>
                <w:rFonts w:hint="default" w:ascii="仿宋_GB2312" w:hAnsi="仿宋_GB2312" w:eastAsia="仿宋_GB2312" w:cs="仿宋_GB2312"/>
                <w:b w:val="0"/>
                <w:bCs w:val="0"/>
                <w:color w:val="0000FF"/>
                <w:sz w:val="24"/>
                <w:szCs w:val="24"/>
                <w:lang w:val="en-US" w:eastAsia="zh-CN"/>
              </w:rPr>
            </w:pPr>
            <w:r>
              <w:rPr>
                <w:rFonts w:hint="eastAsia" w:ascii="仿宋_GB2312" w:hAnsi="仿宋_GB2312" w:eastAsia="仿宋_GB2312" w:cs="仿宋_GB2312"/>
                <w:b w:val="0"/>
                <w:bCs w:val="0"/>
                <w:color w:val="0000FF"/>
                <w:sz w:val="24"/>
                <w:szCs w:val="24"/>
                <w:lang w:val="en-US" w:eastAsia="zh-CN"/>
              </w:rPr>
              <w:t>1至4号厂房各5根，按实结算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pPr>
              <w:pStyle w:val="2"/>
              <w:spacing w:line="360" w:lineRule="auto"/>
              <w:jc w:val="center"/>
              <w:rPr>
                <w:rFonts w:hint="default"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vertAlign w:val="baseline"/>
                <w:lang w:val="en-US" w:eastAsia="zh-CN"/>
              </w:rPr>
              <w:t>合计</w:t>
            </w:r>
          </w:p>
        </w:tc>
        <w:tc>
          <w:tcPr>
            <w:tcW w:w="4592" w:type="pct"/>
            <w:gridSpan w:val="5"/>
            <w:vAlign w:val="center"/>
          </w:tcPr>
          <w:p>
            <w:pPr>
              <w:pStyle w:val="2"/>
              <w:spacing w:line="360" w:lineRule="auto"/>
              <w:jc w:val="left"/>
              <w:rPr>
                <w:rFonts w:hint="eastAsia" w:ascii="仿宋_GB2312" w:hAnsi="仿宋_GB2312" w:eastAsia="仿宋_GB2312" w:cs="仿宋_GB2312"/>
                <w:b w:val="0"/>
                <w:bCs w:val="0"/>
                <w:color w:val="0000FF"/>
                <w:sz w:val="24"/>
                <w:szCs w:val="24"/>
                <w:vertAlign w:val="baseline"/>
                <w:lang w:val="en-US" w:eastAsia="zh-CN"/>
              </w:rPr>
            </w:pPr>
            <w:r>
              <w:rPr>
                <w:rFonts w:hint="eastAsia" w:ascii="仿宋_GB2312" w:hAnsi="仿宋_GB2312" w:eastAsia="仿宋_GB2312" w:cs="仿宋_GB2312"/>
                <w:b w:val="0"/>
                <w:bCs w:val="0"/>
                <w:color w:val="0000FF"/>
                <w:sz w:val="24"/>
                <w:szCs w:val="24"/>
                <w:lang w:val="en-US" w:eastAsia="zh-CN"/>
              </w:rPr>
              <w:t>185604元</w:t>
            </w:r>
          </w:p>
        </w:tc>
      </w:tr>
    </w:tbl>
    <w:p>
      <w:pPr>
        <w:pStyle w:val="2"/>
        <w:spacing w:line="360" w:lineRule="auto"/>
        <w:ind w:firstLine="560"/>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3.检测费用限价：</w:t>
      </w:r>
      <w:r>
        <w:rPr>
          <w:rFonts w:hint="eastAsia" w:ascii="仿宋_GB2312" w:hAnsi="仿宋_GB2312" w:eastAsia="仿宋_GB2312" w:cs="仿宋_GB2312"/>
          <w:b w:val="0"/>
          <w:bCs w:val="0"/>
          <w:color w:val="0000FF"/>
          <w:sz w:val="28"/>
          <w:szCs w:val="28"/>
          <w:lang w:val="en-US" w:eastAsia="zh-CN"/>
        </w:rPr>
        <w:t>本项目检测费用限价185604</w:t>
      </w:r>
      <w:r>
        <w:rPr>
          <w:rFonts w:hint="eastAsia" w:ascii="仿宋_GB2312" w:hAnsi="仿宋_GB2312" w:eastAsia="仿宋_GB2312" w:cs="仿宋_GB2312"/>
          <w:b w:val="0"/>
          <w:bCs w:val="0"/>
          <w:color w:val="0000FF"/>
          <w:sz w:val="28"/>
          <w:szCs w:val="28"/>
          <w:vertAlign w:val="baseline"/>
          <w:lang w:val="en-US" w:eastAsia="zh-CN"/>
        </w:rPr>
        <w:t>元，</w:t>
      </w:r>
      <w:r>
        <w:rPr>
          <w:rFonts w:hint="eastAsia" w:ascii="仿宋_GB2312" w:hAnsi="仿宋_GB2312" w:eastAsia="仿宋_GB2312" w:cs="仿宋_GB2312"/>
          <w:b w:val="0"/>
          <w:bCs w:val="0"/>
          <w:color w:val="0000FF"/>
          <w:sz w:val="28"/>
          <w:szCs w:val="28"/>
          <w:lang w:val="en-US" w:eastAsia="zh-CN"/>
        </w:rPr>
        <w:t>以总价报价方式进行报价；检测数量为预估数量，合同价按实结算。检测费用包括但不限于</w:t>
      </w:r>
      <w:r>
        <w:rPr>
          <w:rFonts w:hint="eastAsia" w:ascii="仿宋_GB2312" w:hAnsi="仿宋_GB2312" w:eastAsia="仿宋_GB2312" w:cs="仿宋_GB2312"/>
          <w:b/>
          <w:bCs/>
          <w:color w:val="0000FF"/>
          <w:sz w:val="28"/>
          <w:szCs w:val="28"/>
          <w:lang w:val="en-US" w:eastAsia="zh-CN"/>
        </w:rPr>
        <w:t>静载设备进出场费</w:t>
      </w:r>
      <w:r>
        <w:rPr>
          <w:rFonts w:hint="eastAsia" w:ascii="仿宋_GB2312" w:hAnsi="仿宋_GB2312" w:eastAsia="仿宋_GB2312" w:cs="仿宋_GB2312"/>
          <w:b w:val="0"/>
          <w:bCs w:val="0"/>
          <w:color w:val="0000FF"/>
          <w:sz w:val="28"/>
          <w:szCs w:val="28"/>
          <w:lang w:val="en-US" w:eastAsia="zh-CN"/>
        </w:rPr>
        <w:t>、竞价服务费、现场踏勘费、税费等，竞价人应充分考虑人工、材料、机械、政策调整及其他不可预见的一切因素，风险费用应自行考虑计入投标报价，投标人未考虑风险因素造成的损失由投标人自行负责。</w:t>
      </w:r>
    </w:p>
    <w:p>
      <w:pPr>
        <w:spacing w:line="360" w:lineRule="auto"/>
        <w:ind w:firstLine="560" w:firstLineChars="200"/>
        <w:rPr>
          <w:rFonts w:hint="eastAsia" w:ascii="新宋体" w:hAnsi="新宋体" w:eastAsia="新宋体" w:cs="新宋体"/>
          <w:color w:val="auto"/>
          <w:kern w:val="28"/>
          <w:sz w:val="28"/>
          <w:szCs w:val="28"/>
          <w:lang w:val="en-US" w:eastAsia="zh-CN" w:bidi="ar-SA"/>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val="en-US" w:eastAsia="zh-CN"/>
        </w:rPr>
        <w:t>工作要求</w:t>
      </w:r>
      <w:r>
        <w:rPr>
          <w:rFonts w:hint="eastAsia" w:ascii="新宋体" w:hAnsi="新宋体" w:eastAsia="新宋体" w:cs="新宋体"/>
          <w:color w:val="auto"/>
          <w:kern w:val="28"/>
          <w:sz w:val="28"/>
          <w:szCs w:val="28"/>
          <w:lang w:val="en-US" w:eastAsia="zh-CN" w:bidi="ar-SA"/>
        </w:rPr>
        <w:t>（</w:t>
      </w:r>
      <w:r>
        <w:rPr>
          <w:rFonts w:hint="eastAsia" w:ascii="新宋体" w:hAnsi="新宋体" w:eastAsia="新宋体" w:cs="新宋体"/>
          <w:b/>
          <w:bCs/>
          <w:color w:val="auto"/>
          <w:kern w:val="28"/>
          <w:sz w:val="28"/>
          <w:szCs w:val="28"/>
          <w:lang w:val="en-US" w:eastAsia="zh-CN" w:bidi="ar-SA"/>
        </w:rPr>
        <w:t>具体以《技术服务合同》为准</w:t>
      </w:r>
      <w:r>
        <w:rPr>
          <w:rFonts w:hint="eastAsia" w:ascii="新宋体" w:hAnsi="新宋体" w:eastAsia="新宋体" w:cs="新宋体"/>
          <w:color w:val="auto"/>
          <w:kern w:val="28"/>
          <w:sz w:val="28"/>
          <w:szCs w:val="28"/>
          <w:lang w:val="en-US" w:eastAsia="zh-CN" w:bidi="ar-SA"/>
        </w:rPr>
        <w:t>）。</w:t>
      </w:r>
    </w:p>
    <w:p>
      <w:pPr>
        <w:spacing w:line="360" w:lineRule="auto"/>
        <w:ind w:firstLine="560" w:firstLineChars="200"/>
        <w:rPr>
          <w:rFonts w:hint="eastAsia" w:ascii="新宋体" w:hAnsi="新宋体" w:eastAsia="新宋体" w:cs="新宋体"/>
          <w:color w:val="000000"/>
          <w:kern w:val="28"/>
          <w:sz w:val="28"/>
          <w:szCs w:val="28"/>
          <w:lang w:val="en-US" w:eastAsia="zh-CN" w:bidi="ar-SA"/>
        </w:rPr>
      </w:pPr>
      <w:r>
        <w:rPr>
          <w:rFonts w:hint="eastAsia" w:ascii="新宋体" w:hAnsi="新宋体" w:eastAsia="新宋体" w:cs="新宋体"/>
          <w:color w:val="000000"/>
          <w:kern w:val="28"/>
          <w:sz w:val="28"/>
          <w:szCs w:val="28"/>
          <w:lang w:val="en-US" w:eastAsia="zh-CN" w:bidi="ar-SA"/>
        </w:rPr>
        <w:t>4.1进度控制：本合同签订后成交人组织检测人员及设备进场进行检测工作，从合同签订之日起15日内完成检测工作并出具合格的检测报告，遇雨天及节假日时间顺延。</w:t>
      </w:r>
    </w:p>
    <w:p>
      <w:pPr>
        <w:spacing w:line="360" w:lineRule="auto"/>
        <w:ind w:firstLine="560" w:firstLineChars="200"/>
        <w:rPr>
          <w:rFonts w:hint="eastAsia" w:ascii="新宋体" w:hAnsi="新宋体" w:eastAsia="新宋体" w:cs="新宋体"/>
          <w:color w:val="000000"/>
          <w:kern w:val="28"/>
          <w:sz w:val="28"/>
          <w:szCs w:val="28"/>
          <w:lang w:val="en-US" w:eastAsia="zh-CN" w:bidi="ar-SA"/>
        </w:rPr>
      </w:pPr>
      <w:r>
        <w:rPr>
          <w:rFonts w:hint="eastAsia" w:ascii="新宋体" w:hAnsi="新宋体" w:eastAsia="新宋体" w:cs="新宋体"/>
          <w:color w:val="000000"/>
          <w:kern w:val="28"/>
          <w:sz w:val="28"/>
          <w:szCs w:val="28"/>
          <w:lang w:val="en-US" w:eastAsia="zh-CN" w:bidi="ar-SA"/>
        </w:rPr>
        <w:t>4.2质量控制：成交人应按国家及地方相关技术规范、标准、规程的规定开展鉴定服务，提交检测报告，并对其准确性负责。</w:t>
      </w:r>
    </w:p>
    <w:p>
      <w:pPr>
        <w:spacing w:line="360" w:lineRule="auto"/>
        <w:ind w:firstLine="560" w:firstLineChars="200"/>
        <w:rPr>
          <w:rFonts w:hint="eastAsia" w:ascii="新宋体" w:hAnsi="新宋体" w:eastAsia="新宋体" w:cs="新宋体"/>
          <w:color w:val="000000"/>
          <w:kern w:val="28"/>
          <w:sz w:val="28"/>
          <w:szCs w:val="28"/>
          <w:lang w:val="en-US" w:eastAsia="zh-CN" w:bidi="ar-SA"/>
        </w:rPr>
      </w:pPr>
      <w:r>
        <w:rPr>
          <w:rFonts w:hint="eastAsia" w:ascii="新宋体" w:hAnsi="新宋体" w:eastAsia="新宋体" w:cs="新宋体"/>
          <w:color w:val="000000"/>
          <w:kern w:val="28"/>
          <w:sz w:val="28"/>
          <w:szCs w:val="28"/>
          <w:lang w:val="en-US" w:eastAsia="zh-CN" w:bidi="ar-SA"/>
        </w:rPr>
        <w:t>4.3成果递交：成交人完成检测报告后立即交付给委托方，检测报告应符合国家及行业现行相关标准规范。</w:t>
      </w:r>
    </w:p>
    <w:p>
      <w:pPr>
        <w:spacing w:line="360" w:lineRule="auto"/>
        <w:ind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三、竞价资格</w:t>
      </w:r>
    </w:p>
    <w:p>
      <w:pPr>
        <w:widowControl/>
        <w:snapToGrid/>
        <w:spacing w:line="520" w:lineRule="exact"/>
        <w:ind w:left="0" w:firstLine="560" w:firstLineChars="200"/>
        <w:rPr>
          <w:rFonts w:hint="eastAsia" w:ascii="新宋体" w:hAnsi="新宋体" w:eastAsia="新宋体" w:cs="新宋体"/>
          <w:color w:val="auto"/>
          <w:kern w:val="2"/>
          <w:sz w:val="28"/>
          <w:szCs w:val="28"/>
        </w:rPr>
      </w:pPr>
      <w:r>
        <w:rPr>
          <w:rFonts w:hint="eastAsia" w:ascii="新宋体" w:hAnsi="新宋体" w:eastAsia="新宋体" w:cs="新宋体"/>
          <w:color w:val="auto"/>
          <w:kern w:val="2"/>
          <w:sz w:val="28"/>
          <w:szCs w:val="28"/>
        </w:rPr>
        <w:t>1.遵守中华人民共和国法律、法规，且能够诚信经营，</w:t>
      </w:r>
      <w:r>
        <w:rPr>
          <w:rFonts w:hint="eastAsia" w:ascii="新宋体" w:hAnsi="新宋体" w:eastAsia="新宋体" w:cs="新宋体"/>
          <w:color w:val="0000FF"/>
          <w:kern w:val="2"/>
          <w:sz w:val="28"/>
          <w:szCs w:val="28"/>
        </w:rPr>
        <w:t>具有地基基础工程检测专项资质</w:t>
      </w:r>
      <w:r>
        <w:rPr>
          <w:rFonts w:hint="eastAsia" w:ascii="新宋体" w:hAnsi="新宋体" w:eastAsia="新宋体" w:cs="新宋体"/>
          <w:color w:val="auto"/>
          <w:kern w:val="2"/>
          <w:sz w:val="28"/>
          <w:szCs w:val="28"/>
          <w:lang w:eastAsia="zh-CN"/>
        </w:rPr>
        <w:t>，</w:t>
      </w:r>
      <w:r>
        <w:rPr>
          <w:rFonts w:hint="eastAsia" w:ascii="新宋体" w:hAnsi="新宋体" w:eastAsia="新宋体" w:cs="新宋体"/>
          <w:color w:val="auto"/>
          <w:kern w:val="2"/>
          <w:sz w:val="28"/>
          <w:szCs w:val="28"/>
        </w:rPr>
        <w:t>独立法人资格的国内企业。</w:t>
      </w:r>
      <w:r>
        <w:rPr>
          <w:rFonts w:hint="eastAsia" w:ascii="新宋体" w:hAnsi="新宋体" w:eastAsia="新宋体" w:cs="新宋体"/>
          <w:color w:val="auto"/>
          <w:kern w:val="2"/>
          <w:sz w:val="28"/>
          <w:szCs w:val="28"/>
          <w:lang w:eastAsia="zh-CN"/>
        </w:rPr>
        <w:t>同时在竞价</w:t>
      </w:r>
      <w:r>
        <w:rPr>
          <w:rFonts w:hint="eastAsia" w:ascii="新宋体" w:hAnsi="新宋体" w:eastAsia="新宋体" w:cs="新宋体"/>
          <w:color w:val="auto"/>
          <w:kern w:val="2"/>
          <w:sz w:val="28"/>
          <w:szCs w:val="28"/>
        </w:rPr>
        <w:t>前已入选</w:t>
      </w:r>
      <w:r>
        <w:rPr>
          <w:rFonts w:hint="eastAsia" w:ascii="新宋体" w:hAnsi="新宋体" w:eastAsia="新宋体" w:cs="新宋体"/>
          <w:color w:val="auto"/>
          <w:sz w:val="28"/>
          <w:szCs w:val="28"/>
          <w:shd w:val="clear"/>
        </w:rPr>
        <w:t>福建连城国有投资集团有限公司设立的中介机构库</w:t>
      </w:r>
      <w:r>
        <w:rPr>
          <w:rFonts w:hint="eastAsia" w:ascii="新宋体" w:hAnsi="新宋体" w:eastAsia="新宋体" w:cs="新宋体"/>
          <w:color w:val="auto"/>
          <w:kern w:val="2"/>
          <w:sz w:val="28"/>
          <w:szCs w:val="28"/>
          <w:lang w:val="en-US" w:eastAsia="zh-CN" w:bidi="ar-SA"/>
        </w:rPr>
        <w:t>（</w:t>
      </w:r>
      <w:r>
        <w:rPr>
          <w:rFonts w:hint="eastAsia" w:ascii="新宋体" w:hAnsi="新宋体" w:eastAsia="新宋体" w:cs="新宋体"/>
          <w:color w:val="0000FF"/>
          <w:kern w:val="2"/>
          <w:sz w:val="28"/>
          <w:szCs w:val="28"/>
          <w:lang w:val="en-US" w:eastAsia="zh-CN" w:bidi="ar-SA"/>
        </w:rPr>
        <w:t>工程检测类</w:t>
      </w:r>
      <w:r>
        <w:rPr>
          <w:rFonts w:hint="eastAsia" w:ascii="新宋体" w:hAnsi="新宋体" w:eastAsia="新宋体" w:cs="新宋体"/>
          <w:color w:val="auto"/>
          <w:kern w:val="2"/>
          <w:sz w:val="28"/>
          <w:szCs w:val="28"/>
          <w:lang w:val="en-US" w:eastAsia="zh-CN" w:bidi="ar-SA"/>
        </w:rPr>
        <w:t>）</w:t>
      </w:r>
      <w:r>
        <w:rPr>
          <w:rFonts w:hint="eastAsia" w:ascii="新宋体" w:hAnsi="新宋体" w:eastAsia="新宋体" w:cs="新宋体"/>
          <w:color w:val="auto"/>
          <w:sz w:val="28"/>
          <w:szCs w:val="28"/>
          <w:shd w:val="clear"/>
        </w:rPr>
        <w:t>名单</w:t>
      </w:r>
      <w:r>
        <w:rPr>
          <w:rFonts w:hint="eastAsia" w:ascii="新宋体" w:hAnsi="新宋体" w:eastAsia="新宋体" w:cs="新宋体"/>
          <w:color w:val="auto"/>
          <w:kern w:val="2"/>
          <w:sz w:val="28"/>
          <w:szCs w:val="28"/>
        </w:rPr>
        <w:t>。</w:t>
      </w:r>
    </w:p>
    <w:p>
      <w:pPr>
        <w:pStyle w:val="2"/>
        <w:ind w:firstLine="560"/>
        <w:rPr>
          <w:rFonts w:hint="eastAsia" w:ascii="新宋体" w:hAnsi="新宋体" w:eastAsia="新宋体" w:cs="新宋体"/>
          <w:color w:val="auto"/>
          <w:kern w:val="2"/>
          <w:sz w:val="28"/>
          <w:szCs w:val="28"/>
          <w:lang w:val="en-US" w:eastAsia="zh-CN" w:bidi="ar-SA"/>
        </w:rPr>
      </w:pPr>
      <w:r>
        <w:rPr>
          <w:rFonts w:hint="eastAsia" w:ascii="新宋体" w:hAnsi="新宋体" w:eastAsia="新宋体" w:cs="新宋体"/>
          <w:color w:val="auto"/>
          <w:kern w:val="2"/>
          <w:sz w:val="28"/>
          <w:szCs w:val="28"/>
          <w:lang w:val="en-US" w:eastAsia="zh-CN" w:bidi="ar-SA"/>
        </w:rPr>
        <w:t>2.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pStyle w:val="2"/>
        <w:spacing w:line="360" w:lineRule="auto"/>
        <w:ind w:firstLine="562" w:firstLineChars="200"/>
        <w:rPr>
          <w:rFonts w:hint="default" w:eastAsia="仿宋_GB2312"/>
          <w:b/>
          <w:bCs/>
          <w:u w:val="single"/>
          <w:lang w:val="en-US" w:eastAsia="zh-CN"/>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新宋体" w:hAnsi="新宋体" w:eastAsia="新宋体" w:cs="新宋体"/>
          <w:b/>
          <w:bCs/>
          <w:color w:val="auto"/>
          <w:sz w:val="28"/>
          <w:szCs w:val="28"/>
          <w:shd w:val="clear"/>
        </w:rPr>
      </w:pPr>
      <w:r>
        <w:rPr>
          <w:rFonts w:hint="eastAsia" w:ascii="新宋体" w:hAnsi="新宋体" w:eastAsia="新宋体" w:cs="新宋体"/>
          <w:b/>
          <w:bCs/>
          <w:color w:val="auto"/>
          <w:sz w:val="28"/>
          <w:szCs w:val="28"/>
          <w:shd w:val="clear"/>
        </w:rPr>
        <w:t>四、竞价保证金</w:t>
      </w:r>
    </w:p>
    <w:p>
      <w:pPr>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1.保证金</w:t>
      </w:r>
      <w:r>
        <w:rPr>
          <w:rFonts w:hint="eastAsia" w:ascii="新宋体" w:hAnsi="新宋体" w:eastAsia="新宋体" w:cs="新宋体"/>
          <w:color w:val="0000FF"/>
          <w:sz w:val="28"/>
          <w:szCs w:val="28"/>
          <w:shd w:val="clear"/>
          <w:lang w:val="en-US" w:eastAsia="zh-CN"/>
        </w:rPr>
        <w:t>100</w:t>
      </w:r>
      <w:r>
        <w:rPr>
          <w:rFonts w:hint="eastAsia" w:ascii="新宋体" w:hAnsi="新宋体" w:eastAsia="新宋体" w:cs="新宋体"/>
          <w:color w:val="0000FF"/>
          <w:kern w:val="2"/>
          <w:sz w:val="28"/>
          <w:szCs w:val="28"/>
          <w:lang w:val="en-US" w:eastAsia="zh-CN" w:bidi="ar-SA"/>
        </w:rPr>
        <w:t>00</w:t>
      </w:r>
      <w:r>
        <w:rPr>
          <w:rFonts w:hint="eastAsia" w:ascii="新宋体" w:hAnsi="新宋体" w:eastAsia="新宋体" w:cs="新宋体"/>
          <w:color w:val="auto"/>
          <w:kern w:val="2"/>
          <w:sz w:val="28"/>
          <w:szCs w:val="28"/>
          <w:lang w:val="en-US" w:eastAsia="zh-CN" w:bidi="ar-SA"/>
        </w:rPr>
        <w:t>元</w:t>
      </w:r>
      <w:r>
        <w:rPr>
          <w:rFonts w:hint="eastAsia" w:ascii="新宋体" w:hAnsi="新宋体" w:eastAsia="新宋体" w:cs="新宋体"/>
          <w:color w:val="auto"/>
          <w:sz w:val="28"/>
          <w:szCs w:val="28"/>
          <w:shd w:val="clear"/>
        </w:rPr>
        <w:t>，必须于</w:t>
      </w:r>
      <w:r>
        <w:rPr>
          <w:rFonts w:hint="eastAsia" w:ascii="新宋体" w:hAnsi="新宋体" w:eastAsia="新宋体" w:cs="新宋体"/>
          <w:color w:val="0000FF"/>
          <w:kern w:val="2"/>
          <w:sz w:val="28"/>
          <w:szCs w:val="28"/>
          <w:lang w:val="en-US" w:eastAsia="zh-CN" w:bidi="ar-SA"/>
        </w:rPr>
        <w:t>2023年7月27日</w:t>
      </w:r>
      <w:r>
        <w:rPr>
          <w:rFonts w:hint="eastAsia" w:ascii="新宋体" w:hAnsi="新宋体" w:eastAsia="新宋体" w:cs="新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shd w:val="clear"/>
          <w:lang w:eastAsia="zh-CN"/>
        </w:rPr>
        <w:t>竞价人</w:t>
      </w:r>
      <w:r>
        <w:rPr>
          <w:rFonts w:hint="eastAsia" w:ascii="新宋体" w:hAnsi="新宋体" w:eastAsia="新宋体" w:cs="新宋体"/>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2.竞价成交后，成交人必须在成交之日起3个工作日内与本公司签订《竞价结果通知书》</w:t>
      </w:r>
      <w:r>
        <w:rPr>
          <w:rFonts w:hint="eastAsia" w:ascii="新宋体" w:hAnsi="新宋体" w:eastAsia="新宋体" w:cs="新宋体"/>
          <w:b/>
          <w:bCs/>
          <w:color w:val="0000FF"/>
          <w:sz w:val="28"/>
          <w:szCs w:val="28"/>
          <w:shd w:val="clear"/>
          <w:lang w:val="en-US" w:eastAsia="zh-CN"/>
        </w:rPr>
        <w:t>及提交《分项报价表》</w:t>
      </w:r>
      <w:r>
        <w:rPr>
          <w:rFonts w:hint="eastAsia" w:ascii="新宋体" w:hAnsi="新宋体" w:eastAsia="新宋体" w:cs="新宋体"/>
          <w:color w:val="auto"/>
          <w:sz w:val="28"/>
          <w:szCs w:val="28"/>
          <w:shd w:val="clear"/>
        </w:rPr>
        <w:t>，并在签订《竞价结果通知书》之日起3个工作日内向委托人提供</w:t>
      </w:r>
      <w:r>
        <w:rPr>
          <w:rFonts w:hint="eastAsia" w:ascii="新宋体" w:hAnsi="新宋体" w:eastAsia="新宋体" w:cs="新宋体"/>
          <w:color w:val="auto"/>
          <w:sz w:val="28"/>
          <w:szCs w:val="28"/>
          <w:shd w:val="clear"/>
          <w:lang w:eastAsia="zh-CN"/>
        </w:rPr>
        <w:t>《技术服务合同》</w:t>
      </w:r>
      <w:r>
        <w:rPr>
          <w:rFonts w:hint="eastAsia" w:ascii="新宋体" w:hAnsi="新宋体" w:eastAsia="新宋体" w:cs="新宋体"/>
          <w:color w:val="auto"/>
          <w:sz w:val="28"/>
          <w:szCs w:val="28"/>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3.成交人的竞价保证金可以直接抵作交易服务费，如有剩余，在成交人与委托人签订</w:t>
      </w:r>
      <w:r>
        <w:rPr>
          <w:rFonts w:hint="eastAsia" w:ascii="新宋体" w:hAnsi="新宋体" w:eastAsia="新宋体" w:cs="新宋体"/>
          <w:color w:val="auto"/>
          <w:sz w:val="28"/>
          <w:szCs w:val="28"/>
          <w:shd w:val="clear"/>
          <w:lang w:eastAsia="zh-CN"/>
        </w:rPr>
        <w:t>《技术服务合同》</w:t>
      </w:r>
      <w:r>
        <w:rPr>
          <w:rFonts w:hint="eastAsia" w:ascii="新宋体" w:hAnsi="新宋体" w:eastAsia="新宋体" w:cs="新宋体"/>
          <w:color w:val="auto"/>
          <w:sz w:val="28"/>
          <w:szCs w:val="28"/>
          <w:shd w:val="clear"/>
        </w:rPr>
        <w:t>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4.未成交人的保证金，在竞价结束后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1.有意参加</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参加本次竞价会的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4.如委托人撤回竞价标的，</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已经交保证金的，保证金即予无息退还，</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对此不得有异议，且本公司不对</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承担任何损失，此是</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参与本次竞价的先决条件。</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1.意向</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2.本次公开竞价采用“权益云( https://www.unibid.cn/portal/pro/items.jsp?way=F )”或微信公众号“权益云交易平台”</w:t>
      </w:r>
      <w:r>
        <w:rPr>
          <w:rFonts w:hint="eastAsia" w:ascii="新宋体" w:hAnsi="新宋体" w:eastAsia="新宋体" w:cs="新宋体"/>
          <w:color w:val="auto"/>
          <w:kern w:val="2"/>
          <w:sz w:val="28"/>
          <w:szCs w:val="28"/>
          <w:shd w:val="clear"/>
          <w:lang w:eastAsia="zh-CN"/>
        </w:rPr>
        <w:t>网络反向一次性报价</w:t>
      </w:r>
      <w:r>
        <w:rPr>
          <w:rFonts w:hint="eastAsia" w:ascii="新宋体" w:hAnsi="新宋体" w:eastAsia="新宋体" w:cs="新宋体"/>
          <w:color w:val="auto"/>
          <w:kern w:val="2"/>
          <w:sz w:val="28"/>
          <w:szCs w:val="28"/>
          <w:shd w:val="clear"/>
        </w:rPr>
        <w:t>、报价低者得的交易方式，以“价格优先，时间优先”（即同等价格时，以报价时间优先）确定本次竞价标的的成交人。竞价人以检测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shd w:val="clear"/>
        </w:rPr>
        <w:t>3.</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应以</w:t>
      </w:r>
      <w:r>
        <w:rPr>
          <w:rFonts w:hint="eastAsia" w:ascii="新宋体" w:hAnsi="新宋体" w:eastAsia="新宋体" w:cs="新宋体"/>
          <w:b/>
          <w:bCs/>
          <w:color w:val="auto"/>
          <w:kern w:val="2"/>
          <w:sz w:val="28"/>
          <w:szCs w:val="28"/>
          <w:shd w:val="clear"/>
          <w:lang w:val="en-US" w:eastAsia="zh-CN"/>
        </w:rPr>
        <w:t>检测服务费总价</w:t>
      </w:r>
      <w:r>
        <w:rPr>
          <w:rFonts w:hint="eastAsia" w:ascii="新宋体" w:hAnsi="新宋体" w:eastAsia="新宋体" w:cs="新宋体"/>
          <w:b/>
          <w:bCs/>
          <w:color w:val="auto"/>
          <w:kern w:val="2"/>
          <w:sz w:val="28"/>
          <w:szCs w:val="28"/>
          <w:shd w:val="clear"/>
        </w:rPr>
        <w:t>进行报价，</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在竞价系统填报</w:t>
      </w:r>
      <w:r>
        <w:rPr>
          <w:rFonts w:hint="eastAsia" w:ascii="新宋体" w:hAnsi="新宋体" w:eastAsia="新宋体" w:cs="新宋体"/>
          <w:b/>
          <w:bCs/>
          <w:color w:val="auto"/>
          <w:kern w:val="2"/>
          <w:sz w:val="28"/>
          <w:szCs w:val="28"/>
          <w:shd w:val="clear"/>
          <w:lang w:val="en-US" w:eastAsia="zh-CN"/>
        </w:rPr>
        <w:t>单价高于352540</w:t>
      </w:r>
      <w:r>
        <w:rPr>
          <w:rFonts w:hint="eastAsia" w:ascii="新宋体" w:hAnsi="新宋体" w:eastAsia="新宋体" w:cs="新宋体"/>
          <w:b/>
          <w:bCs/>
          <w:color w:val="auto"/>
          <w:kern w:val="2"/>
          <w:sz w:val="28"/>
          <w:szCs w:val="28"/>
          <w:shd w:val="clear"/>
        </w:rPr>
        <w:t>为无效报价</w:t>
      </w:r>
      <w:r>
        <w:rPr>
          <w:rFonts w:hint="eastAsia" w:ascii="新宋体" w:hAnsi="新宋体" w:eastAsia="新宋体" w:cs="新宋体"/>
          <w:b/>
          <w:bCs/>
          <w:color w:val="auto"/>
          <w:kern w:val="2"/>
          <w:sz w:val="28"/>
          <w:szCs w:val="28"/>
          <w:shd w:val="clear"/>
          <w:lang w:eastAsia="zh-CN"/>
        </w:rPr>
        <w:t>，</w:t>
      </w:r>
      <w:r>
        <w:rPr>
          <w:rFonts w:hint="eastAsia" w:ascii="新宋体" w:hAnsi="新宋体" w:eastAsia="新宋体" w:cs="新宋体"/>
          <w:b/>
          <w:bCs/>
          <w:color w:val="auto"/>
          <w:kern w:val="2"/>
          <w:sz w:val="28"/>
          <w:szCs w:val="28"/>
          <w:shd w:val="clear"/>
        </w:rPr>
        <w:t>填报</w:t>
      </w:r>
      <w:r>
        <w:rPr>
          <w:rFonts w:hint="eastAsia" w:ascii="新宋体" w:hAnsi="新宋体" w:eastAsia="新宋体" w:cs="新宋体"/>
          <w:b/>
          <w:bCs/>
          <w:color w:val="auto"/>
          <w:kern w:val="2"/>
          <w:sz w:val="28"/>
          <w:szCs w:val="28"/>
          <w:shd w:val="clear"/>
          <w:lang w:val="en-US" w:eastAsia="zh-CN"/>
        </w:rPr>
        <w:t>总价最低的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4.特别提示：标的经公开征集到合格</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应以不高于最高限价进行报价，成交人应签署</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shd w:val="clear"/>
        </w:rPr>
        <w:t>七、交易服务费</w:t>
      </w:r>
    </w:p>
    <w:p>
      <w:pPr>
        <w:spacing w:line="520" w:lineRule="exact"/>
        <w:ind w:firstLine="560" w:firstLineChars="200"/>
        <w:rPr>
          <w:rFonts w:hint="eastAsia" w:ascii="宋体" w:hAnsi="宋体" w:eastAsia="宋体" w:cs="宋体"/>
          <w:color w:val="0000FF"/>
          <w:sz w:val="28"/>
          <w:szCs w:val="28"/>
        </w:rPr>
      </w:pPr>
      <w:r>
        <w:rPr>
          <w:rFonts w:hint="eastAsia" w:ascii="新宋体" w:hAnsi="新宋体" w:eastAsia="新宋体" w:cs="新宋体"/>
          <w:color w:val="0000FF"/>
          <w:sz w:val="28"/>
          <w:szCs w:val="28"/>
        </w:rPr>
        <w:t>竞价成交后，成交人以标的成交价为基数按以下费率向</w:t>
      </w:r>
      <w:r>
        <w:rPr>
          <w:rFonts w:hint="eastAsia" w:ascii="新宋体" w:hAnsi="新宋体" w:eastAsia="新宋体" w:cs="新宋体"/>
          <w:color w:val="0000FF"/>
          <w:sz w:val="28"/>
          <w:szCs w:val="28"/>
          <w:lang w:val="en-US" w:eastAsia="zh-CN"/>
        </w:rPr>
        <w:t>本公司</w:t>
      </w:r>
      <w:r>
        <w:rPr>
          <w:rFonts w:hint="eastAsia" w:ascii="新宋体" w:hAnsi="新宋体" w:eastAsia="新宋体" w:cs="新宋体"/>
          <w:color w:val="0000FF"/>
          <w:sz w:val="28"/>
          <w:szCs w:val="28"/>
        </w:rPr>
        <w:t>支付交易服务费</w:t>
      </w:r>
      <w:r>
        <w:rPr>
          <w:rFonts w:hint="eastAsia" w:ascii="新宋体" w:hAnsi="新宋体" w:eastAsia="新宋体" w:cs="新宋体"/>
          <w:color w:val="0000FF"/>
          <w:sz w:val="28"/>
          <w:szCs w:val="28"/>
          <w:lang w:eastAsia="zh-CN"/>
        </w:rPr>
        <w:t>，</w:t>
      </w:r>
      <w:r>
        <w:rPr>
          <w:rFonts w:hint="eastAsia" w:ascii="宋体" w:hAnsi="宋体" w:eastAsia="宋体" w:cs="宋体"/>
          <w:color w:val="0000FF"/>
          <w:sz w:val="28"/>
          <w:szCs w:val="28"/>
        </w:rPr>
        <w:t>成交价在200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元（含200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3"/>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万元（含</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新宋体" w:hAnsi="新宋体" w:eastAsia="新宋体" w:cs="新宋体"/>
          <w:b/>
          <w:bCs/>
          <w:color w:val="auto"/>
          <w:sz w:val="28"/>
          <w:szCs w:val="28"/>
          <w:lang w:val="en-US" w:eastAsia="zh-CN"/>
        </w:rPr>
      </w:pPr>
      <w:r>
        <w:rPr>
          <w:rFonts w:hint="eastAsia" w:ascii="新宋体" w:hAnsi="新宋体" w:eastAsia="新宋体" w:cs="新宋体"/>
          <w:color w:val="auto"/>
          <w:sz w:val="28"/>
          <w:szCs w:val="28"/>
        </w:rPr>
        <w:t>交易服务费直接由本公司从成交人缴纳的竞价保证金中扣收，不足的，成交人</w:t>
      </w:r>
      <w:r>
        <w:rPr>
          <w:rFonts w:hint="eastAsia" w:ascii="新宋体" w:hAnsi="新宋体" w:eastAsia="新宋体" w:cs="新宋体"/>
          <w:b/>
          <w:bCs/>
          <w:color w:val="auto"/>
          <w:sz w:val="28"/>
          <w:szCs w:val="28"/>
          <w:shd w:val="clear" w:color="auto" w:fill="FFFFFF"/>
        </w:rPr>
        <w:t>必须在成交之日起2个工作日</w:t>
      </w:r>
      <w:r>
        <w:rPr>
          <w:rFonts w:hint="eastAsia" w:ascii="新宋体" w:hAnsi="新宋体" w:eastAsia="新宋体" w:cs="新宋体"/>
          <w:color w:val="auto"/>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八、</w:t>
      </w:r>
      <w:r>
        <w:rPr>
          <w:rFonts w:hint="eastAsia" w:ascii="新宋体" w:hAnsi="新宋体" w:eastAsia="新宋体" w:cs="新宋体"/>
          <w:b/>
          <w:bCs/>
          <w:color w:val="auto"/>
          <w:kern w:val="2"/>
          <w:sz w:val="28"/>
          <w:szCs w:val="28"/>
          <w:shd w:val="clear"/>
          <w:lang w:eastAsia="zh-CN"/>
        </w:rPr>
        <w:t>结算</w:t>
      </w:r>
      <w:r>
        <w:rPr>
          <w:rFonts w:hint="eastAsia" w:ascii="新宋体" w:hAnsi="新宋体" w:eastAsia="新宋体" w:cs="新宋体"/>
          <w:b/>
          <w:bCs/>
          <w:color w:val="auto"/>
          <w:kern w:val="2"/>
          <w:sz w:val="28"/>
          <w:szCs w:val="28"/>
          <w:shd w:val="clear"/>
        </w:rPr>
        <w:t>方式</w:t>
      </w:r>
    </w:p>
    <w:p>
      <w:pPr>
        <w:widowControl/>
        <w:shd w:val="clear"/>
        <w:snapToGrid/>
        <w:spacing w:before="0" w:line="520" w:lineRule="exact"/>
        <w:ind w:left="0" w:firstLine="560" w:firstLineChars="200"/>
        <w:rPr>
          <w:rFonts w:hint="eastAsia" w:ascii="新宋体" w:hAnsi="新宋体" w:eastAsia="新宋体" w:cs="新宋体"/>
          <w:b w:val="0"/>
          <w:bCs w:val="0"/>
          <w:color w:val="auto"/>
          <w:kern w:val="2"/>
          <w:sz w:val="28"/>
          <w:szCs w:val="28"/>
          <w:shd w:val="clear"/>
          <w:lang w:val="en-US" w:eastAsia="zh-CN"/>
        </w:rPr>
      </w:pPr>
      <w:r>
        <w:rPr>
          <w:rFonts w:hint="eastAsia" w:ascii="新宋体" w:hAnsi="新宋体" w:eastAsia="新宋体" w:cs="新宋体"/>
          <w:b w:val="0"/>
          <w:bCs w:val="0"/>
          <w:color w:val="auto"/>
          <w:kern w:val="2"/>
          <w:sz w:val="28"/>
          <w:szCs w:val="28"/>
          <w:shd w:val="clear"/>
          <w:lang w:val="en-US" w:eastAsia="zh-CN"/>
        </w:rPr>
        <w:t>按《技术服务合同》执行。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成交人应价后反悔的，或不即时签订</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应妥善保管好用户名及密码，用户名为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参加网络竞价的唯一合法身份，所有用户登录后的报价均视为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本人真实意愿的表示。如用户名丢失或被他人盗用所造成的一切后果均由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负责。</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3.成交后，成交人应当与委托人签订《技术服务合同》，并严格履行，双方的权利、义务以《技术服务合同》约定为准。</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rPr>
              <w:t>2.竞价文件如有更正修改，公告将在</w:t>
            </w:r>
            <w:r>
              <w:rPr>
                <w:rFonts w:hint="eastAsia" w:ascii="新宋体" w:hAnsi="新宋体" w:eastAsia="新宋体" w:cs="新宋体"/>
                <w:b w:val="0"/>
                <w:bCs w:val="0"/>
                <w:color w:val="auto"/>
                <w:sz w:val="28"/>
                <w:szCs w:val="28"/>
              </w:rPr>
              <w:t>连城产权交易网（网址：</w:t>
            </w:r>
            <w:r>
              <w:rPr>
                <w:rFonts w:hint="eastAsia" w:ascii="新宋体" w:hAnsi="新宋体" w:eastAsia="新宋体" w:cs="新宋体"/>
                <w:b/>
                <w:bCs/>
                <w:color w:val="auto"/>
                <w:sz w:val="28"/>
                <w:szCs w:val="28"/>
              </w:rPr>
              <w:t>http://www.lcxcqjy.com/</w:t>
            </w:r>
            <w:r>
              <w:rPr>
                <w:rFonts w:hint="eastAsia" w:ascii="新宋体" w:hAnsi="新宋体" w:eastAsia="新宋体" w:cs="新宋体"/>
                <w:b w:val="0"/>
                <w:bCs w:val="0"/>
                <w:color w:val="auto"/>
                <w:sz w:val="28"/>
                <w:szCs w:val="28"/>
              </w:rPr>
              <w:t>）、龙岩市公共资源交易中心网（网址：</w:t>
            </w:r>
            <w:r>
              <w:rPr>
                <w:rFonts w:hint="eastAsia" w:ascii="新宋体" w:hAnsi="新宋体" w:eastAsia="新宋体" w:cs="新宋体"/>
                <w:b/>
                <w:bCs/>
                <w:color w:val="auto"/>
                <w:sz w:val="28"/>
                <w:szCs w:val="28"/>
              </w:rPr>
              <w:t>https://ggzy.longyan.gov.cn/lyztb/</w:t>
            </w:r>
            <w:r>
              <w:rPr>
                <w:rFonts w:hint="eastAsia" w:ascii="新宋体" w:hAnsi="新宋体" w:eastAsia="新宋体" w:cs="新宋体"/>
                <w:b w:val="0"/>
                <w:bCs w:val="0"/>
                <w:color w:val="auto"/>
                <w:sz w:val="28"/>
                <w:szCs w:val="28"/>
              </w:rPr>
              <w:t>）</w:t>
            </w:r>
            <w:r>
              <w:rPr>
                <w:rFonts w:hint="eastAsia" w:ascii="新宋体" w:hAnsi="新宋体" w:eastAsia="新宋体" w:cs="新宋体"/>
                <w:color w:val="auto"/>
                <w:kern w:val="2"/>
                <w:sz w:val="28"/>
                <w:szCs w:val="28"/>
              </w:rPr>
              <w:t>上</w:t>
            </w:r>
            <w:r>
              <w:rPr>
                <w:rFonts w:hint="eastAsia" w:ascii="新宋体" w:hAnsi="新宋体" w:eastAsia="新宋体" w:cs="新宋体"/>
                <w:color w:val="auto"/>
                <w:kern w:val="2"/>
                <w:sz w:val="28"/>
                <w:szCs w:val="28"/>
                <w:shd w:val="clear"/>
              </w:rPr>
              <w:t>发布，请潜在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3.有需要通知事项时，本公司以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，即使</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不签收或未收到通知，均视为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已收到通知，由此造成的后果由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自行负责。</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成为成交人参照此条款执行。</w:t>
            </w:r>
          </w:p>
        </w:tc>
      </w:tr>
    </w:tbl>
    <w:p>
      <w:pPr>
        <w:widowControl/>
        <w:shd w:val="clear"/>
        <w:snapToGrid/>
        <w:spacing w:before="0" w:line="520" w:lineRule="exact"/>
        <w:ind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  </w:t>
      </w:r>
    </w:p>
    <w:p>
      <w:pPr>
        <w:widowControl/>
        <w:shd w:val="clear"/>
        <w:snapToGrid/>
        <w:spacing w:before="0" w:line="24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b w:val="0"/>
          <w:bCs w:val="0"/>
          <w:color w:val="auto"/>
          <w:sz w:val="28"/>
          <w:szCs w:val="28"/>
        </w:rPr>
        <w:drawing>
          <wp:inline distT="0" distB="0" distL="114300" distR="114300">
            <wp:extent cx="1019810" cy="1019810"/>
            <wp:effectExtent l="0" t="0" r="8890" b="8890"/>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4"/>
                    <a:stretch>
                      <a:fillRect/>
                    </a:stretch>
                  </pic:blipFill>
                  <pic:spPr>
                    <a:xfrm>
                      <a:off x="0" y="0"/>
                      <a:ext cx="1019810" cy="1019810"/>
                    </a:xfrm>
                    <a:prstGeom prst="rect">
                      <a:avLst/>
                    </a:prstGeom>
                  </pic:spPr>
                </pic:pic>
              </a:graphicData>
            </a:graphic>
          </wp:inline>
        </w:drawing>
      </w:r>
      <w:r>
        <w:rPr>
          <w:rFonts w:hint="eastAsia" w:ascii="新宋体" w:hAnsi="新宋体" w:eastAsia="新宋体" w:cs="新宋体"/>
          <w:b w:val="0"/>
          <w:bCs w:val="0"/>
          <w:color w:val="auto"/>
          <w:sz w:val="28"/>
          <w:szCs w:val="28"/>
          <w:lang w:val="en-US" w:eastAsia="zh-CN"/>
        </w:rPr>
        <w:t xml:space="preserve">         </w:t>
      </w:r>
      <w:r>
        <w:rPr>
          <w:rFonts w:hint="eastAsia" w:ascii="新宋体" w:hAnsi="新宋体" w:eastAsia="新宋体" w:cs="新宋体"/>
          <w:b w:val="0"/>
          <w:bCs w:val="0"/>
          <w:color w:val="auto"/>
          <w:sz w:val="28"/>
          <w:szCs w:val="28"/>
        </w:rPr>
        <w:t>连城县国有资产产权交易服务有限公司</w:t>
      </w:r>
    </w:p>
    <w:p>
      <w:pPr>
        <w:widowControl/>
        <w:shd w:val="clear"/>
        <w:snapToGrid/>
        <w:spacing w:before="0" w:line="520" w:lineRule="exact"/>
        <w:ind w:left="0" w:firstLine="560" w:firstLineChars="200"/>
        <w:jc w:val="right"/>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rPr>
        <w:t xml:space="preserve">                                  </w:t>
      </w:r>
      <w:r>
        <w:rPr>
          <w:rFonts w:hint="eastAsia" w:ascii="新宋体" w:hAnsi="新宋体" w:eastAsia="新宋体" w:cs="新宋体"/>
          <w:color w:val="auto"/>
          <w:kern w:val="2"/>
          <w:sz w:val="28"/>
          <w:szCs w:val="28"/>
          <w:shd w:val="clear"/>
          <w:lang w:val="en-US" w:eastAsia="zh-CN"/>
        </w:rPr>
        <w:t>2023年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0A9E3F76"/>
    <w:rsid w:val="0A9E3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2023-07-24T09:53:00Z</dcterms:created>
  <dc:creator>土豆排骨的滋味</dc:creator>
  <cp:lastModifiedBy>土豆排骨的滋味</cp:lastModifiedBy>
  <dcterms:modified xsi:type="dcterms:W3CDTF">2023-07-24T09:53:36Z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C01F4D452204428C90157BD671F8FD32_11</vt:lpwstr>
  </property>
</Properties>
</file>